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36C88" w14:textId="1ED2D0E7" w:rsidR="004F07DF" w:rsidRPr="003658B5" w:rsidRDefault="004F07DF" w:rsidP="004F07DF">
      <w:pPr>
        <w:sectPr w:rsidR="004F07DF" w:rsidRPr="003658B5"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62336" behindDoc="0" locked="1" layoutInCell="1" allowOverlap="1" wp14:anchorId="253B874B" wp14:editId="33C86CA0">
                <wp:simplePos x="0" y="0"/>
                <wp:positionH relativeFrom="column">
                  <wp:posOffset>-639445</wp:posOffset>
                </wp:positionH>
                <wp:positionV relativeFrom="page">
                  <wp:posOffset>2886075</wp:posOffset>
                </wp:positionV>
                <wp:extent cx="3999230" cy="5231765"/>
                <wp:effectExtent l="0" t="0" r="1270"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9230" cy="5231765"/>
                        </a:xfrm>
                        <a:prstGeom prst="rect">
                          <a:avLst/>
                        </a:prstGeom>
                        <a:solidFill>
                          <a:sysClr val="window" lastClr="FFFFFF"/>
                        </a:solidFill>
                        <a:ln w="6350">
                          <a:noFill/>
                        </a:ln>
                        <a:effectLst/>
                      </wps:spPr>
                      <wps:txbx>
                        <w:txbxContent>
                          <w:p w14:paraId="612D0349" w14:textId="77777777" w:rsidR="004F07DF" w:rsidRPr="00AC4B24" w:rsidRDefault="004F07DF" w:rsidP="004F07DF">
                            <w:pPr>
                              <w:pStyle w:val="Titrecouverture"/>
                              <w:jc w:val="center"/>
                              <w:rPr>
                                <w:b/>
                                <w:bCs/>
                                <w:szCs w:val="32"/>
                              </w:rPr>
                            </w:pPr>
                            <w:r w:rsidRPr="00AC4B24">
                              <w:rPr>
                                <w:b/>
                                <w:bCs/>
                                <w:szCs w:val="32"/>
                              </w:rPr>
                              <w:t>Tender Specifications</w:t>
                            </w:r>
                          </w:p>
                          <w:p w14:paraId="16E40314" w14:textId="21BD018C" w:rsidR="004F07DF" w:rsidRPr="00AC4B24" w:rsidRDefault="00F2430E" w:rsidP="004F07DF">
                            <w:pPr>
                              <w:pStyle w:val="Titrecouverture"/>
                              <w:rPr>
                                <w:b/>
                                <w:bCs/>
                                <w:szCs w:val="32"/>
                              </w:rPr>
                            </w:pPr>
                            <w:r w:rsidRPr="00F2430E">
                              <w:rPr>
                                <w:b/>
                                <w:bCs/>
                                <w:szCs w:val="32"/>
                              </w:rPr>
                              <w:t>Tender N°: RWA19009-10065</w:t>
                            </w:r>
                          </w:p>
                          <w:p w14:paraId="538B8CE8" w14:textId="5953372C" w:rsidR="004F07DF" w:rsidRPr="00AC4B24" w:rsidRDefault="004F07DF" w:rsidP="004F07DF">
                            <w:pPr>
                              <w:pStyle w:val="Titrecouverture"/>
                              <w:rPr>
                                <w:b/>
                                <w:bCs/>
                                <w:szCs w:val="32"/>
                              </w:rPr>
                            </w:pPr>
                            <w:r w:rsidRPr="00AC4B24">
                              <w:rPr>
                                <w:b/>
                                <w:bCs/>
                                <w:szCs w:val="32"/>
                              </w:rPr>
                              <w:t>Services procurement contract for</w:t>
                            </w:r>
                          </w:p>
                          <w:p w14:paraId="7A9011E4" w14:textId="6DC2B0A0" w:rsidR="007B4676" w:rsidRPr="008F0DF0" w:rsidRDefault="004F07DF" w:rsidP="005548E6">
                            <w:pPr>
                              <w:pStyle w:val="Titrecouverture"/>
                              <w:spacing w:after="0"/>
                              <w:jc w:val="both"/>
                              <w:rPr>
                                <w:b/>
                                <w:bCs/>
                                <w:i/>
                                <w:iCs/>
                                <w:szCs w:val="32"/>
                              </w:rPr>
                            </w:pPr>
                            <w:r w:rsidRPr="008F0DF0">
                              <w:rPr>
                                <w:b/>
                                <w:bCs/>
                                <w:i/>
                                <w:iCs/>
                                <w:szCs w:val="32"/>
                              </w:rPr>
                              <w:t>“</w:t>
                            </w:r>
                            <w:r w:rsidR="007B4676" w:rsidRPr="008F0DF0">
                              <w:rPr>
                                <w:b/>
                                <w:bCs/>
                                <w:i/>
                                <w:iCs/>
                                <w:szCs w:val="32"/>
                              </w:rPr>
                              <w:t xml:space="preserve">Induce behavioural and social changes among the community regarding the </w:t>
                            </w:r>
                            <w:r w:rsidR="00B3746F">
                              <w:rPr>
                                <w:b/>
                                <w:bCs/>
                                <w:i/>
                                <w:iCs/>
                                <w:szCs w:val="32"/>
                              </w:rPr>
                              <w:t>MNASRH</w:t>
                            </w:r>
                            <w:r w:rsidR="007B4676" w:rsidRPr="008F0DF0">
                              <w:rPr>
                                <w:b/>
                                <w:bCs/>
                                <w:i/>
                                <w:iCs/>
                                <w:szCs w:val="32"/>
                              </w:rPr>
                              <w:t xml:space="preserve"> by</w:t>
                            </w:r>
                          </w:p>
                          <w:p w14:paraId="040B5EEE" w14:textId="185D9B5F" w:rsidR="007B4676" w:rsidRPr="008F0DF0" w:rsidRDefault="00BA42F6" w:rsidP="005548E6">
                            <w:pPr>
                              <w:pStyle w:val="Titrecouverture"/>
                              <w:spacing w:after="0"/>
                              <w:jc w:val="both"/>
                              <w:rPr>
                                <w:b/>
                                <w:bCs/>
                                <w:i/>
                                <w:iCs/>
                                <w:szCs w:val="32"/>
                              </w:rPr>
                            </w:pPr>
                            <w:r w:rsidRPr="008F0DF0">
                              <w:rPr>
                                <w:b/>
                                <w:bCs/>
                                <w:i/>
                                <w:iCs/>
                                <w:szCs w:val="32"/>
                              </w:rPr>
                              <w:t>1.</w:t>
                            </w:r>
                            <w:r w:rsidR="007B4676" w:rsidRPr="008F0DF0">
                              <w:rPr>
                                <w:b/>
                                <w:bCs/>
                                <w:i/>
                                <w:iCs/>
                                <w:szCs w:val="32"/>
                              </w:rPr>
                              <w:t xml:space="preserve"> Developing communication materials </w:t>
                            </w:r>
                          </w:p>
                          <w:p w14:paraId="434570C1" w14:textId="138F9298" w:rsidR="007B4676" w:rsidRPr="008F0DF0" w:rsidRDefault="00BA42F6" w:rsidP="005548E6">
                            <w:pPr>
                              <w:pStyle w:val="Titrecouverture"/>
                              <w:spacing w:after="0"/>
                              <w:jc w:val="both"/>
                              <w:rPr>
                                <w:b/>
                                <w:bCs/>
                                <w:i/>
                                <w:iCs/>
                                <w:szCs w:val="32"/>
                              </w:rPr>
                            </w:pPr>
                            <w:r w:rsidRPr="008F0DF0">
                              <w:rPr>
                                <w:b/>
                                <w:bCs/>
                                <w:i/>
                                <w:iCs/>
                                <w:szCs w:val="32"/>
                              </w:rPr>
                              <w:t>2.</w:t>
                            </w:r>
                            <w:r w:rsidR="007B4676" w:rsidRPr="008F0DF0">
                              <w:rPr>
                                <w:b/>
                                <w:bCs/>
                                <w:i/>
                                <w:iCs/>
                                <w:szCs w:val="32"/>
                              </w:rPr>
                              <w:t xml:space="preserve"> Optimising the mechanisms of accountability</w:t>
                            </w:r>
                            <w:r w:rsidRPr="008F0DF0">
                              <w:rPr>
                                <w:b/>
                                <w:bCs/>
                                <w:i/>
                                <w:iCs/>
                                <w:szCs w:val="32"/>
                              </w:rPr>
                              <w:t xml:space="preserve"> by</w:t>
                            </w:r>
                            <w:r w:rsidR="007B4676" w:rsidRPr="008F0DF0">
                              <w:rPr>
                                <w:b/>
                                <w:bCs/>
                                <w:i/>
                                <w:iCs/>
                                <w:szCs w:val="32"/>
                              </w:rPr>
                              <w:t>:</w:t>
                            </w:r>
                          </w:p>
                          <w:p w14:paraId="5A0380F7" w14:textId="79B5DF35" w:rsidR="007B4676" w:rsidRPr="008F0DF0" w:rsidRDefault="00BA42F6" w:rsidP="00A41CAE">
                            <w:pPr>
                              <w:pStyle w:val="Titrecouverture"/>
                              <w:numPr>
                                <w:ilvl w:val="1"/>
                                <w:numId w:val="64"/>
                              </w:numPr>
                              <w:spacing w:after="0"/>
                              <w:ind w:hanging="91"/>
                              <w:jc w:val="both"/>
                              <w:rPr>
                                <w:b/>
                                <w:bCs/>
                                <w:i/>
                                <w:iCs/>
                                <w:sz w:val="28"/>
                                <w:szCs w:val="28"/>
                              </w:rPr>
                            </w:pPr>
                            <w:r w:rsidRPr="008F0DF0">
                              <w:rPr>
                                <w:b/>
                                <w:bCs/>
                                <w:i/>
                                <w:iCs/>
                                <w:sz w:val="28"/>
                                <w:szCs w:val="28"/>
                              </w:rPr>
                              <w:t>M</w:t>
                            </w:r>
                            <w:r w:rsidR="007B4676" w:rsidRPr="008F0DF0">
                              <w:rPr>
                                <w:b/>
                                <w:bCs/>
                                <w:i/>
                                <w:iCs/>
                                <w:sz w:val="28"/>
                                <w:szCs w:val="28"/>
                              </w:rPr>
                              <w:t>aking health information data available and comprehensible for the community</w:t>
                            </w:r>
                          </w:p>
                          <w:p w14:paraId="6643C502" w14:textId="77777777" w:rsidR="004D5894" w:rsidRPr="004D5894" w:rsidRDefault="00BA42F6" w:rsidP="00A41CAE">
                            <w:pPr>
                              <w:pStyle w:val="Titrecouverture"/>
                              <w:numPr>
                                <w:ilvl w:val="1"/>
                                <w:numId w:val="64"/>
                              </w:numPr>
                              <w:spacing w:after="0"/>
                              <w:ind w:hanging="91"/>
                              <w:jc w:val="both"/>
                              <w:rPr>
                                <w:b/>
                                <w:bCs/>
                                <w:i/>
                                <w:iCs/>
                                <w:szCs w:val="32"/>
                              </w:rPr>
                            </w:pPr>
                            <w:r w:rsidRPr="008F0DF0">
                              <w:rPr>
                                <w:b/>
                                <w:bCs/>
                                <w:i/>
                                <w:iCs/>
                                <w:sz w:val="28"/>
                                <w:szCs w:val="28"/>
                              </w:rPr>
                              <w:t>S</w:t>
                            </w:r>
                            <w:r w:rsidR="007B4676" w:rsidRPr="008F0DF0">
                              <w:rPr>
                                <w:b/>
                                <w:bCs/>
                                <w:i/>
                                <w:iCs/>
                                <w:sz w:val="28"/>
                                <w:szCs w:val="28"/>
                              </w:rPr>
                              <w:t>trengthen the Patient voice program</w:t>
                            </w:r>
                          </w:p>
                          <w:p w14:paraId="341CC313" w14:textId="10FB9051" w:rsidR="004F07DF" w:rsidRPr="008F0DF0" w:rsidRDefault="004D5894" w:rsidP="004D5894">
                            <w:pPr>
                              <w:pStyle w:val="Titrecouverture"/>
                              <w:spacing w:after="0"/>
                              <w:jc w:val="both"/>
                              <w:rPr>
                                <w:b/>
                                <w:bCs/>
                                <w:i/>
                                <w:iCs/>
                                <w:szCs w:val="32"/>
                              </w:rPr>
                            </w:pPr>
                            <w:r>
                              <w:rPr>
                                <w:b/>
                                <w:bCs/>
                                <w:i/>
                                <w:iCs/>
                                <w:sz w:val="28"/>
                                <w:szCs w:val="28"/>
                              </w:rPr>
                              <w:t>In seven districts in Rwanda</w:t>
                            </w:r>
                            <w:r w:rsidR="00553803" w:rsidRPr="008F0DF0">
                              <w:rPr>
                                <w:b/>
                                <w:bCs/>
                                <w:i/>
                                <w:iCs/>
                                <w:szCs w:val="32"/>
                              </w:rPr>
                              <w:t xml:space="preserve">” </w:t>
                            </w:r>
                          </w:p>
                          <w:p w14:paraId="68BB0559" w14:textId="6AF11BEE" w:rsidR="004F07DF" w:rsidRDefault="004F07DF" w:rsidP="004D5894">
                            <w:pPr>
                              <w:pStyle w:val="Titrecouverture"/>
                              <w:spacing w:before="240"/>
                              <w:rPr>
                                <w:b/>
                                <w:szCs w:val="32"/>
                                <w:lang w:val="en-US"/>
                              </w:rPr>
                            </w:pPr>
                            <w:r w:rsidRPr="00F91469">
                              <w:rPr>
                                <w:b/>
                                <w:bCs/>
                                <w:szCs w:val="32"/>
                                <w:lang w:val="en-US"/>
                              </w:rPr>
                              <w:t xml:space="preserve">Navision code: </w:t>
                            </w:r>
                            <w:r w:rsidR="00567CB0" w:rsidRPr="00567CB0">
                              <w:rPr>
                                <w:b/>
                                <w:szCs w:val="32"/>
                                <w:highlight w:val="yellow"/>
                                <w:lang w:val="en-US"/>
                              </w:rPr>
                              <w:t>RWA1900911</w:t>
                            </w:r>
                          </w:p>
                          <w:p w14:paraId="3EC96745" w14:textId="39477A3A" w:rsidR="00133712" w:rsidRPr="00BA42F6" w:rsidRDefault="004F093B" w:rsidP="004F07DF">
                            <w:pPr>
                              <w:pStyle w:val="Titrecouverture"/>
                              <w:rPr>
                                <w:b/>
                                <w:bCs/>
                                <w:szCs w:val="32"/>
                                <w:lang w:val="en-US"/>
                              </w:rPr>
                            </w:pPr>
                            <w:r>
                              <w:rPr>
                                <w:b/>
                                <w:szCs w:val="32"/>
                                <w:lang w:val="en-US"/>
                              </w:rPr>
                              <w:t>October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B874B" id="_x0000_t202" coordsize="21600,21600" o:spt="202" path="m,l,21600r21600,l21600,xe">
                <v:stroke joinstyle="miter"/>
                <v:path gradientshapeok="t" o:connecttype="rect"/>
              </v:shapetype>
              <v:shape id="Text Box 11" o:spid="_x0000_s1026" type="#_x0000_t202" style="position:absolute;margin-left:-50.35pt;margin-top:227.25pt;width:314.9pt;height:41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" fillcolor="window" stroked="f" strokeweight=".5pt">
                <v:textbox>
                  <w:txbxContent>
                    <w:p w14:paraId="612D0349" w14:textId="77777777" w:rsidR="004F07DF" w:rsidRPr="00AC4B24" w:rsidRDefault="004F07DF" w:rsidP="004F07DF">
                      <w:pPr>
                        <w:pStyle w:val="Titrecouverture"/>
                        <w:jc w:val="center"/>
                        <w:rPr>
                          <w:b/>
                          <w:bCs/>
                          <w:szCs w:val="32"/>
                        </w:rPr>
                      </w:pPr>
                      <w:r w:rsidRPr="00AC4B24">
                        <w:rPr>
                          <w:b/>
                          <w:bCs/>
                          <w:szCs w:val="32"/>
                        </w:rPr>
                        <w:t>Tender Specifications</w:t>
                      </w:r>
                    </w:p>
                    <w:p w14:paraId="16E40314" w14:textId="21BD018C" w:rsidR="004F07DF" w:rsidRPr="00AC4B24" w:rsidRDefault="00F2430E" w:rsidP="004F07DF">
                      <w:pPr>
                        <w:pStyle w:val="Titrecouverture"/>
                        <w:rPr>
                          <w:b/>
                          <w:bCs/>
                          <w:szCs w:val="32"/>
                        </w:rPr>
                      </w:pPr>
                      <w:r w:rsidRPr="00F2430E">
                        <w:rPr>
                          <w:b/>
                          <w:bCs/>
                          <w:szCs w:val="32"/>
                        </w:rPr>
                        <w:t>Tender N°: RWA19009-10065</w:t>
                      </w:r>
                    </w:p>
                    <w:p w14:paraId="538B8CE8" w14:textId="5953372C" w:rsidR="004F07DF" w:rsidRPr="00AC4B24" w:rsidRDefault="004F07DF" w:rsidP="004F07DF">
                      <w:pPr>
                        <w:pStyle w:val="Titrecouverture"/>
                        <w:rPr>
                          <w:b/>
                          <w:bCs/>
                          <w:szCs w:val="32"/>
                        </w:rPr>
                      </w:pPr>
                      <w:r w:rsidRPr="00AC4B24">
                        <w:rPr>
                          <w:b/>
                          <w:bCs/>
                          <w:szCs w:val="32"/>
                        </w:rPr>
                        <w:t>Services procurement contract for</w:t>
                      </w:r>
                    </w:p>
                    <w:p w14:paraId="7A9011E4" w14:textId="6DC2B0A0" w:rsidR="007B4676" w:rsidRPr="008F0DF0" w:rsidRDefault="004F07DF" w:rsidP="005548E6">
                      <w:pPr>
                        <w:pStyle w:val="Titrecouverture"/>
                        <w:spacing w:after="0"/>
                        <w:jc w:val="both"/>
                        <w:rPr>
                          <w:b/>
                          <w:bCs/>
                          <w:i/>
                          <w:iCs/>
                          <w:szCs w:val="32"/>
                        </w:rPr>
                      </w:pPr>
                      <w:r w:rsidRPr="008F0DF0">
                        <w:rPr>
                          <w:b/>
                          <w:bCs/>
                          <w:i/>
                          <w:iCs/>
                          <w:szCs w:val="32"/>
                        </w:rPr>
                        <w:t>“</w:t>
                      </w:r>
                      <w:r w:rsidR="007B4676" w:rsidRPr="008F0DF0">
                        <w:rPr>
                          <w:b/>
                          <w:bCs/>
                          <w:i/>
                          <w:iCs/>
                          <w:szCs w:val="32"/>
                        </w:rPr>
                        <w:t xml:space="preserve">Induce behavioural and social changes among the community regarding the </w:t>
                      </w:r>
                      <w:r w:rsidR="00B3746F">
                        <w:rPr>
                          <w:b/>
                          <w:bCs/>
                          <w:i/>
                          <w:iCs/>
                          <w:szCs w:val="32"/>
                        </w:rPr>
                        <w:t>MNASRH</w:t>
                      </w:r>
                      <w:r w:rsidR="007B4676" w:rsidRPr="008F0DF0">
                        <w:rPr>
                          <w:b/>
                          <w:bCs/>
                          <w:i/>
                          <w:iCs/>
                          <w:szCs w:val="32"/>
                        </w:rPr>
                        <w:t xml:space="preserve"> by</w:t>
                      </w:r>
                    </w:p>
                    <w:p w14:paraId="040B5EEE" w14:textId="185D9B5F" w:rsidR="007B4676" w:rsidRPr="008F0DF0" w:rsidRDefault="00BA42F6" w:rsidP="005548E6">
                      <w:pPr>
                        <w:pStyle w:val="Titrecouverture"/>
                        <w:spacing w:after="0"/>
                        <w:jc w:val="both"/>
                        <w:rPr>
                          <w:b/>
                          <w:bCs/>
                          <w:i/>
                          <w:iCs/>
                          <w:szCs w:val="32"/>
                        </w:rPr>
                      </w:pPr>
                      <w:r w:rsidRPr="008F0DF0">
                        <w:rPr>
                          <w:b/>
                          <w:bCs/>
                          <w:i/>
                          <w:iCs/>
                          <w:szCs w:val="32"/>
                        </w:rPr>
                        <w:t>1.</w:t>
                      </w:r>
                      <w:r w:rsidR="007B4676" w:rsidRPr="008F0DF0">
                        <w:rPr>
                          <w:b/>
                          <w:bCs/>
                          <w:i/>
                          <w:iCs/>
                          <w:szCs w:val="32"/>
                        </w:rPr>
                        <w:t xml:space="preserve"> Developing communication materials </w:t>
                      </w:r>
                    </w:p>
                    <w:p w14:paraId="434570C1" w14:textId="138F9298" w:rsidR="007B4676" w:rsidRPr="008F0DF0" w:rsidRDefault="00BA42F6" w:rsidP="005548E6">
                      <w:pPr>
                        <w:pStyle w:val="Titrecouverture"/>
                        <w:spacing w:after="0"/>
                        <w:jc w:val="both"/>
                        <w:rPr>
                          <w:b/>
                          <w:bCs/>
                          <w:i/>
                          <w:iCs/>
                          <w:szCs w:val="32"/>
                        </w:rPr>
                      </w:pPr>
                      <w:r w:rsidRPr="008F0DF0">
                        <w:rPr>
                          <w:b/>
                          <w:bCs/>
                          <w:i/>
                          <w:iCs/>
                          <w:szCs w:val="32"/>
                        </w:rPr>
                        <w:t>2.</w:t>
                      </w:r>
                      <w:r w:rsidR="007B4676" w:rsidRPr="008F0DF0">
                        <w:rPr>
                          <w:b/>
                          <w:bCs/>
                          <w:i/>
                          <w:iCs/>
                          <w:szCs w:val="32"/>
                        </w:rPr>
                        <w:t xml:space="preserve"> Optimising the mechanisms of accountability</w:t>
                      </w:r>
                      <w:r w:rsidRPr="008F0DF0">
                        <w:rPr>
                          <w:b/>
                          <w:bCs/>
                          <w:i/>
                          <w:iCs/>
                          <w:szCs w:val="32"/>
                        </w:rPr>
                        <w:t xml:space="preserve"> by</w:t>
                      </w:r>
                      <w:r w:rsidR="007B4676" w:rsidRPr="008F0DF0">
                        <w:rPr>
                          <w:b/>
                          <w:bCs/>
                          <w:i/>
                          <w:iCs/>
                          <w:szCs w:val="32"/>
                        </w:rPr>
                        <w:t>:</w:t>
                      </w:r>
                    </w:p>
                    <w:p w14:paraId="5A0380F7" w14:textId="79B5DF35" w:rsidR="007B4676" w:rsidRPr="008F0DF0" w:rsidRDefault="00BA42F6" w:rsidP="00A41CAE">
                      <w:pPr>
                        <w:pStyle w:val="Titrecouverture"/>
                        <w:numPr>
                          <w:ilvl w:val="1"/>
                          <w:numId w:val="64"/>
                        </w:numPr>
                        <w:spacing w:after="0"/>
                        <w:ind w:hanging="91"/>
                        <w:jc w:val="both"/>
                        <w:rPr>
                          <w:b/>
                          <w:bCs/>
                          <w:i/>
                          <w:iCs/>
                          <w:sz w:val="28"/>
                          <w:szCs w:val="28"/>
                        </w:rPr>
                      </w:pPr>
                      <w:r w:rsidRPr="008F0DF0">
                        <w:rPr>
                          <w:b/>
                          <w:bCs/>
                          <w:i/>
                          <w:iCs/>
                          <w:sz w:val="28"/>
                          <w:szCs w:val="28"/>
                        </w:rPr>
                        <w:t>M</w:t>
                      </w:r>
                      <w:r w:rsidR="007B4676" w:rsidRPr="008F0DF0">
                        <w:rPr>
                          <w:b/>
                          <w:bCs/>
                          <w:i/>
                          <w:iCs/>
                          <w:sz w:val="28"/>
                          <w:szCs w:val="28"/>
                        </w:rPr>
                        <w:t>aking health information data available and comprehensible for the community</w:t>
                      </w:r>
                    </w:p>
                    <w:p w14:paraId="6643C502" w14:textId="77777777" w:rsidR="004D5894" w:rsidRPr="004D5894" w:rsidRDefault="00BA42F6" w:rsidP="00A41CAE">
                      <w:pPr>
                        <w:pStyle w:val="Titrecouverture"/>
                        <w:numPr>
                          <w:ilvl w:val="1"/>
                          <w:numId w:val="64"/>
                        </w:numPr>
                        <w:spacing w:after="0"/>
                        <w:ind w:hanging="91"/>
                        <w:jc w:val="both"/>
                        <w:rPr>
                          <w:b/>
                          <w:bCs/>
                          <w:i/>
                          <w:iCs/>
                          <w:szCs w:val="32"/>
                        </w:rPr>
                      </w:pPr>
                      <w:r w:rsidRPr="008F0DF0">
                        <w:rPr>
                          <w:b/>
                          <w:bCs/>
                          <w:i/>
                          <w:iCs/>
                          <w:sz w:val="28"/>
                          <w:szCs w:val="28"/>
                        </w:rPr>
                        <w:t>S</w:t>
                      </w:r>
                      <w:r w:rsidR="007B4676" w:rsidRPr="008F0DF0">
                        <w:rPr>
                          <w:b/>
                          <w:bCs/>
                          <w:i/>
                          <w:iCs/>
                          <w:sz w:val="28"/>
                          <w:szCs w:val="28"/>
                        </w:rPr>
                        <w:t>trengthen the Patient voice program</w:t>
                      </w:r>
                    </w:p>
                    <w:p w14:paraId="341CC313" w14:textId="10FB9051" w:rsidR="004F07DF" w:rsidRPr="008F0DF0" w:rsidRDefault="004D5894" w:rsidP="004D5894">
                      <w:pPr>
                        <w:pStyle w:val="Titrecouverture"/>
                        <w:spacing w:after="0"/>
                        <w:jc w:val="both"/>
                        <w:rPr>
                          <w:b/>
                          <w:bCs/>
                          <w:i/>
                          <w:iCs/>
                          <w:szCs w:val="32"/>
                        </w:rPr>
                      </w:pPr>
                      <w:r>
                        <w:rPr>
                          <w:b/>
                          <w:bCs/>
                          <w:i/>
                          <w:iCs/>
                          <w:sz w:val="28"/>
                          <w:szCs w:val="28"/>
                        </w:rPr>
                        <w:t>In seven districts in Rwanda</w:t>
                      </w:r>
                      <w:r w:rsidR="00553803" w:rsidRPr="008F0DF0">
                        <w:rPr>
                          <w:b/>
                          <w:bCs/>
                          <w:i/>
                          <w:iCs/>
                          <w:szCs w:val="32"/>
                        </w:rPr>
                        <w:t xml:space="preserve">” </w:t>
                      </w:r>
                    </w:p>
                    <w:p w14:paraId="68BB0559" w14:textId="6AF11BEE" w:rsidR="004F07DF" w:rsidRDefault="004F07DF" w:rsidP="004D5894">
                      <w:pPr>
                        <w:pStyle w:val="Titrecouverture"/>
                        <w:spacing w:before="240"/>
                        <w:rPr>
                          <w:b/>
                          <w:szCs w:val="32"/>
                          <w:lang w:val="en-US"/>
                        </w:rPr>
                      </w:pPr>
                      <w:r w:rsidRPr="00F91469">
                        <w:rPr>
                          <w:b/>
                          <w:bCs/>
                          <w:szCs w:val="32"/>
                          <w:lang w:val="en-US"/>
                        </w:rPr>
                        <w:t xml:space="preserve">Navision code: </w:t>
                      </w:r>
                      <w:r w:rsidR="00567CB0" w:rsidRPr="00567CB0">
                        <w:rPr>
                          <w:b/>
                          <w:szCs w:val="32"/>
                          <w:highlight w:val="yellow"/>
                          <w:lang w:val="en-US"/>
                        </w:rPr>
                        <w:t>RWA1900911</w:t>
                      </w:r>
                    </w:p>
                    <w:p w14:paraId="3EC96745" w14:textId="39477A3A" w:rsidR="00133712" w:rsidRPr="00BA42F6" w:rsidRDefault="004F093B" w:rsidP="004F07DF">
                      <w:pPr>
                        <w:pStyle w:val="Titrecouverture"/>
                        <w:rPr>
                          <w:b/>
                          <w:bCs/>
                          <w:szCs w:val="32"/>
                          <w:lang w:val="en-US"/>
                        </w:rPr>
                      </w:pPr>
                      <w:r>
                        <w:rPr>
                          <w:b/>
                          <w:szCs w:val="32"/>
                          <w:lang w:val="en-US"/>
                        </w:rPr>
                        <w:t>October 2022</w:t>
                      </w:r>
                    </w:p>
                  </w:txbxContent>
                </v:textbox>
                <w10:wrap anchory="page"/>
                <w10:anchorlock/>
              </v:shape>
            </w:pict>
          </mc:Fallback>
        </mc:AlternateContent>
      </w:r>
    </w:p>
    <w:p w14:paraId="09E78257" w14:textId="77777777" w:rsidR="004F07DF" w:rsidRPr="003658B5" w:rsidRDefault="004F07DF" w:rsidP="004F07DF">
      <w:pPr>
        <w:pStyle w:val="TOCHeading"/>
        <w:spacing w:after="240"/>
        <w:rPr>
          <w:color w:val="585756"/>
        </w:rPr>
      </w:pPr>
      <w:r w:rsidRPr="003658B5">
        <w:rPr>
          <w:color w:val="585756"/>
        </w:rPr>
        <w:lastRenderedPageBreak/>
        <w:t>Table of contents</w:t>
      </w:r>
    </w:p>
    <w:p w14:paraId="17773C21" w14:textId="46C3CCD4" w:rsidR="00ED5D81" w:rsidRDefault="004F07DF">
      <w:pPr>
        <w:pStyle w:val="TOC1"/>
        <w:rPr>
          <w:rFonts w:asciiTheme="minorHAnsi" w:eastAsiaTheme="minorEastAsia" w:hAnsiTheme="minorHAnsi" w:cstheme="minorBidi"/>
          <w:b w:val="0"/>
          <w:noProof/>
          <w:color w:val="auto"/>
          <w:sz w:val="22"/>
          <w:lang w:val="fr-BE" w:eastAsia="fr-BE"/>
        </w:rPr>
      </w:pPr>
      <w:r w:rsidRPr="003658B5">
        <w:fldChar w:fldCharType="begin"/>
      </w:r>
      <w:r w:rsidRPr="003658B5">
        <w:instrText xml:space="preserve"> TOC \o "1-4" \h \z \u </w:instrText>
      </w:r>
      <w:r w:rsidRPr="003658B5">
        <w:fldChar w:fldCharType="separate"/>
      </w:r>
      <w:hyperlink w:anchor="_Toc117027450" w:history="1">
        <w:r w:rsidR="00ED5D81" w:rsidRPr="00866D7A">
          <w:rPr>
            <w:rStyle w:val="Hyperlink"/>
            <w:noProof/>
          </w:rPr>
          <w:t>1</w:t>
        </w:r>
        <w:r w:rsidR="00ED5D81">
          <w:rPr>
            <w:rFonts w:asciiTheme="minorHAnsi" w:eastAsiaTheme="minorEastAsia" w:hAnsiTheme="minorHAnsi" w:cstheme="minorBidi"/>
            <w:b w:val="0"/>
            <w:noProof/>
            <w:color w:val="auto"/>
            <w:sz w:val="22"/>
            <w:lang w:val="fr-BE" w:eastAsia="fr-BE"/>
          </w:rPr>
          <w:tab/>
        </w:r>
        <w:r w:rsidR="00ED5D81" w:rsidRPr="00866D7A">
          <w:rPr>
            <w:rStyle w:val="Hyperlink"/>
            <w:noProof/>
          </w:rPr>
          <w:t>General provisions</w:t>
        </w:r>
        <w:r w:rsidR="00ED5D81">
          <w:rPr>
            <w:noProof/>
            <w:webHidden/>
          </w:rPr>
          <w:tab/>
        </w:r>
        <w:r w:rsidR="00ED5D81">
          <w:rPr>
            <w:noProof/>
            <w:webHidden/>
          </w:rPr>
          <w:fldChar w:fldCharType="begin"/>
        </w:r>
        <w:r w:rsidR="00ED5D81">
          <w:rPr>
            <w:noProof/>
            <w:webHidden/>
          </w:rPr>
          <w:instrText xml:space="preserve"> PAGEREF _Toc117027450 \h </w:instrText>
        </w:r>
        <w:r w:rsidR="00ED5D81">
          <w:rPr>
            <w:noProof/>
            <w:webHidden/>
          </w:rPr>
        </w:r>
        <w:r w:rsidR="00ED5D81">
          <w:rPr>
            <w:noProof/>
            <w:webHidden/>
          </w:rPr>
          <w:fldChar w:fldCharType="separate"/>
        </w:r>
        <w:r w:rsidR="00ED5D81">
          <w:rPr>
            <w:noProof/>
            <w:webHidden/>
          </w:rPr>
          <w:t>5</w:t>
        </w:r>
        <w:r w:rsidR="00ED5D81">
          <w:rPr>
            <w:noProof/>
            <w:webHidden/>
          </w:rPr>
          <w:fldChar w:fldCharType="end"/>
        </w:r>
      </w:hyperlink>
    </w:p>
    <w:p w14:paraId="544A8DF0" w14:textId="406CC0EC"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51" w:history="1">
        <w:r w:rsidR="00ED5D81" w:rsidRPr="00866D7A">
          <w:rPr>
            <w:rStyle w:val="Hyperlink"/>
            <w:noProof/>
          </w:rPr>
          <w:t>1.1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Derogations from the General Implementing Rules</w:t>
        </w:r>
        <w:r w:rsidR="00ED5D81">
          <w:rPr>
            <w:noProof/>
            <w:webHidden/>
          </w:rPr>
          <w:tab/>
        </w:r>
        <w:r w:rsidR="00ED5D81">
          <w:rPr>
            <w:noProof/>
            <w:webHidden/>
          </w:rPr>
          <w:fldChar w:fldCharType="begin"/>
        </w:r>
        <w:r w:rsidR="00ED5D81">
          <w:rPr>
            <w:noProof/>
            <w:webHidden/>
          </w:rPr>
          <w:instrText xml:space="preserve"> PAGEREF _Toc117027451 \h </w:instrText>
        </w:r>
        <w:r w:rsidR="00ED5D81">
          <w:rPr>
            <w:noProof/>
            <w:webHidden/>
          </w:rPr>
        </w:r>
        <w:r w:rsidR="00ED5D81">
          <w:rPr>
            <w:noProof/>
            <w:webHidden/>
          </w:rPr>
          <w:fldChar w:fldCharType="separate"/>
        </w:r>
        <w:r w:rsidR="00ED5D81">
          <w:rPr>
            <w:noProof/>
            <w:webHidden/>
          </w:rPr>
          <w:t>5</w:t>
        </w:r>
        <w:r w:rsidR="00ED5D81">
          <w:rPr>
            <w:noProof/>
            <w:webHidden/>
          </w:rPr>
          <w:fldChar w:fldCharType="end"/>
        </w:r>
      </w:hyperlink>
    </w:p>
    <w:p w14:paraId="4B3402C2" w14:textId="45FA0BDD"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52" w:history="1">
        <w:r w:rsidR="00ED5D81" w:rsidRPr="00866D7A">
          <w:rPr>
            <w:rStyle w:val="Hyperlink"/>
            <w:noProof/>
          </w:rPr>
          <w:t>1.2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Contracting authority</w:t>
        </w:r>
        <w:r w:rsidR="00ED5D81">
          <w:rPr>
            <w:noProof/>
            <w:webHidden/>
          </w:rPr>
          <w:tab/>
        </w:r>
        <w:r w:rsidR="00ED5D81">
          <w:rPr>
            <w:noProof/>
            <w:webHidden/>
          </w:rPr>
          <w:fldChar w:fldCharType="begin"/>
        </w:r>
        <w:r w:rsidR="00ED5D81">
          <w:rPr>
            <w:noProof/>
            <w:webHidden/>
          </w:rPr>
          <w:instrText xml:space="preserve"> PAGEREF _Toc117027452 \h </w:instrText>
        </w:r>
        <w:r w:rsidR="00ED5D81">
          <w:rPr>
            <w:noProof/>
            <w:webHidden/>
          </w:rPr>
        </w:r>
        <w:r w:rsidR="00ED5D81">
          <w:rPr>
            <w:noProof/>
            <w:webHidden/>
          </w:rPr>
          <w:fldChar w:fldCharType="separate"/>
        </w:r>
        <w:r w:rsidR="00ED5D81">
          <w:rPr>
            <w:noProof/>
            <w:webHidden/>
          </w:rPr>
          <w:t>5</w:t>
        </w:r>
        <w:r w:rsidR="00ED5D81">
          <w:rPr>
            <w:noProof/>
            <w:webHidden/>
          </w:rPr>
          <w:fldChar w:fldCharType="end"/>
        </w:r>
      </w:hyperlink>
    </w:p>
    <w:p w14:paraId="255AACC3" w14:textId="243B242D"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53" w:history="1">
        <w:r w:rsidR="00ED5D81" w:rsidRPr="00866D7A">
          <w:rPr>
            <w:rStyle w:val="Hyperlink"/>
            <w:noProof/>
          </w:rPr>
          <w:t>1.3</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Institutional setting of Enabel</w:t>
        </w:r>
        <w:r w:rsidR="00ED5D81">
          <w:rPr>
            <w:noProof/>
            <w:webHidden/>
          </w:rPr>
          <w:tab/>
        </w:r>
        <w:r w:rsidR="00ED5D81">
          <w:rPr>
            <w:noProof/>
            <w:webHidden/>
          </w:rPr>
          <w:fldChar w:fldCharType="begin"/>
        </w:r>
        <w:r w:rsidR="00ED5D81">
          <w:rPr>
            <w:noProof/>
            <w:webHidden/>
          </w:rPr>
          <w:instrText xml:space="preserve"> PAGEREF _Toc117027453 \h </w:instrText>
        </w:r>
        <w:r w:rsidR="00ED5D81">
          <w:rPr>
            <w:noProof/>
            <w:webHidden/>
          </w:rPr>
        </w:r>
        <w:r w:rsidR="00ED5D81">
          <w:rPr>
            <w:noProof/>
            <w:webHidden/>
          </w:rPr>
          <w:fldChar w:fldCharType="separate"/>
        </w:r>
        <w:r w:rsidR="00ED5D81">
          <w:rPr>
            <w:noProof/>
            <w:webHidden/>
          </w:rPr>
          <w:t>5</w:t>
        </w:r>
        <w:r w:rsidR="00ED5D81">
          <w:rPr>
            <w:noProof/>
            <w:webHidden/>
          </w:rPr>
          <w:fldChar w:fldCharType="end"/>
        </w:r>
      </w:hyperlink>
    </w:p>
    <w:p w14:paraId="22A277FA" w14:textId="415F59C7"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54" w:history="1">
        <w:r w:rsidR="00ED5D81" w:rsidRPr="00866D7A">
          <w:rPr>
            <w:rStyle w:val="Hyperlink"/>
            <w:noProof/>
          </w:rPr>
          <w:t>1.4</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Rules governing the procurement contract</w:t>
        </w:r>
        <w:r w:rsidR="00ED5D81">
          <w:rPr>
            <w:noProof/>
            <w:webHidden/>
          </w:rPr>
          <w:tab/>
        </w:r>
        <w:r w:rsidR="00ED5D81">
          <w:rPr>
            <w:noProof/>
            <w:webHidden/>
          </w:rPr>
          <w:fldChar w:fldCharType="begin"/>
        </w:r>
        <w:r w:rsidR="00ED5D81">
          <w:rPr>
            <w:noProof/>
            <w:webHidden/>
          </w:rPr>
          <w:instrText xml:space="preserve"> PAGEREF _Toc117027454 \h </w:instrText>
        </w:r>
        <w:r w:rsidR="00ED5D81">
          <w:rPr>
            <w:noProof/>
            <w:webHidden/>
          </w:rPr>
        </w:r>
        <w:r w:rsidR="00ED5D81">
          <w:rPr>
            <w:noProof/>
            <w:webHidden/>
          </w:rPr>
          <w:fldChar w:fldCharType="separate"/>
        </w:r>
        <w:r w:rsidR="00ED5D81">
          <w:rPr>
            <w:noProof/>
            <w:webHidden/>
          </w:rPr>
          <w:t>6</w:t>
        </w:r>
        <w:r w:rsidR="00ED5D81">
          <w:rPr>
            <w:noProof/>
            <w:webHidden/>
          </w:rPr>
          <w:fldChar w:fldCharType="end"/>
        </w:r>
      </w:hyperlink>
    </w:p>
    <w:p w14:paraId="4DE18211" w14:textId="2CDD7DF4"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55" w:history="1">
        <w:r w:rsidR="00ED5D81" w:rsidRPr="00866D7A">
          <w:rPr>
            <w:rStyle w:val="Hyperlink"/>
            <w:noProof/>
          </w:rPr>
          <w:t>1.5</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Definitions</w:t>
        </w:r>
        <w:r w:rsidR="00ED5D81">
          <w:rPr>
            <w:noProof/>
            <w:webHidden/>
          </w:rPr>
          <w:tab/>
        </w:r>
        <w:r w:rsidR="00ED5D81">
          <w:rPr>
            <w:noProof/>
            <w:webHidden/>
          </w:rPr>
          <w:fldChar w:fldCharType="begin"/>
        </w:r>
        <w:r w:rsidR="00ED5D81">
          <w:rPr>
            <w:noProof/>
            <w:webHidden/>
          </w:rPr>
          <w:instrText xml:space="preserve"> PAGEREF _Toc117027455 \h </w:instrText>
        </w:r>
        <w:r w:rsidR="00ED5D81">
          <w:rPr>
            <w:noProof/>
            <w:webHidden/>
          </w:rPr>
        </w:r>
        <w:r w:rsidR="00ED5D81">
          <w:rPr>
            <w:noProof/>
            <w:webHidden/>
          </w:rPr>
          <w:fldChar w:fldCharType="separate"/>
        </w:r>
        <w:r w:rsidR="00ED5D81">
          <w:rPr>
            <w:noProof/>
            <w:webHidden/>
          </w:rPr>
          <w:t>7</w:t>
        </w:r>
        <w:r w:rsidR="00ED5D81">
          <w:rPr>
            <w:noProof/>
            <w:webHidden/>
          </w:rPr>
          <w:fldChar w:fldCharType="end"/>
        </w:r>
      </w:hyperlink>
    </w:p>
    <w:p w14:paraId="5F47B49E" w14:textId="52284242"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56" w:history="1">
        <w:r w:rsidR="00ED5D81" w:rsidRPr="00866D7A">
          <w:rPr>
            <w:rStyle w:val="Hyperlink"/>
            <w:noProof/>
            <w:lang w:val="en-US"/>
          </w:rPr>
          <w:t>1.6</w:t>
        </w:r>
        <w:r w:rsidR="00ED5D81">
          <w:rPr>
            <w:rFonts w:asciiTheme="minorHAnsi" w:eastAsiaTheme="minorEastAsia" w:hAnsiTheme="minorHAnsi" w:cstheme="minorBidi"/>
            <w:noProof/>
            <w:color w:val="auto"/>
            <w:sz w:val="22"/>
            <w:lang w:val="fr-BE" w:eastAsia="fr-BE"/>
          </w:rPr>
          <w:tab/>
        </w:r>
        <w:r w:rsidR="00ED5D81" w:rsidRPr="00866D7A">
          <w:rPr>
            <w:rStyle w:val="Hyperlink"/>
            <w:noProof/>
            <w:lang w:val="en-US"/>
          </w:rPr>
          <w:t>Processing of personal data by the contracting authority and confidentiality</w:t>
        </w:r>
        <w:r w:rsidR="00ED5D81">
          <w:rPr>
            <w:noProof/>
            <w:webHidden/>
          </w:rPr>
          <w:tab/>
        </w:r>
        <w:r w:rsidR="00ED5D81">
          <w:rPr>
            <w:noProof/>
            <w:webHidden/>
          </w:rPr>
          <w:fldChar w:fldCharType="begin"/>
        </w:r>
        <w:r w:rsidR="00ED5D81">
          <w:rPr>
            <w:noProof/>
            <w:webHidden/>
          </w:rPr>
          <w:instrText xml:space="preserve"> PAGEREF _Toc117027456 \h </w:instrText>
        </w:r>
        <w:r w:rsidR="00ED5D81">
          <w:rPr>
            <w:noProof/>
            <w:webHidden/>
          </w:rPr>
        </w:r>
        <w:r w:rsidR="00ED5D81">
          <w:rPr>
            <w:noProof/>
            <w:webHidden/>
          </w:rPr>
          <w:fldChar w:fldCharType="separate"/>
        </w:r>
        <w:r w:rsidR="00ED5D81">
          <w:rPr>
            <w:noProof/>
            <w:webHidden/>
          </w:rPr>
          <w:t>8</w:t>
        </w:r>
        <w:r w:rsidR="00ED5D81">
          <w:rPr>
            <w:noProof/>
            <w:webHidden/>
          </w:rPr>
          <w:fldChar w:fldCharType="end"/>
        </w:r>
      </w:hyperlink>
    </w:p>
    <w:p w14:paraId="5CE9078F" w14:textId="0D2BDE38" w:rsidR="00ED5D81" w:rsidRDefault="00000000">
      <w:pPr>
        <w:pStyle w:val="TOC3"/>
        <w:rPr>
          <w:rFonts w:asciiTheme="minorHAnsi" w:eastAsiaTheme="minorEastAsia" w:hAnsiTheme="minorHAnsi" w:cstheme="minorBidi"/>
          <w:noProof/>
          <w:color w:val="auto"/>
          <w:sz w:val="22"/>
          <w:lang w:val="fr-BE" w:eastAsia="fr-BE"/>
        </w:rPr>
      </w:pPr>
      <w:hyperlink w:anchor="_Toc117027457" w:history="1">
        <w:r w:rsidR="00ED5D81" w:rsidRPr="00866D7A">
          <w:rPr>
            <w:rStyle w:val="Hyperlink"/>
            <w:noProof/>
            <w:lang w:val="en-US"/>
          </w:rPr>
          <w:t>1.6.1</w:t>
        </w:r>
        <w:r w:rsidR="00ED5D81">
          <w:rPr>
            <w:rFonts w:asciiTheme="minorHAnsi" w:eastAsiaTheme="minorEastAsia" w:hAnsiTheme="minorHAnsi" w:cstheme="minorBidi"/>
            <w:noProof/>
            <w:color w:val="auto"/>
            <w:sz w:val="22"/>
            <w:lang w:val="fr-BE" w:eastAsia="fr-BE"/>
          </w:rPr>
          <w:tab/>
        </w:r>
        <w:r w:rsidR="00ED5D81" w:rsidRPr="00866D7A">
          <w:rPr>
            <w:rStyle w:val="Hyperlink"/>
            <w:noProof/>
            <w:lang w:val="en-US"/>
          </w:rPr>
          <w:t>Processing of personal data by the contracting authority</w:t>
        </w:r>
        <w:r w:rsidR="00ED5D81">
          <w:rPr>
            <w:noProof/>
            <w:webHidden/>
          </w:rPr>
          <w:tab/>
        </w:r>
        <w:r w:rsidR="00ED5D81">
          <w:rPr>
            <w:noProof/>
            <w:webHidden/>
          </w:rPr>
          <w:fldChar w:fldCharType="begin"/>
        </w:r>
        <w:r w:rsidR="00ED5D81">
          <w:rPr>
            <w:noProof/>
            <w:webHidden/>
          </w:rPr>
          <w:instrText xml:space="preserve"> PAGEREF _Toc117027457 \h </w:instrText>
        </w:r>
        <w:r w:rsidR="00ED5D81">
          <w:rPr>
            <w:noProof/>
            <w:webHidden/>
          </w:rPr>
        </w:r>
        <w:r w:rsidR="00ED5D81">
          <w:rPr>
            <w:noProof/>
            <w:webHidden/>
          </w:rPr>
          <w:fldChar w:fldCharType="separate"/>
        </w:r>
        <w:r w:rsidR="00ED5D81">
          <w:rPr>
            <w:noProof/>
            <w:webHidden/>
          </w:rPr>
          <w:t>8</w:t>
        </w:r>
        <w:r w:rsidR="00ED5D81">
          <w:rPr>
            <w:noProof/>
            <w:webHidden/>
          </w:rPr>
          <w:fldChar w:fldCharType="end"/>
        </w:r>
      </w:hyperlink>
    </w:p>
    <w:p w14:paraId="72D3E3F2" w14:textId="508E4F7C" w:rsidR="00ED5D81" w:rsidRDefault="00000000">
      <w:pPr>
        <w:pStyle w:val="TOC3"/>
        <w:rPr>
          <w:rFonts w:asciiTheme="minorHAnsi" w:eastAsiaTheme="minorEastAsia" w:hAnsiTheme="minorHAnsi" w:cstheme="minorBidi"/>
          <w:noProof/>
          <w:color w:val="auto"/>
          <w:sz w:val="22"/>
          <w:lang w:val="fr-BE" w:eastAsia="fr-BE"/>
        </w:rPr>
      </w:pPr>
      <w:hyperlink w:anchor="_Toc117027458" w:history="1">
        <w:r w:rsidR="00ED5D81" w:rsidRPr="00866D7A">
          <w:rPr>
            <w:rStyle w:val="Hyperlink"/>
            <w:noProof/>
            <w:lang w:val="en-US"/>
          </w:rPr>
          <w:t>1.6.2</w:t>
        </w:r>
        <w:r w:rsidR="00ED5D81">
          <w:rPr>
            <w:rFonts w:asciiTheme="minorHAnsi" w:eastAsiaTheme="minorEastAsia" w:hAnsiTheme="minorHAnsi" w:cstheme="minorBidi"/>
            <w:noProof/>
            <w:color w:val="auto"/>
            <w:sz w:val="22"/>
            <w:lang w:val="fr-BE" w:eastAsia="fr-BE"/>
          </w:rPr>
          <w:tab/>
        </w:r>
        <w:r w:rsidR="00ED5D81" w:rsidRPr="00866D7A">
          <w:rPr>
            <w:rStyle w:val="Hyperlink"/>
            <w:noProof/>
            <w:lang w:val="en-US"/>
          </w:rPr>
          <w:t>Confidentiality</w:t>
        </w:r>
        <w:r w:rsidR="00ED5D81">
          <w:rPr>
            <w:noProof/>
            <w:webHidden/>
          </w:rPr>
          <w:tab/>
        </w:r>
        <w:r w:rsidR="00ED5D81">
          <w:rPr>
            <w:noProof/>
            <w:webHidden/>
          </w:rPr>
          <w:fldChar w:fldCharType="begin"/>
        </w:r>
        <w:r w:rsidR="00ED5D81">
          <w:rPr>
            <w:noProof/>
            <w:webHidden/>
          </w:rPr>
          <w:instrText xml:space="preserve"> PAGEREF _Toc117027458 \h </w:instrText>
        </w:r>
        <w:r w:rsidR="00ED5D81">
          <w:rPr>
            <w:noProof/>
            <w:webHidden/>
          </w:rPr>
        </w:r>
        <w:r w:rsidR="00ED5D81">
          <w:rPr>
            <w:noProof/>
            <w:webHidden/>
          </w:rPr>
          <w:fldChar w:fldCharType="separate"/>
        </w:r>
        <w:r w:rsidR="00ED5D81">
          <w:rPr>
            <w:noProof/>
            <w:webHidden/>
          </w:rPr>
          <w:t>8</w:t>
        </w:r>
        <w:r w:rsidR="00ED5D81">
          <w:rPr>
            <w:noProof/>
            <w:webHidden/>
          </w:rPr>
          <w:fldChar w:fldCharType="end"/>
        </w:r>
      </w:hyperlink>
    </w:p>
    <w:p w14:paraId="45DCA370" w14:textId="03283E90"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59" w:history="1">
        <w:r w:rsidR="00ED5D81" w:rsidRPr="00866D7A">
          <w:rPr>
            <w:rStyle w:val="Hyperlink"/>
            <w:noProof/>
          </w:rPr>
          <w:t>1.7</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Deontological obligations</w:t>
        </w:r>
        <w:r w:rsidR="00ED5D81">
          <w:rPr>
            <w:noProof/>
            <w:webHidden/>
          </w:rPr>
          <w:tab/>
        </w:r>
        <w:r w:rsidR="00ED5D81">
          <w:rPr>
            <w:noProof/>
            <w:webHidden/>
          </w:rPr>
          <w:fldChar w:fldCharType="begin"/>
        </w:r>
        <w:r w:rsidR="00ED5D81">
          <w:rPr>
            <w:noProof/>
            <w:webHidden/>
          </w:rPr>
          <w:instrText xml:space="preserve"> PAGEREF _Toc117027459 \h </w:instrText>
        </w:r>
        <w:r w:rsidR="00ED5D81">
          <w:rPr>
            <w:noProof/>
            <w:webHidden/>
          </w:rPr>
        </w:r>
        <w:r w:rsidR="00ED5D81">
          <w:rPr>
            <w:noProof/>
            <w:webHidden/>
          </w:rPr>
          <w:fldChar w:fldCharType="separate"/>
        </w:r>
        <w:r w:rsidR="00ED5D81">
          <w:rPr>
            <w:noProof/>
            <w:webHidden/>
          </w:rPr>
          <w:t>8</w:t>
        </w:r>
        <w:r w:rsidR="00ED5D81">
          <w:rPr>
            <w:noProof/>
            <w:webHidden/>
          </w:rPr>
          <w:fldChar w:fldCharType="end"/>
        </w:r>
      </w:hyperlink>
    </w:p>
    <w:p w14:paraId="3C76E883" w14:textId="272BE2D0"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60" w:history="1">
        <w:r w:rsidR="00ED5D81" w:rsidRPr="00866D7A">
          <w:rPr>
            <w:rStyle w:val="Hyperlink"/>
            <w:noProof/>
          </w:rPr>
          <w:t>1.8</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Applicable law and competent courts</w:t>
        </w:r>
        <w:r w:rsidR="00ED5D81">
          <w:rPr>
            <w:noProof/>
            <w:webHidden/>
          </w:rPr>
          <w:tab/>
        </w:r>
        <w:r w:rsidR="00ED5D81">
          <w:rPr>
            <w:noProof/>
            <w:webHidden/>
          </w:rPr>
          <w:fldChar w:fldCharType="begin"/>
        </w:r>
        <w:r w:rsidR="00ED5D81">
          <w:rPr>
            <w:noProof/>
            <w:webHidden/>
          </w:rPr>
          <w:instrText xml:space="preserve"> PAGEREF _Toc117027460 \h </w:instrText>
        </w:r>
        <w:r w:rsidR="00ED5D81">
          <w:rPr>
            <w:noProof/>
            <w:webHidden/>
          </w:rPr>
        </w:r>
        <w:r w:rsidR="00ED5D81">
          <w:rPr>
            <w:noProof/>
            <w:webHidden/>
          </w:rPr>
          <w:fldChar w:fldCharType="separate"/>
        </w:r>
        <w:r w:rsidR="00ED5D81">
          <w:rPr>
            <w:noProof/>
            <w:webHidden/>
          </w:rPr>
          <w:t>9</w:t>
        </w:r>
        <w:r w:rsidR="00ED5D81">
          <w:rPr>
            <w:noProof/>
            <w:webHidden/>
          </w:rPr>
          <w:fldChar w:fldCharType="end"/>
        </w:r>
      </w:hyperlink>
    </w:p>
    <w:p w14:paraId="38C2C7DA" w14:textId="7472ABD2" w:rsidR="00ED5D81" w:rsidRDefault="00000000">
      <w:pPr>
        <w:pStyle w:val="TOC1"/>
        <w:rPr>
          <w:rFonts w:asciiTheme="minorHAnsi" w:eastAsiaTheme="minorEastAsia" w:hAnsiTheme="minorHAnsi" w:cstheme="minorBidi"/>
          <w:b w:val="0"/>
          <w:noProof/>
          <w:color w:val="auto"/>
          <w:sz w:val="22"/>
          <w:lang w:val="fr-BE" w:eastAsia="fr-BE"/>
        </w:rPr>
      </w:pPr>
      <w:hyperlink w:anchor="_Toc117027461" w:history="1">
        <w:r w:rsidR="00ED5D81" w:rsidRPr="00866D7A">
          <w:rPr>
            <w:rStyle w:val="Hyperlink"/>
            <w:noProof/>
          </w:rPr>
          <w:t>2</w:t>
        </w:r>
        <w:r w:rsidR="00ED5D81">
          <w:rPr>
            <w:rFonts w:asciiTheme="minorHAnsi" w:eastAsiaTheme="minorEastAsia" w:hAnsiTheme="minorHAnsi" w:cstheme="minorBidi"/>
            <w:b w:val="0"/>
            <w:noProof/>
            <w:color w:val="auto"/>
            <w:sz w:val="22"/>
            <w:lang w:val="fr-BE" w:eastAsia="fr-BE"/>
          </w:rPr>
          <w:tab/>
        </w:r>
        <w:r w:rsidR="00ED5D81" w:rsidRPr="00866D7A">
          <w:rPr>
            <w:rStyle w:val="Hyperlink"/>
            <w:noProof/>
          </w:rPr>
          <w:t>Subject-matter and scope of the procurement contract</w:t>
        </w:r>
        <w:r w:rsidR="00ED5D81">
          <w:rPr>
            <w:noProof/>
            <w:webHidden/>
          </w:rPr>
          <w:tab/>
        </w:r>
        <w:r w:rsidR="00ED5D81">
          <w:rPr>
            <w:noProof/>
            <w:webHidden/>
          </w:rPr>
          <w:fldChar w:fldCharType="begin"/>
        </w:r>
        <w:r w:rsidR="00ED5D81">
          <w:rPr>
            <w:noProof/>
            <w:webHidden/>
          </w:rPr>
          <w:instrText xml:space="preserve"> PAGEREF _Toc117027461 \h </w:instrText>
        </w:r>
        <w:r w:rsidR="00ED5D81">
          <w:rPr>
            <w:noProof/>
            <w:webHidden/>
          </w:rPr>
        </w:r>
        <w:r w:rsidR="00ED5D81">
          <w:rPr>
            <w:noProof/>
            <w:webHidden/>
          </w:rPr>
          <w:fldChar w:fldCharType="separate"/>
        </w:r>
        <w:r w:rsidR="00ED5D81">
          <w:rPr>
            <w:noProof/>
            <w:webHidden/>
          </w:rPr>
          <w:t>10</w:t>
        </w:r>
        <w:r w:rsidR="00ED5D81">
          <w:rPr>
            <w:noProof/>
            <w:webHidden/>
          </w:rPr>
          <w:fldChar w:fldCharType="end"/>
        </w:r>
      </w:hyperlink>
    </w:p>
    <w:p w14:paraId="2379BD01" w14:textId="5F68FB39"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62" w:history="1">
        <w:r w:rsidR="00ED5D81" w:rsidRPr="00866D7A">
          <w:rPr>
            <w:rStyle w:val="Hyperlink"/>
            <w:noProof/>
          </w:rPr>
          <w:t>2.1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Type of procurement contract</w:t>
        </w:r>
        <w:r w:rsidR="00ED5D81">
          <w:rPr>
            <w:noProof/>
            <w:webHidden/>
          </w:rPr>
          <w:tab/>
        </w:r>
        <w:r w:rsidR="00ED5D81">
          <w:rPr>
            <w:noProof/>
            <w:webHidden/>
          </w:rPr>
          <w:fldChar w:fldCharType="begin"/>
        </w:r>
        <w:r w:rsidR="00ED5D81">
          <w:rPr>
            <w:noProof/>
            <w:webHidden/>
          </w:rPr>
          <w:instrText xml:space="preserve"> PAGEREF _Toc117027462 \h </w:instrText>
        </w:r>
        <w:r w:rsidR="00ED5D81">
          <w:rPr>
            <w:noProof/>
            <w:webHidden/>
          </w:rPr>
        </w:r>
        <w:r w:rsidR="00ED5D81">
          <w:rPr>
            <w:noProof/>
            <w:webHidden/>
          </w:rPr>
          <w:fldChar w:fldCharType="separate"/>
        </w:r>
        <w:r w:rsidR="00ED5D81">
          <w:rPr>
            <w:noProof/>
            <w:webHidden/>
          </w:rPr>
          <w:t>10</w:t>
        </w:r>
        <w:r w:rsidR="00ED5D81">
          <w:rPr>
            <w:noProof/>
            <w:webHidden/>
          </w:rPr>
          <w:fldChar w:fldCharType="end"/>
        </w:r>
      </w:hyperlink>
    </w:p>
    <w:p w14:paraId="10549BCB" w14:textId="10E13227"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63" w:history="1">
        <w:r w:rsidR="00ED5D81" w:rsidRPr="00866D7A">
          <w:rPr>
            <w:rStyle w:val="Hyperlink"/>
            <w:noProof/>
          </w:rPr>
          <w:t>2.2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Subject-matter of the procurement contract</w:t>
        </w:r>
        <w:r w:rsidR="00ED5D81">
          <w:rPr>
            <w:noProof/>
            <w:webHidden/>
          </w:rPr>
          <w:tab/>
        </w:r>
        <w:r w:rsidR="00ED5D81">
          <w:rPr>
            <w:noProof/>
            <w:webHidden/>
          </w:rPr>
          <w:fldChar w:fldCharType="begin"/>
        </w:r>
        <w:r w:rsidR="00ED5D81">
          <w:rPr>
            <w:noProof/>
            <w:webHidden/>
          </w:rPr>
          <w:instrText xml:space="preserve"> PAGEREF _Toc117027463 \h </w:instrText>
        </w:r>
        <w:r w:rsidR="00ED5D81">
          <w:rPr>
            <w:noProof/>
            <w:webHidden/>
          </w:rPr>
        </w:r>
        <w:r w:rsidR="00ED5D81">
          <w:rPr>
            <w:noProof/>
            <w:webHidden/>
          </w:rPr>
          <w:fldChar w:fldCharType="separate"/>
        </w:r>
        <w:r w:rsidR="00ED5D81">
          <w:rPr>
            <w:noProof/>
            <w:webHidden/>
          </w:rPr>
          <w:t>10</w:t>
        </w:r>
        <w:r w:rsidR="00ED5D81">
          <w:rPr>
            <w:noProof/>
            <w:webHidden/>
          </w:rPr>
          <w:fldChar w:fldCharType="end"/>
        </w:r>
      </w:hyperlink>
    </w:p>
    <w:p w14:paraId="18E978B7" w14:textId="46885365"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64" w:history="1">
        <w:r w:rsidR="00ED5D81" w:rsidRPr="00866D7A">
          <w:rPr>
            <w:rStyle w:val="Hyperlink"/>
            <w:noProof/>
          </w:rPr>
          <w:t>2.3</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Lots</w:t>
        </w:r>
        <w:r w:rsidR="00ED5D81">
          <w:rPr>
            <w:noProof/>
            <w:webHidden/>
          </w:rPr>
          <w:tab/>
        </w:r>
        <w:r w:rsidR="00ED5D81">
          <w:rPr>
            <w:noProof/>
            <w:webHidden/>
          </w:rPr>
          <w:fldChar w:fldCharType="begin"/>
        </w:r>
        <w:r w:rsidR="00ED5D81">
          <w:rPr>
            <w:noProof/>
            <w:webHidden/>
          </w:rPr>
          <w:instrText xml:space="preserve"> PAGEREF _Toc117027464 \h </w:instrText>
        </w:r>
        <w:r w:rsidR="00ED5D81">
          <w:rPr>
            <w:noProof/>
            <w:webHidden/>
          </w:rPr>
        </w:r>
        <w:r w:rsidR="00ED5D81">
          <w:rPr>
            <w:noProof/>
            <w:webHidden/>
          </w:rPr>
          <w:fldChar w:fldCharType="separate"/>
        </w:r>
        <w:r w:rsidR="00ED5D81">
          <w:rPr>
            <w:noProof/>
            <w:webHidden/>
          </w:rPr>
          <w:t>10</w:t>
        </w:r>
        <w:r w:rsidR="00ED5D81">
          <w:rPr>
            <w:noProof/>
            <w:webHidden/>
          </w:rPr>
          <w:fldChar w:fldCharType="end"/>
        </w:r>
      </w:hyperlink>
    </w:p>
    <w:p w14:paraId="4FC8C046" w14:textId="2C2CD943"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65" w:history="1">
        <w:r w:rsidR="00ED5D81" w:rsidRPr="00866D7A">
          <w:rPr>
            <w:rStyle w:val="Hyperlink"/>
            <w:noProof/>
          </w:rPr>
          <w:t>2.4</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Items</w:t>
        </w:r>
        <w:r w:rsidR="00ED5D81">
          <w:rPr>
            <w:noProof/>
            <w:webHidden/>
          </w:rPr>
          <w:tab/>
        </w:r>
        <w:r w:rsidR="00ED5D81">
          <w:rPr>
            <w:noProof/>
            <w:webHidden/>
          </w:rPr>
          <w:fldChar w:fldCharType="begin"/>
        </w:r>
        <w:r w:rsidR="00ED5D81">
          <w:rPr>
            <w:noProof/>
            <w:webHidden/>
          </w:rPr>
          <w:instrText xml:space="preserve"> PAGEREF _Toc117027465 \h </w:instrText>
        </w:r>
        <w:r w:rsidR="00ED5D81">
          <w:rPr>
            <w:noProof/>
            <w:webHidden/>
          </w:rPr>
        </w:r>
        <w:r w:rsidR="00ED5D81">
          <w:rPr>
            <w:noProof/>
            <w:webHidden/>
          </w:rPr>
          <w:fldChar w:fldCharType="separate"/>
        </w:r>
        <w:r w:rsidR="00ED5D81">
          <w:rPr>
            <w:noProof/>
            <w:webHidden/>
          </w:rPr>
          <w:t>10</w:t>
        </w:r>
        <w:r w:rsidR="00ED5D81">
          <w:rPr>
            <w:noProof/>
            <w:webHidden/>
          </w:rPr>
          <w:fldChar w:fldCharType="end"/>
        </w:r>
      </w:hyperlink>
    </w:p>
    <w:p w14:paraId="63851552" w14:textId="65F9EAD0"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66" w:history="1">
        <w:r w:rsidR="00ED5D81" w:rsidRPr="00866D7A">
          <w:rPr>
            <w:rStyle w:val="Hyperlink"/>
            <w:noProof/>
          </w:rPr>
          <w:t>2.5</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Term of the procurement contract</w:t>
        </w:r>
        <w:r w:rsidR="00ED5D81">
          <w:rPr>
            <w:noProof/>
            <w:webHidden/>
          </w:rPr>
          <w:tab/>
        </w:r>
        <w:r w:rsidR="00ED5D81">
          <w:rPr>
            <w:noProof/>
            <w:webHidden/>
          </w:rPr>
          <w:fldChar w:fldCharType="begin"/>
        </w:r>
        <w:r w:rsidR="00ED5D81">
          <w:rPr>
            <w:noProof/>
            <w:webHidden/>
          </w:rPr>
          <w:instrText xml:space="preserve"> PAGEREF _Toc117027466 \h </w:instrText>
        </w:r>
        <w:r w:rsidR="00ED5D81">
          <w:rPr>
            <w:noProof/>
            <w:webHidden/>
          </w:rPr>
        </w:r>
        <w:r w:rsidR="00ED5D81">
          <w:rPr>
            <w:noProof/>
            <w:webHidden/>
          </w:rPr>
          <w:fldChar w:fldCharType="separate"/>
        </w:r>
        <w:r w:rsidR="00ED5D81">
          <w:rPr>
            <w:noProof/>
            <w:webHidden/>
          </w:rPr>
          <w:t>10</w:t>
        </w:r>
        <w:r w:rsidR="00ED5D81">
          <w:rPr>
            <w:noProof/>
            <w:webHidden/>
          </w:rPr>
          <w:fldChar w:fldCharType="end"/>
        </w:r>
      </w:hyperlink>
    </w:p>
    <w:p w14:paraId="038FC71B" w14:textId="5F034D66"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67" w:history="1">
        <w:r w:rsidR="00ED5D81" w:rsidRPr="00866D7A">
          <w:rPr>
            <w:rStyle w:val="Hyperlink"/>
            <w:noProof/>
          </w:rPr>
          <w:t>2.6</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Variants</w:t>
        </w:r>
        <w:r w:rsidR="00ED5D81">
          <w:rPr>
            <w:noProof/>
            <w:webHidden/>
          </w:rPr>
          <w:tab/>
        </w:r>
        <w:r w:rsidR="00ED5D81">
          <w:rPr>
            <w:noProof/>
            <w:webHidden/>
          </w:rPr>
          <w:fldChar w:fldCharType="begin"/>
        </w:r>
        <w:r w:rsidR="00ED5D81">
          <w:rPr>
            <w:noProof/>
            <w:webHidden/>
          </w:rPr>
          <w:instrText xml:space="preserve"> PAGEREF _Toc117027467 \h </w:instrText>
        </w:r>
        <w:r w:rsidR="00ED5D81">
          <w:rPr>
            <w:noProof/>
            <w:webHidden/>
          </w:rPr>
        </w:r>
        <w:r w:rsidR="00ED5D81">
          <w:rPr>
            <w:noProof/>
            <w:webHidden/>
          </w:rPr>
          <w:fldChar w:fldCharType="separate"/>
        </w:r>
        <w:r w:rsidR="00ED5D81">
          <w:rPr>
            <w:noProof/>
            <w:webHidden/>
          </w:rPr>
          <w:t>10</w:t>
        </w:r>
        <w:r w:rsidR="00ED5D81">
          <w:rPr>
            <w:noProof/>
            <w:webHidden/>
          </w:rPr>
          <w:fldChar w:fldCharType="end"/>
        </w:r>
      </w:hyperlink>
    </w:p>
    <w:p w14:paraId="3DD601E5" w14:textId="7DCC3F59"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68" w:history="1">
        <w:r w:rsidR="00ED5D81" w:rsidRPr="00866D7A">
          <w:rPr>
            <w:rStyle w:val="Hyperlink"/>
            <w:noProof/>
          </w:rPr>
          <w:t>2.7</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Option</w:t>
        </w:r>
        <w:r w:rsidR="00ED5D81">
          <w:rPr>
            <w:noProof/>
            <w:webHidden/>
          </w:rPr>
          <w:tab/>
        </w:r>
        <w:r w:rsidR="00ED5D81">
          <w:rPr>
            <w:noProof/>
            <w:webHidden/>
          </w:rPr>
          <w:fldChar w:fldCharType="begin"/>
        </w:r>
        <w:r w:rsidR="00ED5D81">
          <w:rPr>
            <w:noProof/>
            <w:webHidden/>
          </w:rPr>
          <w:instrText xml:space="preserve"> PAGEREF _Toc117027468 \h </w:instrText>
        </w:r>
        <w:r w:rsidR="00ED5D81">
          <w:rPr>
            <w:noProof/>
            <w:webHidden/>
          </w:rPr>
        </w:r>
        <w:r w:rsidR="00ED5D81">
          <w:rPr>
            <w:noProof/>
            <w:webHidden/>
          </w:rPr>
          <w:fldChar w:fldCharType="separate"/>
        </w:r>
        <w:r w:rsidR="00ED5D81">
          <w:rPr>
            <w:noProof/>
            <w:webHidden/>
          </w:rPr>
          <w:t>10</w:t>
        </w:r>
        <w:r w:rsidR="00ED5D81">
          <w:rPr>
            <w:noProof/>
            <w:webHidden/>
          </w:rPr>
          <w:fldChar w:fldCharType="end"/>
        </w:r>
      </w:hyperlink>
    </w:p>
    <w:p w14:paraId="561372AD" w14:textId="32248A5D"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69" w:history="1">
        <w:r w:rsidR="00ED5D81" w:rsidRPr="00866D7A">
          <w:rPr>
            <w:rStyle w:val="Hyperlink"/>
            <w:noProof/>
          </w:rPr>
          <w:t>2.8</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Quantity</w:t>
        </w:r>
        <w:r w:rsidR="00ED5D81">
          <w:rPr>
            <w:noProof/>
            <w:webHidden/>
          </w:rPr>
          <w:tab/>
        </w:r>
        <w:r w:rsidR="00ED5D81">
          <w:rPr>
            <w:noProof/>
            <w:webHidden/>
          </w:rPr>
          <w:fldChar w:fldCharType="begin"/>
        </w:r>
        <w:r w:rsidR="00ED5D81">
          <w:rPr>
            <w:noProof/>
            <w:webHidden/>
          </w:rPr>
          <w:instrText xml:space="preserve"> PAGEREF _Toc117027469 \h </w:instrText>
        </w:r>
        <w:r w:rsidR="00ED5D81">
          <w:rPr>
            <w:noProof/>
            <w:webHidden/>
          </w:rPr>
        </w:r>
        <w:r w:rsidR="00ED5D81">
          <w:rPr>
            <w:noProof/>
            <w:webHidden/>
          </w:rPr>
          <w:fldChar w:fldCharType="separate"/>
        </w:r>
        <w:r w:rsidR="00ED5D81">
          <w:rPr>
            <w:noProof/>
            <w:webHidden/>
          </w:rPr>
          <w:t>10</w:t>
        </w:r>
        <w:r w:rsidR="00ED5D81">
          <w:rPr>
            <w:noProof/>
            <w:webHidden/>
          </w:rPr>
          <w:fldChar w:fldCharType="end"/>
        </w:r>
      </w:hyperlink>
    </w:p>
    <w:p w14:paraId="43233170" w14:textId="79F91010" w:rsidR="00ED5D81" w:rsidRDefault="00000000">
      <w:pPr>
        <w:pStyle w:val="TOC1"/>
        <w:rPr>
          <w:rFonts w:asciiTheme="minorHAnsi" w:eastAsiaTheme="minorEastAsia" w:hAnsiTheme="minorHAnsi" w:cstheme="minorBidi"/>
          <w:b w:val="0"/>
          <w:noProof/>
          <w:color w:val="auto"/>
          <w:sz w:val="22"/>
          <w:lang w:val="fr-BE" w:eastAsia="fr-BE"/>
        </w:rPr>
      </w:pPr>
      <w:hyperlink w:anchor="_Toc117027470" w:history="1">
        <w:r w:rsidR="00ED5D81" w:rsidRPr="00866D7A">
          <w:rPr>
            <w:rStyle w:val="Hyperlink"/>
            <w:noProof/>
          </w:rPr>
          <w:t>3</w:t>
        </w:r>
        <w:r w:rsidR="00ED5D81">
          <w:rPr>
            <w:rFonts w:asciiTheme="minorHAnsi" w:eastAsiaTheme="minorEastAsia" w:hAnsiTheme="minorHAnsi" w:cstheme="minorBidi"/>
            <w:b w:val="0"/>
            <w:noProof/>
            <w:color w:val="auto"/>
            <w:sz w:val="22"/>
            <w:lang w:val="fr-BE" w:eastAsia="fr-BE"/>
          </w:rPr>
          <w:tab/>
        </w:r>
        <w:r w:rsidR="00ED5D81" w:rsidRPr="00866D7A">
          <w:rPr>
            <w:rStyle w:val="Hyperlink"/>
            <w:noProof/>
          </w:rPr>
          <w:t>Procedures for the procurement contract</w:t>
        </w:r>
        <w:r w:rsidR="00ED5D81">
          <w:rPr>
            <w:noProof/>
            <w:webHidden/>
          </w:rPr>
          <w:tab/>
        </w:r>
        <w:r w:rsidR="00ED5D81">
          <w:rPr>
            <w:noProof/>
            <w:webHidden/>
          </w:rPr>
          <w:fldChar w:fldCharType="begin"/>
        </w:r>
        <w:r w:rsidR="00ED5D81">
          <w:rPr>
            <w:noProof/>
            <w:webHidden/>
          </w:rPr>
          <w:instrText xml:space="preserve"> PAGEREF _Toc117027470 \h </w:instrText>
        </w:r>
        <w:r w:rsidR="00ED5D81">
          <w:rPr>
            <w:noProof/>
            <w:webHidden/>
          </w:rPr>
        </w:r>
        <w:r w:rsidR="00ED5D81">
          <w:rPr>
            <w:noProof/>
            <w:webHidden/>
          </w:rPr>
          <w:fldChar w:fldCharType="separate"/>
        </w:r>
        <w:r w:rsidR="00ED5D81">
          <w:rPr>
            <w:noProof/>
            <w:webHidden/>
          </w:rPr>
          <w:t>11</w:t>
        </w:r>
        <w:r w:rsidR="00ED5D81">
          <w:rPr>
            <w:noProof/>
            <w:webHidden/>
          </w:rPr>
          <w:fldChar w:fldCharType="end"/>
        </w:r>
      </w:hyperlink>
    </w:p>
    <w:p w14:paraId="382C6051" w14:textId="075CE2D2"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71" w:history="1">
        <w:r w:rsidR="00ED5D81" w:rsidRPr="00866D7A">
          <w:rPr>
            <w:rStyle w:val="Hyperlink"/>
            <w:noProof/>
          </w:rPr>
          <w:t>3.1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Award procedure</w:t>
        </w:r>
        <w:r w:rsidR="00ED5D81">
          <w:rPr>
            <w:noProof/>
            <w:webHidden/>
          </w:rPr>
          <w:tab/>
        </w:r>
        <w:r w:rsidR="00ED5D81">
          <w:rPr>
            <w:noProof/>
            <w:webHidden/>
          </w:rPr>
          <w:fldChar w:fldCharType="begin"/>
        </w:r>
        <w:r w:rsidR="00ED5D81">
          <w:rPr>
            <w:noProof/>
            <w:webHidden/>
          </w:rPr>
          <w:instrText xml:space="preserve"> PAGEREF _Toc117027471 \h </w:instrText>
        </w:r>
        <w:r w:rsidR="00ED5D81">
          <w:rPr>
            <w:noProof/>
            <w:webHidden/>
          </w:rPr>
        </w:r>
        <w:r w:rsidR="00ED5D81">
          <w:rPr>
            <w:noProof/>
            <w:webHidden/>
          </w:rPr>
          <w:fldChar w:fldCharType="separate"/>
        </w:r>
        <w:r w:rsidR="00ED5D81">
          <w:rPr>
            <w:noProof/>
            <w:webHidden/>
          </w:rPr>
          <w:t>11</w:t>
        </w:r>
        <w:r w:rsidR="00ED5D81">
          <w:rPr>
            <w:noProof/>
            <w:webHidden/>
          </w:rPr>
          <w:fldChar w:fldCharType="end"/>
        </w:r>
      </w:hyperlink>
    </w:p>
    <w:p w14:paraId="1977D9F8" w14:textId="6EC5FA23"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72" w:history="1">
        <w:r w:rsidR="00ED5D81" w:rsidRPr="00866D7A">
          <w:rPr>
            <w:rStyle w:val="Hyperlink"/>
            <w:noProof/>
          </w:rPr>
          <w:t>3.2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Semi-official notification</w:t>
        </w:r>
        <w:r w:rsidR="00ED5D81">
          <w:rPr>
            <w:noProof/>
            <w:webHidden/>
          </w:rPr>
          <w:tab/>
        </w:r>
        <w:r w:rsidR="00ED5D81">
          <w:rPr>
            <w:noProof/>
            <w:webHidden/>
          </w:rPr>
          <w:fldChar w:fldCharType="begin"/>
        </w:r>
        <w:r w:rsidR="00ED5D81">
          <w:rPr>
            <w:noProof/>
            <w:webHidden/>
          </w:rPr>
          <w:instrText xml:space="preserve"> PAGEREF _Toc117027472 \h </w:instrText>
        </w:r>
        <w:r w:rsidR="00ED5D81">
          <w:rPr>
            <w:noProof/>
            <w:webHidden/>
          </w:rPr>
        </w:r>
        <w:r w:rsidR="00ED5D81">
          <w:rPr>
            <w:noProof/>
            <w:webHidden/>
          </w:rPr>
          <w:fldChar w:fldCharType="separate"/>
        </w:r>
        <w:r w:rsidR="00ED5D81">
          <w:rPr>
            <w:noProof/>
            <w:webHidden/>
          </w:rPr>
          <w:t>11</w:t>
        </w:r>
        <w:r w:rsidR="00ED5D81">
          <w:rPr>
            <w:noProof/>
            <w:webHidden/>
          </w:rPr>
          <w:fldChar w:fldCharType="end"/>
        </w:r>
      </w:hyperlink>
    </w:p>
    <w:p w14:paraId="25F1D111" w14:textId="28FA3EBA" w:rsidR="00ED5D81" w:rsidRDefault="00000000">
      <w:pPr>
        <w:pStyle w:val="TOC3"/>
        <w:rPr>
          <w:rFonts w:asciiTheme="minorHAnsi" w:eastAsiaTheme="minorEastAsia" w:hAnsiTheme="minorHAnsi" w:cstheme="minorBidi"/>
          <w:noProof/>
          <w:color w:val="auto"/>
          <w:sz w:val="22"/>
          <w:lang w:val="fr-BE" w:eastAsia="fr-BE"/>
        </w:rPr>
      </w:pPr>
      <w:hyperlink w:anchor="_Toc117027473" w:history="1">
        <w:r w:rsidR="00ED5D81" w:rsidRPr="00866D7A">
          <w:rPr>
            <w:rStyle w:val="Hyperlink"/>
            <w:noProof/>
          </w:rPr>
          <w:t>3.2.1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Enabel publication</w:t>
        </w:r>
        <w:r w:rsidR="00ED5D81">
          <w:rPr>
            <w:noProof/>
            <w:webHidden/>
          </w:rPr>
          <w:tab/>
        </w:r>
        <w:r w:rsidR="00ED5D81">
          <w:rPr>
            <w:noProof/>
            <w:webHidden/>
          </w:rPr>
          <w:fldChar w:fldCharType="begin"/>
        </w:r>
        <w:r w:rsidR="00ED5D81">
          <w:rPr>
            <w:noProof/>
            <w:webHidden/>
          </w:rPr>
          <w:instrText xml:space="preserve"> PAGEREF _Toc117027473 \h </w:instrText>
        </w:r>
        <w:r w:rsidR="00ED5D81">
          <w:rPr>
            <w:noProof/>
            <w:webHidden/>
          </w:rPr>
        </w:r>
        <w:r w:rsidR="00ED5D81">
          <w:rPr>
            <w:noProof/>
            <w:webHidden/>
          </w:rPr>
          <w:fldChar w:fldCharType="separate"/>
        </w:r>
        <w:r w:rsidR="00ED5D81">
          <w:rPr>
            <w:noProof/>
            <w:webHidden/>
          </w:rPr>
          <w:t>11</w:t>
        </w:r>
        <w:r w:rsidR="00ED5D81">
          <w:rPr>
            <w:noProof/>
            <w:webHidden/>
          </w:rPr>
          <w:fldChar w:fldCharType="end"/>
        </w:r>
      </w:hyperlink>
    </w:p>
    <w:p w14:paraId="48EE4813" w14:textId="0214C31B"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74" w:history="1">
        <w:r w:rsidR="00ED5D81" w:rsidRPr="00866D7A">
          <w:rPr>
            <w:rStyle w:val="Hyperlink"/>
            <w:noProof/>
          </w:rPr>
          <w:t>3.3</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Information</w:t>
        </w:r>
        <w:r w:rsidR="00ED5D81">
          <w:rPr>
            <w:noProof/>
            <w:webHidden/>
          </w:rPr>
          <w:tab/>
        </w:r>
        <w:r w:rsidR="00ED5D81">
          <w:rPr>
            <w:noProof/>
            <w:webHidden/>
          </w:rPr>
          <w:fldChar w:fldCharType="begin"/>
        </w:r>
        <w:r w:rsidR="00ED5D81">
          <w:rPr>
            <w:noProof/>
            <w:webHidden/>
          </w:rPr>
          <w:instrText xml:space="preserve"> PAGEREF _Toc117027474 \h </w:instrText>
        </w:r>
        <w:r w:rsidR="00ED5D81">
          <w:rPr>
            <w:noProof/>
            <w:webHidden/>
          </w:rPr>
        </w:r>
        <w:r w:rsidR="00ED5D81">
          <w:rPr>
            <w:noProof/>
            <w:webHidden/>
          </w:rPr>
          <w:fldChar w:fldCharType="separate"/>
        </w:r>
        <w:r w:rsidR="00ED5D81">
          <w:rPr>
            <w:noProof/>
            <w:webHidden/>
          </w:rPr>
          <w:t>11</w:t>
        </w:r>
        <w:r w:rsidR="00ED5D81">
          <w:rPr>
            <w:noProof/>
            <w:webHidden/>
          </w:rPr>
          <w:fldChar w:fldCharType="end"/>
        </w:r>
      </w:hyperlink>
    </w:p>
    <w:p w14:paraId="784FE501" w14:textId="33E0FA44"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75" w:history="1">
        <w:r w:rsidR="00ED5D81" w:rsidRPr="00866D7A">
          <w:rPr>
            <w:rStyle w:val="Hyperlink"/>
            <w:noProof/>
          </w:rPr>
          <w:t>3.4</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Tender</w:t>
        </w:r>
        <w:r w:rsidR="00ED5D81">
          <w:rPr>
            <w:noProof/>
            <w:webHidden/>
          </w:rPr>
          <w:tab/>
        </w:r>
        <w:r w:rsidR="00ED5D81">
          <w:rPr>
            <w:noProof/>
            <w:webHidden/>
          </w:rPr>
          <w:fldChar w:fldCharType="begin"/>
        </w:r>
        <w:r w:rsidR="00ED5D81">
          <w:rPr>
            <w:noProof/>
            <w:webHidden/>
          </w:rPr>
          <w:instrText xml:space="preserve"> PAGEREF _Toc117027475 \h </w:instrText>
        </w:r>
        <w:r w:rsidR="00ED5D81">
          <w:rPr>
            <w:noProof/>
            <w:webHidden/>
          </w:rPr>
        </w:r>
        <w:r w:rsidR="00ED5D81">
          <w:rPr>
            <w:noProof/>
            <w:webHidden/>
          </w:rPr>
          <w:fldChar w:fldCharType="separate"/>
        </w:r>
        <w:r w:rsidR="00ED5D81">
          <w:rPr>
            <w:noProof/>
            <w:webHidden/>
          </w:rPr>
          <w:t>12</w:t>
        </w:r>
        <w:r w:rsidR="00ED5D81">
          <w:rPr>
            <w:noProof/>
            <w:webHidden/>
          </w:rPr>
          <w:fldChar w:fldCharType="end"/>
        </w:r>
      </w:hyperlink>
    </w:p>
    <w:p w14:paraId="2C114AFB" w14:textId="3C0C68D8" w:rsidR="00ED5D81" w:rsidRDefault="00000000">
      <w:pPr>
        <w:pStyle w:val="TOC3"/>
        <w:rPr>
          <w:rFonts w:asciiTheme="minorHAnsi" w:eastAsiaTheme="minorEastAsia" w:hAnsiTheme="minorHAnsi" w:cstheme="minorBidi"/>
          <w:noProof/>
          <w:color w:val="auto"/>
          <w:sz w:val="22"/>
          <w:lang w:val="fr-BE" w:eastAsia="fr-BE"/>
        </w:rPr>
      </w:pPr>
      <w:hyperlink w:anchor="_Toc117027476" w:history="1">
        <w:r w:rsidR="00ED5D81" w:rsidRPr="00866D7A">
          <w:rPr>
            <w:rStyle w:val="Hyperlink"/>
            <w:noProof/>
          </w:rPr>
          <w:t>3.4.1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Data to be included in the tender</w:t>
        </w:r>
        <w:r w:rsidR="00ED5D81">
          <w:rPr>
            <w:noProof/>
            <w:webHidden/>
          </w:rPr>
          <w:tab/>
        </w:r>
        <w:r w:rsidR="00ED5D81">
          <w:rPr>
            <w:noProof/>
            <w:webHidden/>
          </w:rPr>
          <w:fldChar w:fldCharType="begin"/>
        </w:r>
        <w:r w:rsidR="00ED5D81">
          <w:rPr>
            <w:noProof/>
            <w:webHidden/>
          </w:rPr>
          <w:instrText xml:space="preserve"> PAGEREF _Toc117027476 \h </w:instrText>
        </w:r>
        <w:r w:rsidR="00ED5D81">
          <w:rPr>
            <w:noProof/>
            <w:webHidden/>
          </w:rPr>
        </w:r>
        <w:r w:rsidR="00ED5D81">
          <w:rPr>
            <w:noProof/>
            <w:webHidden/>
          </w:rPr>
          <w:fldChar w:fldCharType="separate"/>
        </w:r>
        <w:r w:rsidR="00ED5D81">
          <w:rPr>
            <w:noProof/>
            <w:webHidden/>
          </w:rPr>
          <w:t>12</w:t>
        </w:r>
        <w:r w:rsidR="00ED5D81">
          <w:rPr>
            <w:noProof/>
            <w:webHidden/>
          </w:rPr>
          <w:fldChar w:fldCharType="end"/>
        </w:r>
      </w:hyperlink>
    </w:p>
    <w:p w14:paraId="2E763D27" w14:textId="0CD5D256" w:rsidR="00ED5D81" w:rsidRDefault="00000000">
      <w:pPr>
        <w:pStyle w:val="TOC3"/>
        <w:rPr>
          <w:rFonts w:asciiTheme="minorHAnsi" w:eastAsiaTheme="minorEastAsia" w:hAnsiTheme="minorHAnsi" w:cstheme="minorBidi"/>
          <w:noProof/>
          <w:color w:val="auto"/>
          <w:sz w:val="22"/>
          <w:lang w:val="fr-BE" w:eastAsia="fr-BE"/>
        </w:rPr>
      </w:pPr>
      <w:hyperlink w:anchor="_Toc117027477" w:history="1">
        <w:r w:rsidR="00ED5D81" w:rsidRPr="00866D7A">
          <w:rPr>
            <w:rStyle w:val="Hyperlink"/>
            <w:noProof/>
          </w:rPr>
          <w:t>3.4.2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Period the tender is valid</w:t>
        </w:r>
        <w:r w:rsidR="00ED5D81">
          <w:rPr>
            <w:noProof/>
            <w:webHidden/>
          </w:rPr>
          <w:tab/>
        </w:r>
        <w:r w:rsidR="00ED5D81">
          <w:rPr>
            <w:noProof/>
            <w:webHidden/>
          </w:rPr>
          <w:fldChar w:fldCharType="begin"/>
        </w:r>
        <w:r w:rsidR="00ED5D81">
          <w:rPr>
            <w:noProof/>
            <w:webHidden/>
          </w:rPr>
          <w:instrText xml:space="preserve"> PAGEREF _Toc117027477 \h </w:instrText>
        </w:r>
        <w:r w:rsidR="00ED5D81">
          <w:rPr>
            <w:noProof/>
            <w:webHidden/>
          </w:rPr>
        </w:r>
        <w:r w:rsidR="00ED5D81">
          <w:rPr>
            <w:noProof/>
            <w:webHidden/>
          </w:rPr>
          <w:fldChar w:fldCharType="separate"/>
        </w:r>
        <w:r w:rsidR="00ED5D81">
          <w:rPr>
            <w:noProof/>
            <w:webHidden/>
          </w:rPr>
          <w:t>12</w:t>
        </w:r>
        <w:r w:rsidR="00ED5D81">
          <w:rPr>
            <w:noProof/>
            <w:webHidden/>
          </w:rPr>
          <w:fldChar w:fldCharType="end"/>
        </w:r>
      </w:hyperlink>
    </w:p>
    <w:p w14:paraId="0914BCF7" w14:textId="1D0BC813" w:rsidR="00ED5D81" w:rsidRDefault="00000000">
      <w:pPr>
        <w:pStyle w:val="TOC3"/>
        <w:rPr>
          <w:rFonts w:asciiTheme="minorHAnsi" w:eastAsiaTheme="minorEastAsia" w:hAnsiTheme="minorHAnsi" w:cstheme="minorBidi"/>
          <w:noProof/>
          <w:color w:val="auto"/>
          <w:sz w:val="22"/>
          <w:lang w:val="fr-BE" w:eastAsia="fr-BE"/>
        </w:rPr>
      </w:pPr>
      <w:hyperlink w:anchor="_Toc117027478" w:history="1">
        <w:r w:rsidR="00ED5D81" w:rsidRPr="00866D7A">
          <w:rPr>
            <w:rStyle w:val="Hyperlink"/>
            <w:noProof/>
          </w:rPr>
          <w:t>3.4.3</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Determination of prices</w:t>
        </w:r>
        <w:r w:rsidR="00ED5D81">
          <w:rPr>
            <w:noProof/>
            <w:webHidden/>
          </w:rPr>
          <w:tab/>
        </w:r>
        <w:r w:rsidR="00ED5D81">
          <w:rPr>
            <w:noProof/>
            <w:webHidden/>
          </w:rPr>
          <w:fldChar w:fldCharType="begin"/>
        </w:r>
        <w:r w:rsidR="00ED5D81">
          <w:rPr>
            <w:noProof/>
            <w:webHidden/>
          </w:rPr>
          <w:instrText xml:space="preserve"> PAGEREF _Toc117027478 \h </w:instrText>
        </w:r>
        <w:r w:rsidR="00ED5D81">
          <w:rPr>
            <w:noProof/>
            <w:webHidden/>
          </w:rPr>
        </w:r>
        <w:r w:rsidR="00ED5D81">
          <w:rPr>
            <w:noProof/>
            <w:webHidden/>
          </w:rPr>
          <w:fldChar w:fldCharType="separate"/>
        </w:r>
        <w:r w:rsidR="00ED5D81">
          <w:rPr>
            <w:noProof/>
            <w:webHidden/>
          </w:rPr>
          <w:t>12</w:t>
        </w:r>
        <w:r w:rsidR="00ED5D81">
          <w:rPr>
            <w:noProof/>
            <w:webHidden/>
          </w:rPr>
          <w:fldChar w:fldCharType="end"/>
        </w:r>
      </w:hyperlink>
    </w:p>
    <w:p w14:paraId="7BA20141" w14:textId="291D05FE" w:rsidR="00ED5D81" w:rsidRDefault="00000000">
      <w:pPr>
        <w:pStyle w:val="TOC4"/>
        <w:rPr>
          <w:rFonts w:asciiTheme="minorHAnsi" w:eastAsiaTheme="minorEastAsia" w:hAnsiTheme="minorHAnsi" w:cstheme="minorBidi"/>
          <w:noProof/>
          <w:color w:val="auto"/>
          <w:sz w:val="22"/>
          <w:lang w:val="fr-BE" w:eastAsia="fr-BE"/>
        </w:rPr>
      </w:pPr>
      <w:hyperlink w:anchor="_Toc117027479" w:history="1">
        <w:r w:rsidR="00ED5D81" w:rsidRPr="00866D7A">
          <w:rPr>
            <w:rStyle w:val="Hyperlink"/>
            <w:noProof/>
          </w:rPr>
          <w:t>3.4.3.1.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Elements included in the price</w:t>
        </w:r>
        <w:r w:rsidR="00ED5D81">
          <w:rPr>
            <w:noProof/>
            <w:webHidden/>
          </w:rPr>
          <w:tab/>
        </w:r>
        <w:r w:rsidR="00ED5D81">
          <w:rPr>
            <w:noProof/>
            <w:webHidden/>
          </w:rPr>
          <w:fldChar w:fldCharType="begin"/>
        </w:r>
        <w:r w:rsidR="00ED5D81">
          <w:rPr>
            <w:noProof/>
            <w:webHidden/>
          </w:rPr>
          <w:instrText xml:space="preserve"> PAGEREF _Toc117027479 \h </w:instrText>
        </w:r>
        <w:r w:rsidR="00ED5D81">
          <w:rPr>
            <w:noProof/>
            <w:webHidden/>
          </w:rPr>
        </w:r>
        <w:r w:rsidR="00ED5D81">
          <w:rPr>
            <w:noProof/>
            <w:webHidden/>
          </w:rPr>
          <w:fldChar w:fldCharType="separate"/>
        </w:r>
        <w:r w:rsidR="00ED5D81">
          <w:rPr>
            <w:noProof/>
            <w:webHidden/>
          </w:rPr>
          <w:t>12</w:t>
        </w:r>
        <w:r w:rsidR="00ED5D81">
          <w:rPr>
            <w:noProof/>
            <w:webHidden/>
          </w:rPr>
          <w:fldChar w:fldCharType="end"/>
        </w:r>
      </w:hyperlink>
    </w:p>
    <w:p w14:paraId="11171D4B" w14:textId="04EDDCA4" w:rsidR="00ED5D81" w:rsidRDefault="00000000">
      <w:pPr>
        <w:pStyle w:val="TOC3"/>
        <w:rPr>
          <w:rFonts w:asciiTheme="minorHAnsi" w:eastAsiaTheme="minorEastAsia" w:hAnsiTheme="minorHAnsi" w:cstheme="minorBidi"/>
          <w:noProof/>
          <w:color w:val="auto"/>
          <w:sz w:val="22"/>
          <w:lang w:val="fr-BE" w:eastAsia="fr-BE"/>
        </w:rPr>
      </w:pPr>
      <w:hyperlink w:anchor="_Toc117027480" w:history="1">
        <w:r w:rsidR="00ED5D81" w:rsidRPr="00866D7A">
          <w:rPr>
            <w:rStyle w:val="Hyperlink"/>
            <w:noProof/>
          </w:rPr>
          <w:t>3.4.4</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How to submit tenders?</w:t>
        </w:r>
        <w:r w:rsidR="00ED5D81">
          <w:rPr>
            <w:noProof/>
            <w:webHidden/>
          </w:rPr>
          <w:tab/>
        </w:r>
        <w:r w:rsidR="00ED5D81">
          <w:rPr>
            <w:noProof/>
            <w:webHidden/>
          </w:rPr>
          <w:fldChar w:fldCharType="begin"/>
        </w:r>
        <w:r w:rsidR="00ED5D81">
          <w:rPr>
            <w:noProof/>
            <w:webHidden/>
          </w:rPr>
          <w:instrText xml:space="preserve"> PAGEREF _Toc117027480 \h </w:instrText>
        </w:r>
        <w:r w:rsidR="00ED5D81">
          <w:rPr>
            <w:noProof/>
            <w:webHidden/>
          </w:rPr>
        </w:r>
        <w:r w:rsidR="00ED5D81">
          <w:rPr>
            <w:noProof/>
            <w:webHidden/>
          </w:rPr>
          <w:fldChar w:fldCharType="separate"/>
        </w:r>
        <w:r w:rsidR="00ED5D81">
          <w:rPr>
            <w:noProof/>
            <w:webHidden/>
          </w:rPr>
          <w:t>13</w:t>
        </w:r>
        <w:r w:rsidR="00ED5D81">
          <w:rPr>
            <w:noProof/>
            <w:webHidden/>
          </w:rPr>
          <w:fldChar w:fldCharType="end"/>
        </w:r>
      </w:hyperlink>
    </w:p>
    <w:p w14:paraId="3ECB7155" w14:textId="0047C05A" w:rsidR="00ED5D81" w:rsidRDefault="00000000">
      <w:pPr>
        <w:pStyle w:val="TOC3"/>
        <w:rPr>
          <w:rFonts w:asciiTheme="minorHAnsi" w:eastAsiaTheme="minorEastAsia" w:hAnsiTheme="minorHAnsi" w:cstheme="minorBidi"/>
          <w:noProof/>
          <w:color w:val="auto"/>
          <w:sz w:val="22"/>
          <w:lang w:val="fr-BE" w:eastAsia="fr-BE"/>
        </w:rPr>
      </w:pPr>
      <w:hyperlink w:anchor="_Toc117027481" w:history="1">
        <w:r w:rsidR="00ED5D81" w:rsidRPr="00866D7A">
          <w:rPr>
            <w:rStyle w:val="Hyperlink"/>
            <w:noProof/>
          </w:rPr>
          <w:t>3.4.5</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Change or withdrawal of a tender that has already been submitted</w:t>
        </w:r>
        <w:r w:rsidR="00ED5D81">
          <w:rPr>
            <w:noProof/>
            <w:webHidden/>
          </w:rPr>
          <w:tab/>
        </w:r>
        <w:r w:rsidR="00ED5D81">
          <w:rPr>
            <w:noProof/>
            <w:webHidden/>
          </w:rPr>
          <w:fldChar w:fldCharType="begin"/>
        </w:r>
        <w:r w:rsidR="00ED5D81">
          <w:rPr>
            <w:noProof/>
            <w:webHidden/>
          </w:rPr>
          <w:instrText xml:space="preserve"> PAGEREF _Toc117027481 \h </w:instrText>
        </w:r>
        <w:r w:rsidR="00ED5D81">
          <w:rPr>
            <w:noProof/>
            <w:webHidden/>
          </w:rPr>
        </w:r>
        <w:r w:rsidR="00ED5D81">
          <w:rPr>
            <w:noProof/>
            <w:webHidden/>
          </w:rPr>
          <w:fldChar w:fldCharType="separate"/>
        </w:r>
        <w:r w:rsidR="00ED5D81">
          <w:rPr>
            <w:noProof/>
            <w:webHidden/>
          </w:rPr>
          <w:t>14</w:t>
        </w:r>
        <w:r w:rsidR="00ED5D81">
          <w:rPr>
            <w:noProof/>
            <w:webHidden/>
          </w:rPr>
          <w:fldChar w:fldCharType="end"/>
        </w:r>
      </w:hyperlink>
    </w:p>
    <w:p w14:paraId="1DC78E5E" w14:textId="472871FE" w:rsidR="00ED5D81" w:rsidRDefault="00000000">
      <w:pPr>
        <w:pStyle w:val="TOC3"/>
        <w:rPr>
          <w:rFonts w:asciiTheme="minorHAnsi" w:eastAsiaTheme="minorEastAsia" w:hAnsiTheme="minorHAnsi" w:cstheme="minorBidi"/>
          <w:noProof/>
          <w:color w:val="auto"/>
          <w:sz w:val="22"/>
          <w:lang w:val="fr-BE" w:eastAsia="fr-BE"/>
        </w:rPr>
      </w:pPr>
      <w:hyperlink w:anchor="_Toc117027482" w:history="1">
        <w:r w:rsidR="00ED5D81" w:rsidRPr="00866D7A">
          <w:rPr>
            <w:rStyle w:val="Hyperlink"/>
            <w:rFonts w:ascii="Georgia" w:hAnsi="Georgia"/>
            <w:noProof/>
          </w:rPr>
          <w:t>3.4.6</w:t>
        </w:r>
        <w:r w:rsidR="00ED5D81">
          <w:rPr>
            <w:rFonts w:asciiTheme="minorHAnsi" w:eastAsiaTheme="minorEastAsia" w:hAnsiTheme="minorHAnsi" w:cstheme="minorBidi"/>
            <w:noProof/>
            <w:color w:val="auto"/>
            <w:sz w:val="22"/>
            <w:lang w:val="fr-BE" w:eastAsia="fr-BE"/>
          </w:rPr>
          <w:tab/>
        </w:r>
        <w:r w:rsidR="00ED5D81" w:rsidRPr="00866D7A">
          <w:rPr>
            <w:rStyle w:val="Hyperlink"/>
            <w:rFonts w:ascii="Georgia" w:hAnsi="Georgia"/>
            <w:noProof/>
          </w:rPr>
          <w:t>Opening of tenders</w:t>
        </w:r>
        <w:r w:rsidR="00ED5D81">
          <w:rPr>
            <w:noProof/>
            <w:webHidden/>
          </w:rPr>
          <w:tab/>
        </w:r>
        <w:r w:rsidR="00ED5D81">
          <w:rPr>
            <w:noProof/>
            <w:webHidden/>
          </w:rPr>
          <w:fldChar w:fldCharType="begin"/>
        </w:r>
        <w:r w:rsidR="00ED5D81">
          <w:rPr>
            <w:noProof/>
            <w:webHidden/>
          </w:rPr>
          <w:instrText xml:space="preserve"> PAGEREF _Toc117027482 \h </w:instrText>
        </w:r>
        <w:r w:rsidR="00ED5D81">
          <w:rPr>
            <w:noProof/>
            <w:webHidden/>
          </w:rPr>
        </w:r>
        <w:r w:rsidR="00ED5D81">
          <w:rPr>
            <w:noProof/>
            <w:webHidden/>
          </w:rPr>
          <w:fldChar w:fldCharType="separate"/>
        </w:r>
        <w:r w:rsidR="00ED5D81">
          <w:rPr>
            <w:noProof/>
            <w:webHidden/>
          </w:rPr>
          <w:t>14</w:t>
        </w:r>
        <w:r w:rsidR="00ED5D81">
          <w:rPr>
            <w:noProof/>
            <w:webHidden/>
          </w:rPr>
          <w:fldChar w:fldCharType="end"/>
        </w:r>
      </w:hyperlink>
    </w:p>
    <w:p w14:paraId="0BAD6061" w14:textId="1DC15F8A" w:rsidR="00ED5D81" w:rsidRDefault="00000000">
      <w:pPr>
        <w:pStyle w:val="TOC3"/>
        <w:rPr>
          <w:rFonts w:asciiTheme="minorHAnsi" w:eastAsiaTheme="minorEastAsia" w:hAnsiTheme="minorHAnsi" w:cstheme="minorBidi"/>
          <w:noProof/>
          <w:color w:val="auto"/>
          <w:sz w:val="22"/>
          <w:lang w:val="fr-BE" w:eastAsia="fr-BE"/>
        </w:rPr>
      </w:pPr>
      <w:hyperlink w:anchor="_Toc117027483" w:history="1">
        <w:r w:rsidR="00ED5D81" w:rsidRPr="00866D7A">
          <w:rPr>
            <w:rStyle w:val="Hyperlink"/>
            <w:noProof/>
          </w:rPr>
          <w:t>3.4.7</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Selection of tenderers</w:t>
        </w:r>
        <w:r w:rsidR="00ED5D81">
          <w:rPr>
            <w:noProof/>
            <w:webHidden/>
          </w:rPr>
          <w:tab/>
        </w:r>
        <w:r w:rsidR="00ED5D81">
          <w:rPr>
            <w:noProof/>
            <w:webHidden/>
          </w:rPr>
          <w:fldChar w:fldCharType="begin"/>
        </w:r>
        <w:r w:rsidR="00ED5D81">
          <w:rPr>
            <w:noProof/>
            <w:webHidden/>
          </w:rPr>
          <w:instrText xml:space="preserve"> PAGEREF _Toc117027483 \h </w:instrText>
        </w:r>
        <w:r w:rsidR="00ED5D81">
          <w:rPr>
            <w:noProof/>
            <w:webHidden/>
          </w:rPr>
        </w:r>
        <w:r w:rsidR="00ED5D81">
          <w:rPr>
            <w:noProof/>
            <w:webHidden/>
          </w:rPr>
          <w:fldChar w:fldCharType="separate"/>
        </w:r>
        <w:r w:rsidR="00ED5D81">
          <w:rPr>
            <w:noProof/>
            <w:webHidden/>
          </w:rPr>
          <w:t>14</w:t>
        </w:r>
        <w:r w:rsidR="00ED5D81">
          <w:rPr>
            <w:noProof/>
            <w:webHidden/>
          </w:rPr>
          <w:fldChar w:fldCharType="end"/>
        </w:r>
      </w:hyperlink>
    </w:p>
    <w:p w14:paraId="15570D82" w14:textId="592548EE" w:rsidR="00ED5D81" w:rsidRDefault="00000000">
      <w:pPr>
        <w:pStyle w:val="TOC4"/>
        <w:rPr>
          <w:rFonts w:asciiTheme="minorHAnsi" w:eastAsiaTheme="minorEastAsia" w:hAnsiTheme="minorHAnsi" w:cstheme="minorBidi"/>
          <w:noProof/>
          <w:color w:val="auto"/>
          <w:sz w:val="22"/>
          <w:lang w:val="fr-BE" w:eastAsia="fr-BE"/>
        </w:rPr>
      </w:pPr>
      <w:hyperlink w:anchor="_Toc117027484" w:history="1">
        <w:r w:rsidR="00ED5D81" w:rsidRPr="00866D7A">
          <w:rPr>
            <w:rStyle w:val="Hyperlink"/>
            <w:noProof/>
          </w:rPr>
          <w:t>3.4.7.1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Exclusion grounds</w:t>
        </w:r>
        <w:r w:rsidR="00ED5D81">
          <w:rPr>
            <w:noProof/>
            <w:webHidden/>
          </w:rPr>
          <w:tab/>
        </w:r>
        <w:r w:rsidR="00ED5D81">
          <w:rPr>
            <w:noProof/>
            <w:webHidden/>
          </w:rPr>
          <w:fldChar w:fldCharType="begin"/>
        </w:r>
        <w:r w:rsidR="00ED5D81">
          <w:rPr>
            <w:noProof/>
            <w:webHidden/>
          </w:rPr>
          <w:instrText xml:space="preserve"> PAGEREF _Toc117027484 \h </w:instrText>
        </w:r>
        <w:r w:rsidR="00ED5D81">
          <w:rPr>
            <w:noProof/>
            <w:webHidden/>
          </w:rPr>
        </w:r>
        <w:r w:rsidR="00ED5D81">
          <w:rPr>
            <w:noProof/>
            <w:webHidden/>
          </w:rPr>
          <w:fldChar w:fldCharType="separate"/>
        </w:r>
        <w:r w:rsidR="00ED5D81">
          <w:rPr>
            <w:noProof/>
            <w:webHidden/>
          </w:rPr>
          <w:t>14</w:t>
        </w:r>
        <w:r w:rsidR="00ED5D81">
          <w:rPr>
            <w:noProof/>
            <w:webHidden/>
          </w:rPr>
          <w:fldChar w:fldCharType="end"/>
        </w:r>
      </w:hyperlink>
    </w:p>
    <w:p w14:paraId="47ADE468" w14:textId="7BD19C95" w:rsidR="00ED5D81" w:rsidRDefault="00000000">
      <w:pPr>
        <w:pStyle w:val="TOC4"/>
        <w:rPr>
          <w:rFonts w:asciiTheme="minorHAnsi" w:eastAsiaTheme="minorEastAsia" w:hAnsiTheme="minorHAnsi" w:cstheme="minorBidi"/>
          <w:noProof/>
          <w:color w:val="auto"/>
          <w:sz w:val="22"/>
          <w:lang w:val="fr-BE" w:eastAsia="fr-BE"/>
        </w:rPr>
      </w:pPr>
      <w:hyperlink w:anchor="_Toc117027485" w:history="1">
        <w:r w:rsidR="00ED5D81" w:rsidRPr="00866D7A">
          <w:rPr>
            <w:rStyle w:val="Hyperlink"/>
            <w:noProof/>
          </w:rPr>
          <w:t>3.4.7.2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Selection criteria</w:t>
        </w:r>
        <w:r w:rsidR="00ED5D81">
          <w:rPr>
            <w:noProof/>
            <w:webHidden/>
          </w:rPr>
          <w:tab/>
        </w:r>
        <w:r w:rsidR="00ED5D81">
          <w:rPr>
            <w:noProof/>
            <w:webHidden/>
          </w:rPr>
          <w:fldChar w:fldCharType="begin"/>
        </w:r>
        <w:r w:rsidR="00ED5D81">
          <w:rPr>
            <w:noProof/>
            <w:webHidden/>
          </w:rPr>
          <w:instrText xml:space="preserve"> PAGEREF _Toc117027485 \h </w:instrText>
        </w:r>
        <w:r w:rsidR="00ED5D81">
          <w:rPr>
            <w:noProof/>
            <w:webHidden/>
          </w:rPr>
        </w:r>
        <w:r w:rsidR="00ED5D81">
          <w:rPr>
            <w:noProof/>
            <w:webHidden/>
          </w:rPr>
          <w:fldChar w:fldCharType="separate"/>
        </w:r>
        <w:r w:rsidR="00ED5D81">
          <w:rPr>
            <w:noProof/>
            <w:webHidden/>
          </w:rPr>
          <w:t>14</w:t>
        </w:r>
        <w:r w:rsidR="00ED5D81">
          <w:rPr>
            <w:noProof/>
            <w:webHidden/>
          </w:rPr>
          <w:fldChar w:fldCharType="end"/>
        </w:r>
      </w:hyperlink>
    </w:p>
    <w:p w14:paraId="75203BC0" w14:textId="3567AB2B" w:rsidR="00ED5D81" w:rsidRDefault="00000000">
      <w:pPr>
        <w:pStyle w:val="TOC4"/>
        <w:rPr>
          <w:rFonts w:asciiTheme="minorHAnsi" w:eastAsiaTheme="minorEastAsia" w:hAnsiTheme="minorHAnsi" w:cstheme="minorBidi"/>
          <w:noProof/>
          <w:color w:val="auto"/>
          <w:sz w:val="22"/>
          <w:lang w:val="fr-BE" w:eastAsia="fr-BE"/>
        </w:rPr>
      </w:pPr>
      <w:hyperlink w:anchor="_Toc117027486" w:history="1">
        <w:r w:rsidR="00ED5D81" w:rsidRPr="00866D7A">
          <w:rPr>
            <w:rStyle w:val="Hyperlink"/>
            <w:noProof/>
          </w:rPr>
          <w:t>3.4.7.3</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Overview of the procedure</w:t>
        </w:r>
        <w:r w:rsidR="00ED5D81">
          <w:rPr>
            <w:noProof/>
            <w:webHidden/>
          </w:rPr>
          <w:tab/>
        </w:r>
        <w:r w:rsidR="00ED5D81">
          <w:rPr>
            <w:noProof/>
            <w:webHidden/>
          </w:rPr>
          <w:fldChar w:fldCharType="begin"/>
        </w:r>
        <w:r w:rsidR="00ED5D81">
          <w:rPr>
            <w:noProof/>
            <w:webHidden/>
          </w:rPr>
          <w:instrText xml:space="preserve"> PAGEREF _Toc117027486 \h </w:instrText>
        </w:r>
        <w:r w:rsidR="00ED5D81">
          <w:rPr>
            <w:noProof/>
            <w:webHidden/>
          </w:rPr>
        </w:r>
        <w:r w:rsidR="00ED5D81">
          <w:rPr>
            <w:noProof/>
            <w:webHidden/>
          </w:rPr>
          <w:fldChar w:fldCharType="separate"/>
        </w:r>
        <w:r w:rsidR="00ED5D81">
          <w:rPr>
            <w:noProof/>
            <w:webHidden/>
          </w:rPr>
          <w:t>15</w:t>
        </w:r>
        <w:r w:rsidR="00ED5D81">
          <w:rPr>
            <w:noProof/>
            <w:webHidden/>
          </w:rPr>
          <w:fldChar w:fldCharType="end"/>
        </w:r>
      </w:hyperlink>
    </w:p>
    <w:p w14:paraId="70A12A03" w14:textId="36163169" w:rsidR="00ED5D81" w:rsidRDefault="00000000">
      <w:pPr>
        <w:pStyle w:val="TOC4"/>
        <w:rPr>
          <w:rFonts w:asciiTheme="minorHAnsi" w:eastAsiaTheme="minorEastAsia" w:hAnsiTheme="minorHAnsi" w:cstheme="minorBidi"/>
          <w:noProof/>
          <w:color w:val="auto"/>
          <w:sz w:val="22"/>
          <w:lang w:val="fr-BE" w:eastAsia="fr-BE"/>
        </w:rPr>
      </w:pPr>
      <w:hyperlink w:anchor="_Toc117027487" w:history="1">
        <w:r w:rsidR="00ED5D81" w:rsidRPr="00866D7A">
          <w:rPr>
            <w:rStyle w:val="Hyperlink"/>
            <w:noProof/>
          </w:rPr>
          <w:t>3.4.7.4</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Award criteria</w:t>
        </w:r>
        <w:r w:rsidR="00ED5D81">
          <w:rPr>
            <w:noProof/>
            <w:webHidden/>
          </w:rPr>
          <w:tab/>
        </w:r>
        <w:r w:rsidR="00ED5D81">
          <w:rPr>
            <w:noProof/>
            <w:webHidden/>
          </w:rPr>
          <w:fldChar w:fldCharType="begin"/>
        </w:r>
        <w:r w:rsidR="00ED5D81">
          <w:rPr>
            <w:noProof/>
            <w:webHidden/>
          </w:rPr>
          <w:instrText xml:space="preserve"> PAGEREF _Toc117027487 \h </w:instrText>
        </w:r>
        <w:r w:rsidR="00ED5D81">
          <w:rPr>
            <w:noProof/>
            <w:webHidden/>
          </w:rPr>
        </w:r>
        <w:r w:rsidR="00ED5D81">
          <w:rPr>
            <w:noProof/>
            <w:webHidden/>
          </w:rPr>
          <w:fldChar w:fldCharType="separate"/>
        </w:r>
        <w:r w:rsidR="00ED5D81">
          <w:rPr>
            <w:noProof/>
            <w:webHidden/>
          </w:rPr>
          <w:t>15</w:t>
        </w:r>
        <w:r w:rsidR="00ED5D81">
          <w:rPr>
            <w:noProof/>
            <w:webHidden/>
          </w:rPr>
          <w:fldChar w:fldCharType="end"/>
        </w:r>
      </w:hyperlink>
    </w:p>
    <w:p w14:paraId="71D59944" w14:textId="600B71BC" w:rsidR="00ED5D81" w:rsidRDefault="00000000">
      <w:pPr>
        <w:pStyle w:val="TOC3"/>
        <w:rPr>
          <w:rFonts w:asciiTheme="minorHAnsi" w:eastAsiaTheme="minorEastAsia" w:hAnsiTheme="minorHAnsi" w:cstheme="minorBidi"/>
          <w:noProof/>
          <w:color w:val="auto"/>
          <w:sz w:val="22"/>
          <w:lang w:val="fr-BE" w:eastAsia="fr-BE"/>
        </w:rPr>
      </w:pPr>
      <w:hyperlink w:anchor="_Toc117027488" w:history="1">
        <w:r w:rsidR="00ED5D81" w:rsidRPr="00866D7A">
          <w:rPr>
            <w:rStyle w:val="Hyperlink"/>
            <w:rFonts w:ascii="Symbol" w:hAnsi="Symbol" w:cs="Calibri"/>
            <w:noProof/>
          </w:rPr>
          <w:t></w:t>
        </w:r>
        <w:r w:rsidR="00ED5D81">
          <w:rPr>
            <w:rFonts w:asciiTheme="minorHAnsi" w:eastAsiaTheme="minorEastAsia" w:hAnsiTheme="minorHAnsi" w:cstheme="minorBidi"/>
            <w:noProof/>
            <w:color w:val="auto"/>
            <w:sz w:val="22"/>
            <w:lang w:val="fr-BE" w:eastAsia="fr-BE"/>
          </w:rPr>
          <w:tab/>
        </w:r>
        <w:r w:rsidR="00ED5D81" w:rsidRPr="00866D7A">
          <w:rPr>
            <w:rStyle w:val="Hyperlink"/>
            <w:rFonts w:ascii="Georgia" w:hAnsi="Georgia" w:cs="Calibri"/>
            <w:noProof/>
          </w:rPr>
          <w:t>Qualification and experience of key experts: 35%.</w:t>
        </w:r>
        <w:r w:rsidR="00ED5D81">
          <w:rPr>
            <w:noProof/>
            <w:webHidden/>
          </w:rPr>
          <w:tab/>
        </w:r>
        <w:r w:rsidR="00ED5D81">
          <w:rPr>
            <w:noProof/>
            <w:webHidden/>
          </w:rPr>
          <w:fldChar w:fldCharType="begin"/>
        </w:r>
        <w:r w:rsidR="00ED5D81">
          <w:rPr>
            <w:noProof/>
            <w:webHidden/>
          </w:rPr>
          <w:instrText xml:space="preserve"> PAGEREF _Toc117027488 \h </w:instrText>
        </w:r>
        <w:r w:rsidR="00ED5D81">
          <w:rPr>
            <w:noProof/>
            <w:webHidden/>
          </w:rPr>
        </w:r>
        <w:r w:rsidR="00ED5D81">
          <w:rPr>
            <w:noProof/>
            <w:webHidden/>
          </w:rPr>
          <w:fldChar w:fldCharType="separate"/>
        </w:r>
        <w:r w:rsidR="00ED5D81">
          <w:rPr>
            <w:noProof/>
            <w:webHidden/>
          </w:rPr>
          <w:t>15</w:t>
        </w:r>
        <w:r w:rsidR="00ED5D81">
          <w:rPr>
            <w:noProof/>
            <w:webHidden/>
          </w:rPr>
          <w:fldChar w:fldCharType="end"/>
        </w:r>
      </w:hyperlink>
    </w:p>
    <w:p w14:paraId="2A65C05D" w14:textId="728D0800" w:rsidR="00ED5D81" w:rsidRDefault="00000000">
      <w:pPr>
        <w:pStyle w:val="TOC4"/>
        <w:rPr>
          <w:rFonts w:asciiTheme="minorHAnsi" w:eastAsiaTheme="minorEastAsia" w:hAnsiTheme="minorHAnsi" w:cstheme="minorBidi"/>
          <w:noProof/>
          <w:color w:val="auto"/>
          <w:sz w:val="22"/>
          <w:lang w:val="fr-BE" w:eastAsia="fr-BE"/>
        </w:rPr>
      </w:pPr>
      <w:hyperlink w:anchor="_Toc117027489" w:history="1">
        <w:r w:rsidR="00ED5D81" w:rsidRPr="00866D7A">
          <w:rPr>
            <w:rStyle w:val="Hyperlink"/>
            <w:noProof/>
          </w:rPr>
          <w:t>3.4.7.5</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Final score</w:t>
        </w:r>
        <w:r w:rsidR="00ED5D81">
          <w:rPr>
            <w:noProof/>
            <w:webHidden/>
          </w:rPr>
          <w:tab/>
        </w:r>
        <w:r w:rsidR="00ED5D81">
          <w:rPr>
            <w:noProof/>
            <w:webHidden/>
          </w:rPr>
          <w:fldChar w:fldCharType="begin"/>
        </w:r>
        <w:r w:rsidR="00ED5D81">
          <w:rPr>
            <w:noProof/>
            <w:webHidden/>
          </w:rPr>
          <w:instrText xml:space="preserve"> PAGEREF _Toc117027489 \h </w:instrText>
        </w:r>
        <w:r w:rsidR="00ED5D81">
          <w:rPr>
            <w:noProof/>
            <w:webHidden/>
          </w:rPr>
        </w:r>
        <w:r w:rsidR="00ED5D81">
          <w:rPr>
            <w:noProof/>
            <w:webHidden/>
          </w:rPr>
          <w:fldChar w:fldCharType="separate"/>
        </w:r>
        <w:r w:rsidR="00ED5D81">
          <w:rPr>
            <w:noProof/>
            <w:webHidden/>
          </w:rPr>
          <w:t>17</w:t>
        </w:r>
        <w:r w:rsidR="00ED5D81">
          <w:rPr>
            <w:noProof/>
            <w:webHidden/>
          </w:rPr>
          <w:fldChar w:fldCharType="end"/>
        </w:r>
      </w:hyperlink>
    </w:p>
    <w:p w14:paraId="1C91709A" w14:textId="28636529" w:rsidR="00ED5D81" w:rsidRDefault="00000000">
      <w:pPr>
        <w:pStyle w:val="TOC4"/>
        <w:rPr>
          <w:rFonts w:asciiTheme="minorHAnsi" w:eastAsiaTheme="minorEastAsia" w:hAnsiTheme="minorHAnsi" w:cstheme="minorBidi"/>
          <w:noProof/>
          <w:color w:val="auto"/>
          <w:sz w:val="22"/>
          <w:lang w:val="fr-BE" w:eastAsia="fr-BE"/>
        </w:rPr>
      </w:pPr>
      <w:hyperlink w:anchor="_Toc117027490" w:history="1">
        <w:r w:rsidR="00ED5D81" w:rsidRPr="00866D7A">
          <w:rPr>
            <w:rStyle w:val="Hyperlink"/>
            <w:noProof/>
          </w:rPr>
          <w:t>3.4.7.6</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Awarding the procurement contract</w:t>
        </w:r>
        <w:r w:rsidR="00ED5D81">
          <w:rPr>
            <w:noProof/>
            <w:webHidden/>
          </w:rPr>
          <w:tab/>
        </w:r>
        <w:r w:rsidR="00ED5D81">
          <w:rPr>
            <w:noProof/>
            <w:webHidden/>
          </w:rPr>
          <w:fldChar w:fldCharType="begin"/>
        </w:r>
        <w:r w:rsidR="00ED5D81">
          <w:rPr>
            <w:noProof/>
            <w:webHidden/>
          </w:rPr>
          <w:instrText xml:space="preserve"> PAGEREF _Toc117027490 \h </w:instrText>
        </w:r>
        <w:r w:rsidR="00ED5D81">
          <w:rPr>
            <w:noProof/>
            <w:webHidden/>
          </w:rPr>
        </w:r>
        <w:r w:rsidR="00ED5D81">
          <w:rPr>
            <w:noProof/>
            <w:webHidden/>
          </w:rPr>
          <w:fldChar w:fldCharType="separate"/>
        </w:r>
        <w:r w:rsidR="00ED5D81">
          <w:rPr>
            <w:noProof/>
            <w:webHidden/>
          </w:rPr>
          <w:t>17</w:t>
        </w:r>
        <w:r w:rsidR="00ED5D81">
          <w:rPr>
            <w:noProof/>
            <w:webHidden/>
          </w:rPr>
          <w:fldChar w:fldCharType="end"/>
        </w:r>
      </w:hyperlink>
    </w:p>
    <w:p w14:paraId="12997BFF" w14:textId="23FC5147" w:rsidR="00ED5D81" w:rsidRDefault="00000000">
      <w:pPr>
        <w:pStyle w:val="TOC3"/>
        <w:rPr>
          <w:rFonts w:asciiTheme="minorHAnsi" w:eastAsiaTheme="minorEastAsia" w:hAnsiTheme="minorHAnsi" w:cstheme="minorBidi"/>
          <w:noProof/>
          <w:color w:val="auto"/>
          <w:sz w:val="22"/>
          <w:lang w:val="fr-BE" w:eastAsia="fr-BE"/>
        </w:rPr>
      </w:pPr>
      <w:hyperlink w:anchor="_Toc117027491" w:history="1">
        <w:r w:rsidR="00ED5D81" w:rsidRPr="00866D7A">
          <w:rPr>
            <w:rStyle w:val="Hyperlink"/>
            <w:noProof/>
          </w:rPr>
          <w:t>3.4.8</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Concluding the procurement contract</w:t>
        </w:r>
        <w:r w:rsidR="00ED5D81">
          <w:rPr>
            <w:noProof/>
            <w:webHidden/>
          </w:rPr>
          <w:tab/>
        </w:r>
        <w:r w:rsidR="00ED5D81">
          <w:rPr>
            <w:noProof/>
            <w:webHidden/>
          </w:rPr>
          <w:fldChar w:fldCharType="begin"/>
        </w:r>
        <w:r w:rsidR="00ED5D81">
          <w:rPr>
            <w:noProof/>
            <w:webHidden/>
          </w:rPr>
          <w:instrText xml:space="preserve"> PAGEREF _Toc117027491 \h </w:instrText>
        </w:r>
        <w:r w:rsidR="00ED5D81">
          <w:rPr>
            <w:noProof/>
            <w:webHidden/>
          </w:rPr>
        </w:r>
        <w:r w:rsidR="00ED5D81">
          <w:rPr>
            <w:noProof/>
            <w:webHidden/>
          </w:rPr>
          <w:fldChar w:fldCharType="separate"/>
        </w:r>
        <w:r w:rsidR="00ED5D81">
          <w:rPr>
            <w:noProof/>
            <w:webHidden/>
          </w:rPr>
          <w:t>17</w:t>
        </w:r>
        <w:r w:rsidR="00ED5D81">
          <w:rPr>
            <w:noProof/>
            <w:webHidden/>
          </w:rPr>
          <w:fldChar w:fldCharType="end"/>
        </w:r>
      </w:hyperlink>
    </w:p>
    <w:p w14:paraId="25369405" w14:textId="49824223" w:rsidR="00ED5D81" w:rsidRDefault="00000000">
      <w:pPr>
        <w:pStyle w:val="TOC1"/>
        <w:rPr>
          <w:rFonts w:asciiTheme="minorHAnsi" w:eastAsiaTheme="minorEastAsia" w:hAnsiTheme="minorHAnsi" w:cstheme="minorBidi"/>
          <w:b w:val="0"/>
          <w:noProof/>
          <w:color w:val="auto"/>
          <w:sz w:val="22"/>
          <w:lang w:val="fr-BE" w:eastAsia="fr-BE"/>
        </w:rPr>
      </w:pPr>
      <w:hyperlink w:anchor="_Toc117027492" w:history="1">
        <w:r w:rsidR="00ED5D81" w:rsidRPr="00866D7A">
          <w:rPr>
            <w:rStyle w:val="Hyperlink"/>
            <w:noProof/>
          </w:rPr>
          <w:t>4</w:t>
        </w:r>
        <w:r w:rsidR="00ED5D81">
          <w:rPr>
            <w:rFonts w:asciiTheme="minorHAnsi" w:eastAsiaTheme="minorEastAsia" w:hAnsiTheme="minorHAnsi" w:cstheme="minorBidi"/>
            <w:b w:val="0"/>
            <w:noProof/>
            <w:color w:val="auto"/>
            <w:sz w:val="22"/>
            <w:lang w:val="fr-BE" w:eastAsia="fr-BE"/>
          </w:rPr>
          <w:tab/>
        </w:r>
        <w:r w:rsidR="00ED5D81" w:rsidRPr="00866D7A">
          <w:rPr>
            <w:rStyle w:val="Hyperlink"/>
            <w:noProof/>
          </w:rPr>
          <w:t>Special contractual provisions</w:t>
        </w:r>
        <w:r w:rsidR="00ED5D81">
          <w:rPr>
            <w:noProof/>
            <w:webHidden/>
          </w:rPr>
          <w:tab/>
        </w:r>
        <w:r w:rsidR="00ED5D81">
          <w:rPr>
            <w:noProof/>
            <w:webHidden/>
          </w:rPr>
          <w:fldChar w:fldCharType="begin"/>
        </w:r>
        <w:r w:rsidR="00ED5D81">
          <w:rPr>
            <w:noProof/>
            <w:webHidden/>
          </w:rPr>
          <w:instrText xml:space="preserve"> PAGEREF _Toc117027492 \h </w:instrText>
        </w:r>
        <w:r w:rsidR="00ED5D81">
          <w:rPr>
            <w:noProof/>
            <w:webHidden/>
          </w:rPr>
        </w:r>
        <w:r w:rsidR="00ED5D81">
          <w:rPr>
            <w:noProof/>
            <w:webHidden/>
          </w:rPr>
          <w:fldChar w:fldCharType="separate"/>
        </w:r>
        <w:r w:rsidR="00ED5D81">
          <w:rPr>
            <w:noProof/>
            <w:webHidden/>
          </w:rPr>
          <w:t>18</w:t>
        </w:r>
        <w:r w:rsidR="00ED5D81">
          <w:rPr>
            <w:noProof/>
            <w:webHidden/>
          </w:rPr>
          <w:fldChar w:fldCharType="end"/>
        </w:r>
      </w:hyperlink>
    </w:p>
    <w:p w14:paraId="39D94800" w14:textId="74C2EC5F"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93" w:history="1">
        <w:r w:rsidR="00ED5D81" w:rsidRPr="00866D7A">
          <w:rPr>
            <w:rStyle w:val="Hyperlink"/>
            <w:rFonts w:eastAsia="MS Gothic"/>
            <w:b/>
            <w:noProof/>
          </w:rPr>
          <w:t>4.1</w:t>
        </w:r>
        <w:r w:rsidR="00ED5D81">
          <w:rPr>
            <w:rFonts w:asciiTheme="minorHAnsi" w:eastAsiaTheme="minorEastAsia" w:hAnsiTheme="minorHAnsi" w:cstheme="minorBidi"/>
            <w:noProof/>
            <w:color w:val="auto"/>
            <w:sz w:val="22"/>
            <w:lang w:val="fr-BE" w:eastAsia="fr-BE"/>
          </w:rPr>
          <w:tab/>
        </w:r>
        <w:r w:rsidR="00ED5D81" w:rsidRPr="00866D7A">
          <w:rPr>
            <w:rStyle w:val="Hyperlink"/>
            <w:rFonts w:eastAsia="MS Gothic"/>
            <w:b/>
            <w:noProof/>
          </w:rPr>
          <w:t>Definitions (Art. 2)</w:t>
        </w:r>
        <w:r w:rsidR="00ED5D81">
          <w:rPr>
            <w:noProof/>
            <w:webHidden/>
          </w:rPr>
          <w:tab/>
        </w:r>
        <w:r w:rsidR="00ED5D81">
          <w:rPr>
            <w:noProof/>
            <w:webHidden/>
          </w:rPr>
          <w:fldChar w:fldCharType="begin"/>
        </w:r>
        <w:r w:rsidR="00ED5D81">
          <w:rPr>
            <w:noProof/>
            <w:webHidden/>
          </w:rPr>
          <w:instrText xml:space="preserve"> PAGEREF _Toc117027493 \h </w:instrText>
        </w:r>
        <w:r w:rsidR="00ED5D81">
          <w:rPr>
            <w:noProof/>
            <w:webHidden/>
          </w:rPr>
        </w:r>
        <w:r w:rsidR="00ED5D81">
          <w:rPr>
            <w:noProof/>
            <w:webHidden/>
          </w:rPr>
          <w:fldChar w:fldCharType="separate"/>
        </w:r>
        <w:r w:rsidR="00ED5D81">
          <w:rPr>
            <w:noProof/>
            <w:webHidden/>
          </w:rPr>
          <w:t>18</w:t>
        </w:r>
        <w:r w:rsidR="00ED5D81">
          <w:rPr>
            <w:noProof/>
            <w:webHidden/>
          </w:rPr>
          <w:fldChar w:fldCharType="end"/>
        </w:r>
      </w:hyperlink>
    </w:p>
    <w:p w14:paraId="5FAC0D14" w14:textId="5CEF4C06"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94" w:history="1">
        <w:r w:rsidR="00ED5D81" w:rsidRPr="00866D7A">
          <w:rPr>
            <w:rStyle w:val="Hyperlink"/>
            <w:noProof/>
          </w:rPr>
          <w:t>4.2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Correspondence with the service provider (Art. 10)</w:t>
        </w:r>
        <w:r w:rsidR="00ED5D81">
          <w:rPr>
            <w:noProof/>
            <w:webHidden/>
          </w:rPr>
          <w:tab/>
        </w:r>
        <w:r w:rsidR="00ED5D81">
          <w:rPr>
            <w:noProof/>
            <w:webHidden/>
          </w:rPr>
          <w:fldChar w:fldCharType="begin"/>
        </w:r>
        <w:r w:rsidR="00ED5D81">
          <w:rPr>
            <w:noProof/>
            <w:webHidden/>
          </w:rPr>
          <w:instrText xml:space="preserve"> PAGEREF _Toc117027494 \h </w:instrText>
        </w:r>
        <w:r w:rsidR="00ED5D81">
          <w:rPr>
            <w:noProof/>
            <w:webHidden/>
          </w:rPr>
        </w:r>
        <w:r w:rsidR="00ED5D81">
          <w:rPr>
            <w:noProof/>
            <w:webHidden/>
          </w:rPr>
          <w:fldChar w:fldCharType="separate"/>
        </w:r>
        <w:r w:rsidR="00ED5D81">
          <w:rPr>
            <w:noProof/>
            <w:webHidden/>
          </w:rPr>
          <w:t>18</w:t>
        </w:r>
        <w:r w:rsidR="00ED5D81">
          <w:rPr>
            <w:noProof/>
            <w:webHidden/>
          </w:rPr>
          <w:fldChar w:fldCharType="end"/>
        </w:r>
      </w:hyperlink>
    </w:p>
    <w:p w14:paraId="667E9360" w14:textId="1576EFAA"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95" w:history="1">
        <w:r w:rsidR="00ED5D81" w:rsidRPr="00866D7A">
          <w:rPr>
            <w:rStyle w:val="Hyperlink"/>
            <w:noProof/>
          </w:rPr>
          <w:t>4.3</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Managing official (Art. 11)</w:t>
        </w:r>
        <w:r w:rsidR="00ED5D81">
          <w:rPr>
            <w:noProof/>
            <w:webHidden/>
          </w:rPr>
          <w:tab/>
        </w:r>
        <w:r w:rsidR="00ED5D81">
          <w:rPr>
            <w:noProof/>
            <w:webHidden/>
          </w:rPr>
          <w:fldChar w:fldCharType="begin"/>
        </w:r>
        <w:r w:rsidR="00ED5D81">
          <w:rPr>
            <w:noProof/>
            <w:webHidden/>
          </w:rPr>
          <w:instrText xml:space="preserve"> PAGEREF _Toc117027495 \h </w:instrText>
        </w:r>
        <w:r w:rsidR="00ED5D81">
          <w:rPr>
            <w:noProof/>
            <w:webHidden/>
          </w:rPr>
        </w:r>
        <w:r w:rsidR="00ED5D81">
          <w:rPr>
            <w:noProof/>
            <w:webHidden/>
          </w:rPr>
          <w:fldChar w:fldCharType="separate"/>
        </w:r>
        <w:r w:rsidR="00ED5D81">
          <w:rPr>
            <w:noProof/>
            <w:webHidden/>
          </w:rPr>
          <w:t>19</w:t>
        </w:r>
        <w:r w:rsidR="00ED5D81">
          <w:rPr>
            <w:noProof/>
            <w:webHidden/>
          </w:rPr>
          <w:fldChar w:fldCharType="end"/>
        </w:r>
      </w:hyperlink>
    </w:p>
    <w:p w14:paraId="20E8C549" w14:textId="43D68007"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96" w:history="1">
        <w:r w:rsidR="00ED5D81" w:rsidRPr="00866D7A">
          <w:rPr>
            <w:rStyle w:val="Hyperlink"/>
            <w:noProof/>
          </w:rPr>
          <w:t>4.4</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Subcontractors (Art. 12 to 15)</w:t>
        </w:r>
        <w:r w:rsidR="00ED5D81">
          <w:rPr>
            <w:noProof/>
            <w:webHidden/>
          </w:rPr>
          <w:tab/>
        </w:r>
        <w:r w:rsidR="00ED5D81">
          <w:rPr>
            <w:noProof/>
            <w:webHidden/>
          </w:rPr>
          <w:fldChar w:fldCharType="begin"/>
        </w:r>
        <w:r w:rsidR="00ED5D81">
          <w:rPr>
            <w:noProof/>
            <w:webHidden/>
          </w:rPr>
          <w:instrText xml:space="preserve"> PAGEREF _Toc117027496 \h </w:instrText>
        </w:r>
        <w:r w:rsidR="00ED5D81">
          <w:rPr>
            <w:noProof/>
            <w:webHidden/>
          </w:rPr>
        </w:r>
        <w:r w:rsidR="00ED5D81">
          <w:rPr>
            <w:noProof/>
            <w:webHidden/>
          </w:rPr>
          <w:fldChar w:fldCharType="separate"/>
        </w:r>
        <w:r w:rsidR="00ED5D81">
          <w:rPr>
            <w:noProof/>
            <w:webHidden/>
          </w:rPr>
          <w:t>19</w:t>
        </w:r>
        <w:r w:rsidR="00ED5D81">
          <w:rPr>
            <w:noProof/>
            <w:webHidden/>
          </w:rPr>
          <w:fldChar w:fldCharType="end"/>
        </w:r>
      </w:hyperlink>
    </w:p>
    <w:p w14:paraId="1CE53B37" w14:textId="36BFF938"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97" w:history="1">
        <w:r w:rsidR="00ED5D81" w:rsidRPr="00866D7A">
          <w:rPr>
            <w:rStyle w:val="Hyperlink"/>
            <w:noProof/>
            <w:lang w:val="en-US"/>
          </w:rPr>
          <w:t>4.5</w:t>
        </w:r>
        <w:r w:rsidR="00ED5D81">
          <w:rPr>
            <w:rFonts w:asciiTheme="minorHAnsi" w:eastAsiaTheme="minorEastAsia" w:hAnsiTheme="minorHAnsi" w:cstheme="minorBidi"/>
            <w:noProof/>
            <w:color w:val="auto"/>
            <w:sz w:val="22"/>
            <w:lang w:val="fr-BE" w:eastAsia="fr-BE"/>
          </w:rPr>
          <w:tab/>
        </w:r>
        <w:r w:rsidR="00ED5D81" w:rsidRPr="00866D7A">
          <w:rPr>
            <w:rStyle w:val="Hyperlink"/>
            <w:noProof/>
            <w:lang w:val="en-US"/>
          </w:rPr>
          <w:t>Confidentiality (art. 18)</w:t>
        </w:r>
        <w:r w:rsidR="00ED5D81">
          <w:rPr>
            <w:noProof/>
            <w:webHidden/>
          </w:rPr>
          <w:tab/>
        </w:r>
        <w:r w:rsidR="00ED5D81">
          <w:rPr>
            <w:noProof/>
            <w:webHidden/>
          </w:rPr>
          <w:fldChar w:fldCharType="begin"/>
        </w:r>
        <w:r w:rsidR="00ED5D81">
          <w:rPr>
            <w:noProof/>
            <w:webHidden/>
          </w:rPr>
          <w:instrText xml:space="preserve"> PAGEREF _Toc117027497 \h </w:instrText>
        </w:r>
        <w:r w:rsidR="00ED5D81">
          <w:rPr>
            <w:noProof/>
            <w:webHidden/>
          </w:rPr>
        </w:r>
        <w:r w:rsidR="00ED5D81">
          <w:rPr>
            <w:noProof/>
            <w:webHidden/>
          </w:rPr>
          <w:fldChar w:fldCharType="separate"/>
        </w:r>
        <w:r w:rsidR="00ED5D81">
          <w:rPr>
            <w:noProof/>
            <w:webHidden/>
          </w:rPr>
          <w:t>20</w:t>
        </w:r>
        <w:r w:rsidR="00ED5D81">
          <w:rPr>
            <w:noProof/>
            <w:webHidden/>
          </w:rPr>
          <w:fldChar w:fldCharType="end"/>
        </w:r>
      </w:hyperlink>
    </w:p>
    <w:p w14:paraId="211D8194" w14:textId="38AFF760"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498" w:history="1">
        <w:r w:rsidR="00ED5D81" w:rsidRPr="00866D7A">
          <w:rPr>
            <w:rStyle w:val="Hyperlink"/>
            <w:noProof/>
            <w:lang w:val="en-US"/>
          </w:rPr>
          <w:t>4.6</w:t>
        </w:r>
        <w:r w:rsidR="00ED5D81">
          <w:rPr>
            <w:rFonts w:asciiTheme="minorHAnsi" w:eastAsiaTheme="minorEastAsia" w:hAnsiTheme="minorHAnsi" w:cstheme="minorBidi"/>
            <w:noProof/>
            <w:color w:val="auto"/>
            <w:sz w:val="22"/>
            <w:lang w:val="fr-BE" w:eastAsia="fr-BE"/>
          </w:rPr>
          <w:tab/>
        </w:r>
        <w:r w:rsidR="00ED5D81" w:rsidRPr="00866D7A">
          <w:rPr>
            <w:rStyle w:val="Hyperlink"/>
            <w:noProof/>
            <w:lang w:val="en-US"/>
          </w:rPr>
          <w:t>Protection of personal data</w:t>
        </w:r>
        <w:r w:rsidR="00ED5D81">
          <w:rPr>
            <w:noProof/>
            <w:webHidden/>
          </w:rPr>
          <w:tab/>
        </w:r>
        <w:r w:rsidR="00ED5D81">
          <w:rPr>
            <w:noProof/>
            <w:webHidden/>
          </w:rPr>
          <w:fldChar w:fldCharType="begin"/>
        </w:r>
        <w:r w:rsidR="00ED5D81">
          <w:rPr>
            <w:noProof/>
            <w:webHidden/>
          </w:rPr>
          <w:instrText xml:space="preserve"> PAGEREF _Toc117027498 \h </w:instrText>
        </w:r>
        <w:r w:rsidR="00ED5D81">
          <w:rPr>
            <w:noProof/>
            <w:webHidden/>
          </w:rPr>
        </w:r>
        <w:r w:rsidR="00ED5D81">
          <w:rPr>
            <w:noProof/>
            <w:webHidden/>
          </w:rPr>
          <w:fldChar w:fldCharType="separate"/>
        </w:r>
        <w:r w:rsidR="00ED5D81">
          <w:rPr>
            <w:noProof/>
            <w:webHidden/>
          </w:rPr>
          <w:t>20</w:t>
        </w:r>
        <w:r w:rsidR="00ED5D81">
          <w:rPr>
            <w:noProof/>
            <w:webHidden/>
          </w:rPr>
          <w:fldChar w:fldCharType="end"/>
        </w:r>
      </w:hyperlink>
    </w:p>
    <w:p w14:paraId="0400C105" w14:textId="5E17B9F0" w:rsidR="00ED5D81" w:rsidRDefault="00000000">
      <w:pPr>
        <w:pStyle w:val="TOC3"/>
        <w:rPr>
          <w:rFonts w:asciiTheme="minorHAnsi" w:eastAsiaTheme="minorEastAsia" w:hAnsiTheme="minorHAnsi" w:cstheme="minorBidi"/>
          <w:noProof/>
          <w:color w:val="auto"/>
          <w:sz w:val="22"/>
          <w:lang w:val="fr-BE" w:eastAsia="fr-BE"/>
        </w:rPr>
      </w:pPr>
      <w:hyperlink w:anchor="_Toc117027499" w:history="1">
        <w:r w:rsidR="00ED5D81" w:rsidRPr="00866D7A">
          <w:rPr>
            <w:rStyle w:val="Hyperlink"/>
            <w:noProof/>
          </w:rPr>
          <w:t>4.6.1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Processing of personal data by the contracting authority</w:t>
        </w:r>
        <w:r w:rsidR="00ED5D81">
          <w:rPr>
            <w:noProof/>
            <w:webHidden/>
          </w:rPr>
          <w:tab/>
        </w:r>
        <w:r w:rsidR="00ED5D81">
          <w:rPr>
            <w:noProof/>
            <w:webHidden/>
          </w:rPr>
          <w:fldChar w:fldCharType="begin"/>
        </w:r>
        <w:r w:rsidR="00ED5D81">
          <w:rPr>
            <w:noProof/>
            <w:webHidden/>
          </w:rPr>
          <w:instrText xml:space="preserve"> PAGEREF _Toc117027499 \h </w:instrText>
        </w:r>
        <w:r w:rsidR="00ED5D81">
          <w:rPr>
            <w:noProof/>
            <w:webHidden/>
          </w:rPr>
        </w:r>
        <w:r w:rsidR="00ED5D81">
          <w:rPr>
            <w:noProof/>
            <w:webHidden/>
          </w:rPr>
          <w:fldChar w:fldCharType="separate"/>
        </w:r>
        <w:r w:rsidR="00ED5D81">
          <w:rPr>
            <w:noProof/>
            <w:webHidden/>
          </w:rPr>
          <w:t>20</w:t>
        </w:r>
        <w:r w:rsidR="00ED5D81">
          <w:rPr>
            <w:noProof/>
            <w:webHidden/>
          </w:rPr>
          <w:fldChar w:fldCharType="end"/>
        </w:r>
      </w:hyperlink>
    </w:p>
    <w:p w14:paraId="2BF97D69" w14:textId="36B281D0" w:rsidR="00ED5D81" w:rsidRDefault="00000000">
      <w:pPr>
        <w:pStyle w:val="TOC3"/>
        <w:rPr>
          <w:rFonts w:asciiTheme="minorHAnsi" w:eastAsiaTheme="minorEastAsia" w:hAnsiTheme="minorHAnsi" w:cstheme="minorBidi"/>
          <w:noProof/>
          <w:color w:val="auto"/>
          <w:sz w:val="22"/>
          <w:lang w:val="fr-BE" w:eastAsia="fr-BE"/>
        </w:rPr>
      </w:pPr>
      <w:hyperlink w:anchor="_Toc117027500" w:history="1">
        <w:r w:rsidR="00ED5D81" w:rsidRPr="00866D7A">
          <w:rPr>
            <w:rStyle w:val="Hyperlink"/>
            <w:noProof/>
          </w:rPr>
          <w:t>4.6.2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PROCESSING OF PERSONAL DATA BY A SUBCONTRACTOR</w:t>
        </w:r>
        <w:r w:rsidR="00ED5D81">
          <w:rPr>
            <w:noProof/>
            <w:webHidden/>
          </w:rPr>
          <w:tab/>
        </w:r>
        <w:r w:rsidR="00ED5D81">
          <w:rPr>
            <w:noProof/>
            <w:webHidden/>
          </w:rPr>
          <w:fldChar w:fldCharType="begin"/>
        </w:r>
        <w:r w:rsidR="00ED5D81">
          <w:rPr>
            <w:noProof/>
            <w:webHidden/>
          </w:rPr>
          <w:instrText xml:space="preserve"> PAGEREF _Toc117027500 \h </w:instrText>
        </w:r>
        <w:r w:rsidR="00ED5D81">
          <w:rPr>
            <w:noProof/>
            <w:webHidden/>
          </w:rPr>
        </w:r>
        <w:r w:rsidR="00ED5D81">
          <w:rPr>
            <w:noProof/>
            <w:webHidden/>
          </w:rPr>
          <w:fldChar w:fldCharType="separate"/>
        </w:r>
        <w:r w:rsidR="00ED5D81">
          <w:rPr>
            <w:noProof/>
            <w:webHidden/>
          </w:rPr>
          <w:t>20</w:t>
        </w:r>
        <w:r w:rsidR="00ED5D81">
          <w:rPr>
            <w:noProof/>
            <w:webHidden/>
          </w:rPr>
          <w:fldChar w:fldCharType="end"/>
        </w:r>
      </w:hyperlink>
    </w:p>
    <w:p w14:paraId="1D4CFF83" w14:textId="1F8290D8"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01" w:history="1">
        <w:r w:rsidR="00ED5D81" w:rsidRPr="00866D7A">
          <w:rPr>
            <w:rStyle w:val="Hyperlink"/>
            <w:noProof/>
          </w:rPr>
          <w:t>4.7</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Intellectual property (Art. 19 to 23)</w:t>
        </w:r>
        <w:r w:rsidR="00ED5D81">
          <w:rPr>
            <w:noProof/>
            <w:webHidden/>
          </w:rPr>
          <w:tab/>
        </w:r>
        <w:r w:rsidR="00ED5D81">
          <w:rPr>
            <w:noProof/>
            <w:webHidden/>
          </w:rPr>
          <w:fldChar w:fldCharType="begin"/>
        </w:r>
        <w:r w:rsidR="00ED5D81">
          <w:rPr>
            <w:noProof/>
            <w:webHidden/>
          </w:rPr>
          <w:instrText xml:space="preserve"> PAGEREF _Toc117027501 \h </w:instrText>
        </w:r>
        <w:r w:rsidR="00ED5D81">
          <w:rPr>
            <w:noProof/>
            <w:webHidden/>
          </w:rPr>
        </w:r>
        <w:r w:rsidR="00ED5D81">
          <w:rPr>
            <w:noProof/>
            <w:webHidden/>
          </w:rPr>
          <w:fldChar w:fldCharType="separate"/>
        </w:r>
        <w:r w:rsidR="00ED5D81">
          <w:rPr>
            <w:noProof/>
            <w:webHidden/>
          </w:rPr>
          <w:t>21</w:t>
        </w:r>
        <w:r w:rsidR="00ED5D81">
          <w:rPr>
            <w:noProof/>
            <w:webHidden/>
          </w:rPr>
          <w:fldChar w:fldCharType="end"/>
        </w:r>
      </w:hyperlink>
    </w:p>
    <w:p w14:paraId="2DF2FA51" w14:textId="0F951A90"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02" w:history="1">
        <w:r w:rsidR="00ED5D81" w:rsidRPr="00866D7A">
          <w:rPr>
            <w:rStyle w:val="Hyperlink"/>
            <w:noProof/>
          </w:rPr>
          <w:t>4.8</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Performance bond (Art. 25 to 33)</w:t>
        </w:r>
        <w:r w:rsidR="00ED5D81">
          <w:rPr>
            <w:noProof/>
            <w:webHidden/>
          </w:rPr>
          <w:tab/>
        </w:r>
        <w:r w:rsidR="00ED5D81">
          <w:rPr>
            <w:noProof/>
            <w:webHidden/>
          </w:rPr>
          <w:fldChar w:fldCharType="begin"/>
        </w:r>
        <w:r w:rsidR="00ED5D81">
          <w:rPr>
            <w:noProof/>
            <w:webHidden/>
          </w:rPr>
          <w:instrText xml:space="preserve"> PAGEREF _Toc117027502 \h </w:instrText>
        </w:r>
        <w:r w:rsidR="00ED5D81">
          <w:rPr>
            <w:noProof/>
            <w:webHidden/>
          </w:rPr>
        </w:r>
        <w:r w:rsidR="00ED5D81">
          <w:rPr>
            <w:noProof/>
            <w:webHidden/>
          </w:rPr>
          <w:fldChar w:fldCharType="separate"/>
        </w:r>
        <w:r w:rsidR="00ED5D81">
          <w:rPr>
            <w:noProof/>
            <w:webHidden/>
          </w:rPr>
          <w:t>21</w:t>
        </w:r>
        <w:r w:rsidR="00ED5D81">
          <w:rPr>
            <w:noProof/>
            <w:webHidden/>
          </w:rPr>
          <w:fldChar w:fldCharType="end"/>
        </w:r>
      </w:hyperlink>
    </w:p>
    <w:p w14:paraId="5D79B1F7" w14:textId="00F84798"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03" w:history="1">
        <w:r w:rsidR="00ED5D81" w:rsidRPr="00866D7A">
          <w:rPr>
            <w:rStyle w:val="Hyperlink"/>
            <w:noProof/>
          </w:rPr>
          <w:t>4.9</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Conformity of performance (Art. 34)</w:t>
        </w:r>
        <w:r w:rsidR="00ED5D81">
          <w:rPr>
            <w:noProof/>
            <w:webHidden/>
          </w:rPr>
          <w:tab/>
        </w:r>
        <w:r w:rsidR="00ED5D81">
          <w:rPr>
            <w:noProof/>
            <w:webHidden/>
          </w:rPr>
          <w:fldChar w:fldCharType="begin"/>
        </w:r>
        <w:r w:rsidR="00ED5D81">
          <w:rPr>
            <w:noProof/>
            <w:webHidden/>
          </w:rPr>
          <w:instrText xml:space="preserve"> PAGEREF _Toc117027503 \h </w:instrText>
        </w:r>
        <w:r w:rsidR="00ED5D81">
          <w:rPr>
            <w:noProof/>
            <w:webHidden/>
          </w:rPr>
        </w:r>
        <w:r w:rsidR="00ED5D81">
          <w:rPr>
            <w:noProof/>
            <w:webHidden/>
          </w:rPr>
          <w:fldChar w:fldCharType="separate"/>
        </w:r>
        <w:r w:rsidR="00ED5D81">
          <w:rPr>
            <w:noProof/>
            <w:webHidden/>
          </w:rPr>
          <w:t>23</w:t>
        </w:r>
        <w:r w:rsidR="00ED5D81">
          <w:rPr>
            <w:noProof/>
            <w:webHidden/>
          </w:rPr>
          <w:fldChar w:fldCharType="end"/>
        </w:r>
      </w:hyperlink>
    </w:p>
    <w:p w14:paraId="20AD47F2" w14:textId="16A1605B"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04" w:history="1">
        <w:r w:rsidR="00ED5D81" w:rsidRPr="00866D7A">
          <w:rPr>
            <w:rStyle w:val="Hyperlink"/>
            <w:noProof/>
          </w:rPr>
          <w:t>4.10</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Changes to the procurement contract (Art. 37 to 38/19)</w:t>
        </w:r>
        <w:r w:rsidR="00ED5D81">
          <w:rPr>
            <w:noProof/>
            <w:webHidden/>
          </w:rPr>
          <w:tab/>
        </w:r>
        <w:r w:rsidR="00ED5D81">
          <w:rPr>
            <w:noProof/>
            <w:webHidden/>
          </w:rPr>
          <w:fldChar w:fldCharType="begin"/>
        </w:r>
        <w:r w:rsidR="00ED5D81">
          <w:rPr>
            <w:noProof/>
            <w:webHidden/>
          </w:rPr>
          <w:instrText xml:space="preserve"> PAGEREF _Toc117027504 \h </w:instrText>
        </w:r>
        <w:r w:rsidR="00ED5D81">
          <w:rPr>
            <w:noProof/>
            <w:webHidden/>
          </w:rPr>
        </w:r>
        <w:r w:rsidR="00ED5D81">
          <w:rPr>
            <w:noProof/>
            <w:webHidden/>
          </w:rPr>
          <w:fldChar w:fldCharType="separate"/>
        </w:r>
        <w:r w:rsidR="00ED5D81">
          <w:rPr>
            <w:noProof/>
            <w:webHidden/>
          </w:rPr>
          <w:t>23</w:t>
        </w:r>
        <w:r w:rsidR="00ED5D81">
          <w:rPr>
            <w:noProof/>
            <w:webHidden/>
          </w:rPr>
          <w:fldChar w:fldCharType="end"/>
        </w:r>
      </w:hyperlink>
    </w:p>
    <w:p w14:paraId="32ADC204" w14:textId="16CDBA39" w:rsidR="00ED5D81" w:rsidRDefault="00000000">
      <w:pPr>
        <w:pStyle w:val="TOC3"/>
        <w:rPr>
          <w:rFonts w:asciiTheme="minorHAnsi" w:eastAsiaTheme="minorEastAsia" w:hAnsiTheme="minorHAnsi" w:cstheme="minorBidi"/>
          <w:noProof/>
          <w:color w:val="auto"/>
          <w:sz w:val="22"/>
          <w:lang w:val="fr-BE" w:eastAsia="fr-BE"/>
        </w:rPr>
      </w:pPr>
      <w:hyperlink w:anchor="_Toc117027505" w:history="1">
        <w:r w:rsidR="00ED5D81" w:rsidRPr="00866D7A">
          <w:rPr>
            <w:rStyle w:val="Hyperlink"/>
            <w:noProof/>
          </w:rPr>
          <w:t>4.10.1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Replacement of the contractor (Art. 38/3)</w:t>
        </w:r>
        <w:r w:rsidR="00ED5D81">
          <w:rPr>
            <w:noProof/>
            <w:webHidden/>
          </w:rPr>
          <w:tab/>
        </w:r>
        <w:r w:rsidR="00ED5D81">
          <w:rPr>
            <w:noProof/>
            <w:webHidden/>
          </w:rPr>
          <w:fldChar w:fldCharType="begin"/>
        </w:r>
        <w:r w:rsidR="00ED5D81">
          <w:rPr>
            <w:noProof/>
            <w:webHidden/>
          </w:rPr>
          <w:instrText xml:space="preserve"> PAGEREF _Toc117027505 \h </w:instrText>
        </w:r>
        <w:r w:rsidR="00ED5D81">
          <w:rPr>
            <w:noProof/>
            <w:webHidden/>
          </w:rPr>
        </w:r>
        <w:r w:rsidR="00ED5D81">
          <w:rPr>
            <w:noProof/>
            <w:webHidden/>
          </w:rPr>
          <w:fldChar w:fldCharType="separate"/>
        </w:r>
        <w:r w:rsidR="00ED5D81">
          <w:rPr>
            <w:noProof/>
            <w:webHidden/>
          </w:rPr>
          <w:t>23</w:t>
        </w:r>
        <w:r w:rsidR="00ED5D81">
          <w:rPr>
            <w:noProof/>
            <w:webHidden/>
          </w:rPr>
          <w:fldChar w:fldCharType="end"/>
        </w:r>
      </w:hyperlink>
    </w:p>
    <w:p w14:paraId="4EF8E8A5" w14:textId="616C4237" w:rsidR="00ED5D81" w:rsidRDefault="00000000">
      <w:pPr>
        <w:pStyle w:val="TOC3"/>
        <w:rPr>
          <w:rFonts w:asciiTheme="minorHAnsi" w:eastAsiaTheme="minorEastAsia" w:hAnsiTheme="minorHAnsi" w:cstheme="minorBidi"/>
          <w:noProof/>
          <w:color w:val="auto"/>
          <w:sz w:val="22"/>
          <w:lang w:val="fr-BE" w:eastAsia="fr-BE"/>
        </w:rPr>
      </w:pPr>
      <w:hyperlink w:anchor="_Toc117027506" w:history="1">
        <w:r w:rsidR="00ED5D81" w:rsidRPr="00866D7A">
          <w:rPr>
            <w:rStyle w:val="Hyperlink"/>
            <w:noProof/>
          </w:rPr>
          <w:t>4.10.2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Adjusting the prices (Art. 38/7)</w:t>
        </w:r>
        <w:r w:rsidR="00ED5D81">
          <w:rPr>
            <w:noProof/>
            <w:webHidden/>
          </w:rPr>
          <w:tab/>
        </w:r>
        <w:r w:rsidR="00ED5D81">
          <w:rPr>
            <w:noProof/>
            <w:webHidden/>
          </w:rPr>
          <w:fldChar w:fldCharType="begin"/>
        </w:r>
        <w:r w:rsidR="00ED5D81">
          <w:rPr>
            <w:noProof/>
            <w:webHidden/>
          </w:rPr>
          <w:instrText xml:space="preserve"> PAGEREF _Toc117027506 \h </w:instrText>
        </w:r>
        <w:r w:rsidR="00ED5D81">
          <w:rPr>
            <w:noProof/>
            <w:webHidden/>
          </w:rPr>
        </w:r>
        <w:r w:rsidR="00ED5D81">
          <w:rPr>
            <w:noProof/>
            <w:webHidden/>
          </w:rPr>
          <w:fldChar w:fldCharType="separate"/>
        </w:r>
        <w:r w:rsidR="00ED5D81">
          <w:rPr>
            <w:noProof/>
            <w:webHidden/>
          </w:rPr>
          <w:t>23</w:t>
        </w:r>
        <w:r w:rsidR="00ED5D81">
          <w:rPr>
            <w:noProof/>
            <w:webHidden/>
          </w:rPr>
          <w:fldChar w:fldCharType="end"/>
        </w:r>
      </w:hyperlink>
    </w:p>
    <w:p w14:paraId="3E01EFF0" w14:textId="7286B2A1" w:rsidR="00ED5D81" w:rsidRDefault="00000000">
      <w:pPr>
        <w:pStyle w:val="TOC3"/>
        <w:rPr>
          <w:rFonts w:asciiTheme="minorHAnsi" w:eastAsiaTheme="minorEastAsia" w:hAnsiTheme="minorHAnsi" w:cstheme="minorBidi"/>
          <w:noProof/>
          <w:color w:val="auto"/>
          <w:sz w:val="22"/>
          <w:lang w:val="fr-BE" w:eastAsia="fr-BE"/>
        </w:rPr>
      </w:pPr>
      <w:hyperlink w:anchor="_Toc117027507" w:history="1">
        <w:r w:rsidR="00ED5D81" w:rsidRPr="00866D7A">
          <w:rPr>
            <w:rStyle w:val="Hyperlink"/>
            <w:noProof/>
          </w:rPr>
          <w:t>4.10.3</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Indemnities following the suspensions ordered by the contracting authority during performance (Art. 38/12)</w:t>
        </w:r>
        <w:r w:rsidR="00ED5D81">
          <w:rPr>
            <w:noProof/>
            <w:webHidden/>
          </w:rPr>
          <w:tab/>
        </w:r>
        <w:r w:rsidR="00ED5D81">
          <w:rPr>
            <w:noProof/>
            <w:webHidden/>
          </w:rPr>
          <w:fldChar w:fldCharType="begin"/>
        </w:r>
        <w:r w:rsidR="00ED5D81">
          <w:rPr>
            <w:noProof/>
            <w:webHidden/>
          </w:rPr>
          <w:instrText xml:space="preserve"> PAGEREF _Toc117027507 \h </w:instrText>
        </w:r>
        <w:r w:rsidR="00ED5D81">
          <w:rPr>
            <w:noProof/>
            <w:webHidden/>
          </w:rPr>
        </w:r>
        <w:r w:rsidR="00ED5D81">
          <w:rPr>
            <w:noProof/>
            <w:webHidden/>
          </w:rPr>
          <w:fldChar w:fldCharType="separate"/>
        </w:r>
        <w:r w:rsidR="00ED5D81">
          <w:rPr>
            <w:noProof/>
            <w:webHidden/>
          </w:rPr>
          <w:t>23</w:t>
        </w:r>
        <w:r w:rsidR="00ED5D81">
          <w:rPr>
            <w:noProof/>
            <w:webHidden/>
          </w:rPr>
          <w:fldChar w:fldCharType="end"/>
        </w:r>
      </w:hyperlink>
    </w:p>
    <w:p w14:paraId="6B5E968A" w14:textId="44701617" w:rsidR="00ED5D81" w:rsidRDefault="00000000">
      <w:pPr>
        <w:pStyle w:val="TOC3"/>
        <w:rPr>
          <w:rFonts w:asciiTheme="minorHAnsi" w:eastAsiaTheme="minorEastAsia" w:hAnsiTheme="minorHAnsi" w:cstheme="minorBidi"/>
          <w:noProof/>
          <w:color w:val="auto"/>
          <w:sz w:val="22"/>
          <w:lang w:val="fr-BE" w:eastAsia="fr-BE"/>
        </w:rPr>
      </w:pPr>
      <w:hyperlink w:anchor="_Toc117027508" w:history="1">
        <w:r w:rsidR="00ED5D81" w:rsidRPr="00866D7A">
          <w:rPr>
            <w:rStyle w:val="Hyperlink"/>
            <w:noProof/>
          </w:rPr>
          <w:t>4.10.4</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Unforeseen circumstances</w:t>
        </w:r>
        <w:r w:rsidR="00ED5D81">
          <w:rPr>
            <w:noProof/>
            <w:webHidden/>
          </w:rPr>
          <w:tab/>
        </w:r>
        <w:r w:rsidR="00ED5D81">
          <w:rPr>
            <w:noProof/>
            <w:webHidden/>
          </w:rPr>
          <w:fldChar w:fldCharType="begin"/>
        </w:r>
        <w:r w:rsidR="00ED5D81">
          <w:rPr>
            <w:noProof/>
            <w:webHidden/>
          </w:rPr>
          <w:instrText xml:space="preserve"> PAGEREF _Toc117027508 \h </w:instrText>
        </w:r>
        <w:r w:rsidR="00ED5D81">
          <w:rPr>
            <w:noProof/>
            <w:webHidden/>
          </w:rPr>
        </w:r>
        <w:r w:rsidR="00ED5D81">
          <w:rPr>
            <w:noProof/>
            <w:webHidden/>
          </w:rPr>
          <w:fldChar w:fldCharType="separate"/>
        </w:r>
        <w:r w:rsidR="00ED5D81">
          <w:rPr>
            <w:noProof/>
            <w:webHidden/>
          </w:rPr>
          <w:t>24</w:t>
        </w:r>
        <w:r w:rsidR="00ED5D81">
          <w:rPr>
            <w:noProof/>
            <w:webHidden/>
          </w:rPr>
          <w:fldChar w:fldCharType="end"/>
        </w:r>
      </w:hyperlink>
    </w:p>
    <w:p w14:paraId="26C2097F" w14:textId="700E8DD9"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09" w:history="1">
        <w:r w:rsidR="00ED5D81" w:rsidRPr="00866D7A">
          <w:rPr>
            <w:rStyle w:val="Hyperlink"/>
            <w:noProof/>
          </w:rPr>
          <w:t>4.11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Preliminary technical acceptance (Art. 42)</w:t>
        </w:r>
        <w:r w:rsidR="00ED5D81">
          <w:rPr>
            <w:noProof/>
            <w:webHidden/>
          </w:rPr>
          <w:tab/>
        </w:r>
        <w:r w:rsidR="00ED5D81">
          <w:rPr>
            <w:noProof/>
            <w:webHidden/>
          </w:rPr>
          <w:fldChar w:fldCharType="begin"/>
        </w:r>
        <w:r w:rsidR="00ED5D81">
          <w:rPr>
            <w:noProof/>
            <w:webHidden/>
          </w:rPr>
          <w:instrText xml:space="preserve"> PAGEREF _Toc117027509 \h </w:instrText>
        </w:r>
        <w:r w:rsidR="00ED5D81">
          <w:rPr>
            <w:noProof/>
            <w:webHidden/>
          </w:rPr>
        </w:r>
        <w:r w:rsidR="00ED5D81">
          <w:rPr>
            <w:noProof/>
            <w:webHidden/>
          </w:rPr>
          <w:fldChar w:fldCharType="separate"/>
        </w:r>
        <w:r w:rsidR="00ED5D81">
          <w:rPr>
            <w:noProof/>
            <w:webHidden/>
          </w:rPr>
          <w:t>24</w:t>
        </w:r>
        <w:r w:rsidR="00ED5D81">
          <w:rPr>
            <w:noProof/>
            <w:webHidden/>
          </w:rPr>
          <w:fldChar w:fldCharType="end"/>
        </w:r>
      </w:hyperlink>
    </w:p>
    <w:p w14:paraId="7CF30D32" w14:textId="07BBA6B4"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10" w:history="1">
        <w:r w:rsidR="00ED5D81" w:rsidRPr="00866D7A">
          <w:rPr>
            <w:rStyle w:val="Hyperlink"/>
            <w:noProof/>
            <w:lang w:val="fr-FR"/>
          </w:rPr>
          <w:t>4.12</w:t>
        </w:r>
        <w:r w:rsidR="00ED5D81">
          <w:rPr>
            <w:rFonts w:asciiTheme="minorHAnsi" w:eastAsiaTheme="minorEastAsia" w:hAnsiTheme="minorHAnsi" w:cstheme="minorBidi"/>
            <w:noProof/>
            <w:color w:val="auto"/>
            <w:sz w:val="22"/>
            <w:lang w:val="fr-BE" w:eastAsia="fr-BE"/>
          </w:rPr>
          <w:tab/>
        </w:r>
        <w:r w:rsidR="00ED5D81" w:rsidRPr="00866D7A">
          <w:rPr>
            <w:rStyle w:val="Hyperlink"/>
            <w:noProof/>
            <w:lang w:val="fr-FR"/>
          </w:rPr>
          <w:t>Performance modalities (Art. 146 et seq.)</w:t>
        </w:r>
        <w:r w:rsidR="00ED5D81">
          <w:rPr>
            <w:noProof/>
            <w:webHidden/>
          </w:rPr>
          <w:tab/>
        </w:r>
        <w:r w:rsidR="00ED5D81">
          <w:rPr>
            <w:noProof/>
            <w:webHidden/>
          </w:rPr>
          <w:fldChar w:fldCharType="begin"/>
        </w:r>
        <w:r w:rsidR="00ED5D81">
          <w:rPr>
            <w:noProof/>
            <w:webHidden/>
          </w:rPr>
          <w:instrText xml:space="preserve"> PAGEREF _Toc117027510 \h </w:instrText>
        </w:r>
        <w:r w:rsidR="00ED5D81">
          <w:rPr>
            <w:noProof/>
            <w:webHidden/>
          </w:rPr>
        </w:r>
        <w:r w:rsidR="00ED5D81">
          <w:rPr>
            <w:noProof/>
            <w:webHidden/>
          </w:rPr>
          <w:fldChar w:fldCharType="separate"/>
        </w:r>
        <w:r w:rsidR="00ED5D81">
          <w:rPr>
            <w:noProof/>
            <w:webHidden/>
          </w:rPr>
          <w:t>24</w:t>
        </w:r>
        <w:r w:rsidR="00ED5D81">
          <w:rPr>
            <w:noProof/>
            <w:webHidden/>
          </w:rPr>
          <w:fldChar w:fldCharType="end"/>
        </w:r>
      </w:hyperlink>
    </w:p>
    <w:p w14:paraId="134E42FC" w14:textId="3C0E3235" w:rsidR="00ED5D81" w:rsidRDefault="00000000">
      <w:pPr>
        <w:pStyle w:val="TOC3"/>
        <w:rPr>
          <w:rFonts w:asciiTheme="minorHAnsi" w:eastAsiaTheme="minorEastAsia" w:hAnsiTheme="minorHAnsi" w:cstheme="minorBidi"/>
          <w:noProof/>
          <w:color w:val="auto"/>
          <w:sz w:val="22"/>
          <w:lang w:val="fr-BE" w:eastAsia="fr-BE"/>
        </w:rPr>
      </w:pPr>
      <w:hyperlink w:anchor="_Toc117027511" w:history="1">
        <w:r w:rsidR="00ED5D81" w:rsidRPr="00866D7A">
          <w:rPr>
            <w:rStyle w:val="Hyperlink"/>
            <w:noProof/>
          </w:rPr>
          <w:t>4.12.1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Deadlines and terms (Art. 147)</w:t>
        </w:r>
        <w:r w:rsidR="00ED5D81">
          <w:rPr>
            <w:noProof/>
            <w:webHidden/>
          </w:rPr>
          <w:tab/>
        </w:r>
        <w:r w:rsidR="00ED5D81">
          <w:rPr>
            <w:noProof/>
            <w:webHidden/>
          </w:rPr>
          <w:fldChar w:fldCharType="begin"/>
        </w:r>
        <w:r w:rsidR="00ED5D81">
          <w:rPr>
            <w:noProof/>
            <w:webHidden/>
          </w:rPr>
          <w:instrText xml:space="preserve"> PAGEREF _Toc117027511 \h </w:instrText>
        </w:r>
        <w:r w:rsidR="00ED5D81">
          <w:rPr>
            <w:noProof/>
            <w:webHidden/>
          </w:rPr>
        </w:r>
        <w:r w:rsidR="00ED5D81">
          <w:rPr>
            <w:noProof/>
            <w:webHidden/>
          </w:rPr>
          <w:fldChar w:fldCharType="separate"/>
        </w:r>
        <w:r w:rsidR="00ED5D81">
          <w:rPr>
            <w:noProof/>
            <w:webHidden/>
          </w:rPr>
          <w:t>24</w:t>
        </w:r>
        <w:r w:rsidR="00ED5D81">
          <w:rPr>
            <w:noProof/>
            <w:webHidden/>
          </w:rPr>
          <w:fldChar w:fldCharType="end"/>
        </w:r>
      </w:hyperlink>
    </w:p>
    <w:p w14:paraId="3C6C6EED" w14:textId="7DB6B12D" w:rsidR="00ED5D81" w:rsidRDefault="00000000">
      <w:pPr>
        <w:pStyle w:val="TOC3"/>
        <w:rPr>
          <w:rFonts w:asciiTheme="minorHAnsi" w:eastAsiaTheme="minorEastAsia" w:hAnsiTheme="minorHAnsi" w:cstheme="minorBidi"/>
          <w:noProof/>
          <w:color w:val="auto"/>
          <w:sz w:val="22"/>
          <w:lang w:val="fr-BE" w:eastAsia="fr-BE"/>
        </w:rPr>
      </w:pPr>
      <w:hyperlink w:anchor="_Toc117027512" w:history="1">
        <w:r w:rsidR="00ED5D81" w:rsidRPr="00866D7A">
          <w:rPr>
            <w:rStyle w:val="Hyperlink"/>
            <w:noProof/>
          </w:rPr>
          <w:t>4.12.2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Place where the services must be performed and formalities (Art. 149)</w:t>
        </w:r>
        <w:r w:rsidR="00ED5D81">
          <w:rPr>
            <w:noProof/>
            <w:webHidden/>
          </w:rPr>
          <w:tab/>
        </w:r>
        <w:r w:rsidR="00ED5D81">
          <w:rPr>
            <w:noProof/>
            <w:webHidden/>
          </w:rPr>
          <w:fldChar w:fldCharType="begin"/>
        </w:r>
        <w:r w:rsidR="00ED5D81">
          <w:rPr>
            <w:noProof/>
            <w:webHidden/>
          </w:rPr>
          <w:instrText xml:space="preserve"> PAGEREF _Toc117027512 \h </w:instrText>
        </w:r>
        <w:r w:rsidR="00ED5D81">
          <w:rPr>
            <w:noProof/>
            <w:webHidden/>
          </w:rPr>
        </w:r>
        <w:r w:rsidR="00ED5D81">
          <w:rPr>
            <w:noProof/>
            <w:webHidden/>
          </w:rPr>
          <w:fldChar w:fldCharType="separate"/>
        </w:r>
        <w:r w:rsidR="00ED5D81">
          <w:rPr>
            <w:noProof/>
            <w:webHidden/>
          </w:rPr>
          <w:t>24</w:t>
        </w:r>
        <w:r w:rsidR="00ED5D81">
          <w:rPr>
            <w:noProof/>
            <w:webHidden/>
          </w:rPr>
          <w:fldChar w:fldCharType="end"/>
        </w:r>
      </w:hyperlink>
    </w:p>
    <w:p w14:paraId="26E84879" w14:textId="3C752DF6" w:rsidR="00ED5D81" w:rsidRDefault="00000000">
      <w:pPr>
        <w:pStyle w:val="TOC3"/>
        <w:rPr>
          <w:rFonts w:asciiTheme="minorHAnsi" w:eastAsiaTheme="minorEastAsia" w:hAnsiTheme="minorHAnsi" w:cstheme="minorBidi"/>
          <w:noProof/>
          <w:color w:val="auto"/>
          <w:sz w:val="22"/>
          <w:lang w:val="fr-BE" w:eastAsia="fr-BE"/>
        </w:rPr>
      </w:pPr>
      <w:hyperlink w:anchor="_Toc117027513" w:history="1">
        <w:r w:rsidR="00ED5D81" w:rsidRPr="00866D7A">
          <w:rPr>
            <w:rStyle w:val="Hyperlink"/>
            <w:rFonts w:cs="Calibri-Bold"/>
            <w:b/>
            <w:bCs/>
            <w:noProof/>
            <w:lang w:val="en-US"/>
          </w:rPr>
          <w:t>4.12.3</w:t>
        </w:r>
        <w:r w:rsidR="00ED5D81">
          <w:rPr>
            <w:rFonts w:asciiTheme="minorHAnsi" w:eastAsiaTheme="minorEastAsia" w:hAnsiTheme="minorHAnsi" w:cstheme="minorBidi"/>
            <w:noProof/>
            <w:color w:val="auto"/>
            <w:sz w:val="22"/>
            <w:lang w:val="fr-BE" w:eastAsia="fr-BE"/>
          </w:rPr>
          <w:tab/>
        </w:r>
        <w:r w:rsidR="00ED5D81" w:rsidRPr="00866D7A">
          <w:rPr>
            <w:rStyle w:val="Hyperlink"/>
            <w:rFonts w:cs="Calibri-Bold"/>
            <w:b/>
            <w:bCs/>
            <w:noProof/>
            <w:lang w:val="en-US"/>
          </w:rPr>
          <w:t>Evaluation of the services performed</w:t>
        </w:r>
        <w:r w:rsidR="00ED5D81">
          <w:rPr>
            <w:noProof/>
            <w:webHidden/>
          </w:rPr>
          <w:tab/>
        </w:r>
        <w:r w:rsidR="00ED5D81">
          <w:rPr>
            <w:noProof/>
            <w:webHidden/>
          </w:rPr>
          <w:fldChar w:fldCharType="begin"/>
        </w:r>
        <w:r w:rsidR="00ED5D81">
          <w:rPr>
            <w:noProof/>
            <w:webHidden/>
          </w:rPr>
          <w:instrText xml:space="preserve"> PAGEREF _Toc117027513 \h </w:instrText>
        </w:r>
        <w:r w:rsidR="00ED5D81">
          <w:rPr>
            <w:noProof/>
            <w:webHidden/>
          </w:rPr>
        </w:r>
        <w:r w:rsidR="00ED5D81">
          <w:rPr>
            <w:noProof/>
            <w:webHidden/>
          </w:rPr>
          <w:fldChar w:fldCharType="separate"/>
        </w:r>
        <w:r w:rsidR="00ED5D81">
          <w:rPr>
            <w:noProof/>
            <w:webHidden/>
          </w:rPr>
          <w:t>24</w:t>
        </w:r>
        <w:r w:rsidR="00ED5D81">
          <w:rPr>
            <w:noProof/>
            <w:webHidden/>
          </w:rPr>
          <w:fldChar w:fldCharType="end"/>
        </w:r>
      </w:hyperlink>
    </w:p>
    <w:p w14:paraId="383123A6" w14:textId="0890C5B7"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14" w:history="1">
        <w:r w:rsidR="00ED5D81" w:rsidRPr="00866D7A">
          <w:rPr>
            <w:rStyle w:val="Hyperlink"/>
            <w:noProof/>
          </w:rPr>
          <w:t>4.13</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Inspection of the services (Art. 150)</w:t>
        </w:r>
        <w:r w:rsidR="00ED5D81">
          <w:rPr>
            <w:noProof/>
            <w:webHidden/>
          </w:rPr>
          <w:tab/>
        </w:r>
        <w:r w:rsidR="00ED5D81">
          <w:rPr>
            <w:noProof/>
            <w:webHidden/>
          </w:rPr>
          <w:fldChar w:fldCharType="begin"/>
        </w:r>
        <w:r w:rsidR="00ED5D81">
          <w:rPr>
            <w:noProof/>
            <w:webHidden/>
          </w:rPr>
          <w:instrText xml:space="preserve"> PAGEREF _Toc117027514 \h </w:instrText>
        </w:r>
        <w:r w:rsidR="00ED5D81">
          <w:rPr>
            <w:noProof/>
            <w:webHidden/>
          </w:rPr>
        </w:r>
        <w:r w:rsidR="00ED5D81">
          <w:rPr>
            <w:noProof/>
            <w:webHidden/>
          </w:rPr>
          <w:fldChar w:fldCharType="separate"/>
        </w:r>
        <w:r w:rsidR="00ED5D81">
          <w:rPr>
            <w:noProof/>
            <w:webHidden/>
          </w:rPr>
          <w:t>24</w:t>
        </w:r>
        <w:r w:rsidR="00ED5D81">
          <w:rPr>
            <w:noProof/>
            <w:webHidden/>
          </w:rPr>
          <w:fldChar w:fldCharType="end"/>
        </w:r>
      </w:hyperlink>
    </w:p>
    <w:p w14:paraId="50315B0A" w14:textId="639020E2"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15" w:history="1">
        <w:r w:rsidR="00ED5D81" w:rsidRPr="00866D7A">
          <w:rPr>
            <w:rStyle w:val="Hyperlink"/>
            <w:noProof/>
          </w:rPr>
          <w:t>4.14</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Liability of the service provider (Art. 152-153)</w:t>
        </w:r>
        <w:r w:rsidR="00ED5D81">
          <w:rPr>
            <w:noProof/>
            <w:webHidden/>
          </w:rPr>
          <w:tab/>
        </w:r>
        <w:r w:rsidR="00ED5D81">
          <w:rPr>
            <w:noProof/>
            <w:webHidden/>
          </w:rPr>
          <w:fldChar w:fldCharType="begin"/>
        </w:r>
        <w:r w:rsidR="00ED5D81">
          <w:rPr>
            <w:noProof/>
            <w:webHidden/>
          </w:rPr>
          <w:instrText xml:space="preserve"> PAGEREF _Toc117027515 \h </w:instrText>
        </w:r>
        <w:r w:rsidR="00ED5D81">
          <w:rPr>
            <w:noProof/>
            <w:webHidden/>
          </w:rPr>
        </w:r>
        <w:r w:rsidR="00ED5D81">
          <w:rPr>
            <w:noProof/>
            <w:webHidden/>
          </w:rPr>
          <w:fldChar w:fldCharType="separate"/>
        </w:r>
        <w:r w:rsidR="00ED5D81">
          <w:rPr>
            <w:noProof/>
            <w:webHidden/>
          </w:rPr>
          <w:t>25</w:t>
        </w:r>
        <w:r w:rsidR="00ED5D81">
          <w:rPr>
            <w:noProof/>
            <w:webHidden/>
          </w:rPr>
          <w:fldChar w:fldCharType="end"/>
        </w:r>
      </w:hyperlink>
    </w:p>
    <w:p w14:paraId="107E7045" w14:textId="045B62F7"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16" w:history="1">
        <w:r w:rsidR="00ED5D81" w:rsidRPr="00866D7A">
          <w:rPr>
            <w:rStyle w:val="Hyperlink"/>
            <w:noProof/>
          </w:rPr>
          <w:t>4.15</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Zero tolerance Sexual exploitation and abuse</w:t>
        </w:r>
        <w:r w:rsidR="00ED5D81">
          <w:rPr>
            <w:noProof/>
            <w:webHidden/>
          </w:rPr>
          <w:tab/>
        </w:r>
        <w:r w:rsidR="00ED5D81">
          <w:rPr>
            <w:noProof/>
            <w:webHidden/>
          </w:rPr>
          <w:fldChar w:fldCharType="begin"/>
        </w:r>
        <w:r w:rsidR="00ED5D81">
          <w:rPr>
            <w:noProof/>
            <w:webHidden/>
          </w:rPr>
          <w:instrText xml:space="preserve"> PAGEREF _Toc117027516 \h </w:instrText>
        </w:r>
        <w:r w:rsidR="00ED5D81">
          <w:rPr>
            <w:noProof/>
            <w:webHidden/>
          </w:rPr>
        </w:r>
        <w:r w:rsidR="00ED5D81">
          <w:rPr>
            <w:noProof/>
            <w:webHidden/>
          </w:rPr>
          <w:fldChar w:fldCharType="separate"/>
        </w:r>
        <w:r w:rsidR="00ED5D81">
          <w:rPr>
            <w:noProof/>
            <w:webHidden/>
          </w:rPr>
          <w:t>25</w:t>
        </w:r>
        <w:r w:rsidR="00ED5D81">
          <w:rPr>
            <w:noProof/>
            <w:webHidden/>
          </w:rPr>
          <w:fldChar w:fldCharType="end"/>
        </w:r>
      </w:hyperlink>
    </w:p>
    <w:p w14:paraId="5DA5AE2D" w14:textId="661D165A"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17" w:history="1">
        <w:r w:rsidR="00ED5D81" w:rsidRPr="00866D7A">
          <w:rPr>
            <w:rStyle w:val="Hyperlink"/>
            <w:noProof/>
          </w:rPr>
          <w:t>4.16</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Means of action of the contracting authority (Art. 44-51 and 154-155)</w:t>
        </w:r>
        <w:r w:rsidR="00ED5D81">
          <w:rPr>
            <w:noProof/>
            <w:webHidden/>
          </w:rPr>
          <w:tab/>
        </w:r>
        <w:r w:rsidR="00ED5D81">
          <w:rPr>
            <w:noProof/>
            <w:webHidden/>
          </w:rPr>
          <w:fldChar w:fldCharType="begin"/>
        </w:r>
        <w:r w:rsidR="00ED5D81">
          <w:rPr>
            <w:noProof/>
            <w:webHidden/>
          </w:rPr>
          <w:instrText xml:space="preserve"> PAGEREF _Toc117027517 \h </w:instrText>
        </w:r>
        <w:r w:rsidR="00ED5D81">
          <w:rPr>
            <w:noProof/>
            <w:webHidden/>
          </w:rPr>
        </w:r>
        <w:r w:rsidR="00ED5D81">
          <w:rPr>
            <w:noProof/>
            <w:webHidden/>
          </w:rPr>
          <w:fldChar w:fldCharType="separate"/>
        </w:r>
        <w:r w:rsidR="00ED5D81">
          <w:rPr>
            <w:noProof/>
            <w:webHidden/>
          </w:rPr>
          <w:t>25</w:t>
        </w:r>
        <w:r w:rsidR="00ED5D81">
          <w:rPr>
            <w:noProof/>
            <w:webHidden/>
          </w:rPr>
          <w:fldChar w:fldCharType="end"/>
        </w:r>
      </w:hyperlink>
    </w:p>
    <w:p w14:paraId="3817ED82" w14:textId="55650C5E" w:rsidR="00ED5D81" w:rsidRDefault="00000000">
      <w:pPr>
        <w:pStyle w:val="TOC3"/>
        <w:rPr>
          <w:rFonts w:asciiTheme="minorHAnsi" w:eastAsiaTheme="minorEastAsia" w:hAnsiTheme="minorHAnsi" w:cstheme="minorBidi"/>
          <w:noProof/>
          <w:color w:val="auto"/>
          <w:sz w:val="22"/>
          <w:lang w:val="fr-BE" w:eastAsia="fr-BE"/>
        </w:rPr>
      </w:pPr>
      <w:hyperlink w:anchor="_Toc117027518" w:history="1">
        <w:r w:rsidR="00ED5D81" w:rsidRPr="00866D7A">
          <w:rPr>
            <w:rStyle w:val="Hyperlink"/>
            <w:noProof/>
          </w:rPr>
          <w:t>4.16.1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Failure of performance (Art. 44)</w:t>
        </w:r>
        <w:r w:rsidR="00ED5D81">
          <w:rPr>
            <w:noProof/>
            <w:webHidden/>
          </w:rPr>
          <w:tab/>
        </w:r>
        <w:r w:rsidR="00ED5D81">
          <w:rPr>
            <w:noProof/>
            <w:webHidden/>
          </w:rPr>
          <w:fldChar w:fldCharType="begin"/>
        </w:r>
        <w:r w:rsidR="00ED5D81">
          <w:rPr>
            <w:noProof/>
            <w:webHidden/>
          </w:rPr>
          <w:instrText xml:space="preserve"> PAGEREF _Toc117027518 \h </w:instrText>
        </w:r>
        <w:r w:rsidR="00ED5D81">
          <w:rPr>
            <w:noProof/>
            <w:webHidden/>
          </w:rPr>
        </w:r>
        <w:r w:rsidR="00ED5D81">
          <w:rPr>
            <w:noProof/>
            <w:webHidden/>
          </w:rPr>
          <w:fldChar w:fldCharType="separate"/>
        </w:r>
        <w:r w:rsidR="00ED5D81">
          <w:rPr>
            <w:noProof/>
            <w:webHidden/>
          </w:rPr>
          <w:t>25</w:t>
        </w:r>
        <w:r w:rsidR="00ED5D81">
          <w:rPr>
            <w:noProof/>
            <w:webHidden/>
          </w:rPr>
          <w:fldChar w:fldCharType="end"/>
        </w:r>
      </w:hyperlink>
    </w:p>
    <w:p w14:paraId="08FF630E" w14:textId="54C21787" w:rsidR="00ED5D81" w:rsidRDefault="00000000">
      <w:pPr>
        <w:pStyle w:val="TOC3"/>
        <w:rPr>
          <w:rFonts w:asciiTheme="minorHAnsi" w:eastAsiaTheme="minorEastAsia" w:hAnsiTheme="minorHAnsi" w:cstheme="minorBidi"/>
          <w:noProof/>
          <w:color w:val="auto"/>
          <w:sz w:val="22"/>
          <w:lang w:val="fr-BE" w:eastAsia="fr-BE"/>
        </w:rPr>
      </w:pPr>
      <w:hyperlink w:anchor="_Toc117027519" w:history="1">
        <w:r w:rsidR="00ED5D81" w:rsidRPr="00866D7A">
          <w:rPr>
            <w:rStyle w:val="Hyperlink"/>
            <w:noProof/>
          </w:rPr>
          <w:t>4.16.2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Fines for delay (Art. 46 and 154)</w:t>
        </w:r>
        <w:r w:rsidR="00ED5D81">
          <w:rPr>
            <w:noProof/>
            <w:webHidden/>
          </w:rPr>
          <w:tab/>
        </w:r>
        <w:r w:rsidR="00ED5D81">
          <w:rPr>
            <w:noProof/>
            <w:webHidden/>
          </w:rPr>
          <w:fldChar w:fldCharType="begin"/>
        </w:r>
        <w:r w:rsidR="00ED5D81">
          <w:rPr>
            <w:noProof/>
            <w:webHidden/>
          </w:rPr>
          <w:instrText xml:space="preserve"> PAGEREF _Toc117027519 \h </w:instrText>
        </w:r>
        <w:r w:rsidR="00ED5D81">
          <w:rPr>
            <w:noProof/>
            <w:webHidden/>
          </w:rPr>
        </w:r>
        <w:r w:rsidR="00ED5D81">
          <w:rPr>
            <w:noProof/>
            <w:webHidden/>
          </w:rPr>
          <w:fldChar w:fldCharType="separate"/>
        </w:r>
        <w:r w:rsidR="00ED5D81">
          <w:rPr>
            <w:noProof/>
            <w:webHidden/>
          </w:rPr>
          <w:t>26</w:t>
        </w:r>
        <w:r w:rsidR="00ED5D81">
          <w:rPr>
            <w:noProof/>
            <w:webHidden/>
          </w:rPr>
          <w:fldChar w:fldCharType="end"/>
        </w:r>
      </w:hyperlink>
    </w:p>
    <w:p w14:paraId="4887C6DC" w14:textId="71E157A0" w:rsidR="00ED5D81" w:rsidRDefault="00000000">
      <w:pPr>
        <w:pStyle w:val="TOC3"/>
        <w:rPr>
          <w:rFonts w:asciiTheme="minorHAnsi" w:eastAsiaTheme="minorEastAsia" w:hAnsiTheme="minorHAnsi" w:cstheme="minorBidi"/>
          <w:noProof/>
          <w:color w:val="auto"/>
          <w:sz w:val="22"/>
          <w:lang w:val="fr-BE" w:eastAsia="fr-BE"/>
        </w:rPr>
      </w:pPr>
      <w:hyperlink w:anchor="_Toc117027520" w:history="1">
        <w:r w:rsidR="00ED5D81" w:rsidRPr="00866D7A">
          <w:rPr>
            <w:rStyle w:val="Hyperlink"/>
            <w:noProof/>
          </w:rPr>
          <w:t>4.16.3</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Measures as of right (Art. 47 and 155)</w:t>
        </w:r>
        <w:r w:rsidR="00ED5D81">
          <w:rPr>
            <w:noProof/>
            <w:webHidden/>
          </w:rPr>
          <w:tab/>
        </w:r>
        <w:r w:rsidR="00ED5D81">
          <w:rPr>
            <w:noProof/>
            <w:webHidden/>
          </w:rPr>
          <w:fldChar w:fldCharType="begin"/>
        </w:r>
        <w:r w:rsidR="00ED5D81">
          <w:rPr>
            <w:noProof/>
            <w:webHidden/>
          </w:rPr>
          <w:instrText xml:space="preserve"> PAGEREF _Toc117027520 \h </w:instrText>
        </w:r>
        <w:r w:rsidR="00ED5D81">
          <w:rPr>
            <w:noProof/>
            <w:webHidden/>
          </w:rPr>
        </w:r>
        <w:r w:rsidR="00ED5D81">
          <w:rPr>
            <w:noProof/>
            <w:webHidden/>
          </w:rPr>
          <w:fldChar w:fldCharType="separate"/>
        </w:r>
        <w:r w:rsidR="00ED5D81">
          <w:rPr>
            <w:noProof/>
            <w:webHidden/>
          </w:rPr>
          <w:t>26</w:t>
        </w:r>
        <w:r w:rsidR="00ED5D81">
          <w:rPr>
            <w:noProof/>
            <w:webHidden/>
          </w:rPr>
          <w:fldChar w:fldCharType="end"/>
        </w:r>
      </w:hyperlink>
    </w:p>
    <w:p w14:paraId="1BE4B74C" w14:textId="019DDDF8"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21" w:history="1">
        <w:r w:rsidR="00ED5D81" w:rsidRPr="00866D7A">
          <w:rPr>
            <w:rStyle w:val="Hyperlink"/>
            <w:noProof/>
          </w:rPr>
          <w:t>4.17</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End of the procurement contract</w:t>
        </w:r>
        <w:r w:rsidR="00ED5D81">
          <w:rPr>
            <w:noProof/>
            <w:webHidden/>
          </w:rPr>
          <w:tab/>
        </w:r>
        <w:r w:rsidR="00ED5D81">
          <w:rPr>
            <w:noProof/>
            <w:webHidden/>
          </w:rPr>
          <w:fldChar w:fldCharType="begin"/>
        </w:r>
        <w:r w:rsidR="00ED5D81">
          <w:rPr>
            <w:noProof/>
            <w:webHidden/>
          </w:rPr>
          <w:instrText xml:space="preserve"> PAGEREF _Toc117027521 \h </w:instrText>
        </w:r>
        <w:r w:rsidR="00ED5D81">
          <w:rPr>
            <w:noProof/>
            <w:webHidden/>
          </w:rPr>
        </w:r>
        <w:r w:rsidR="00ED5D81">
          <w:rPr>
            <w:noProof/>
            <w:webHidden/>
          </w:rPr>
          <w:fldChar w:fldCharType="separate"/>
        </w:r>
        <w:r w:rsidR="00ED5D81">
          <w:rPr>
            <w:noProof/>
            <w:webHidden/>
          </w:rPr>
          <w:t>26</w:t>
        </w:r>
        <w:r w:rsidR="00ED5D81">
          <w:rPr>
            <w:noProof/>
            <w:webHidden/>
          </w:rPr>
          <w:fldChar w:fldCharType="end"/>
        </w:r>
      </w:hyperlink>
    </w:p>
    <w:p w14:paraId="30589C20" w14:textId="6CEA3C01" w:rsidR="00ED5D81" w:rsidRDefault="00000000">
      <w:pPr>
        <w:pStyle w:val="TOC3"/>
        <w:rPr>
          <w:rFonts w:asciiTheme="minorHAnsi" w:eastAsiaTheme="minorEastAsia" w:hAnsiTheme="minorHAnsi" w:cstheme="minorBidi"/>
          <w:noProof/>
          <w:color w:val="auto"/>
          <w:sz w:val="22"/>
          <w:lang w:val="fr-BE" w:eastAsia="fr-BE"/>
        </w:rPr>
      </w:pPr>
      <w:hyperlink w:anchor="_Toc117027522" w:history="1">
        <w:r w:rsidR="00ED5D81" w:rsidRPr="00866D7A">
          <w:rPr>
            <w:rStyle w:val="Hyperlink"/>
            <w:noProof/>
          </w:rPr>
          <w:t>4.17.1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Acceptance of the services performed (Art. 64-65 and 156)</w:t>
        </w:r>
        <w:r w:rsidR="00ED5D81">
          <w:rPr>
            <w:noProof/>
            <w:webHidden/>
          </w:rPr>
          <w:tab/>
        </w:r>
        <w:r w:rsidR="00ED5D81">
          <w:rPr>
            <w:noProof/>
            <w:webHidden/>
          </w:rPr>
          <w:fldChar w:fldCharType="begin"/>
        </w:r>
        <w:r w:rsidR="00ED5D81">
          <w:rPr>
            <w:noProof/>
            <w:webHidden/>
          </w:rPr>
          <w:instrText xml:space="preserve"> PAGEREF _Toc117027522 \h </w:instrText>
        </w:r>
        <w:r w:rsidR="00ED5D81">
          <w:rPr>
            <w:noProof/>
            <w:webHidden/>
          </w:rPr>
        </w:r>
        <w:r w:rsidR="00ED5D81">
          <w:rPr>
            <w:noProof/>
            <w:webHidden/>
          </w:rPr>
          <w:fldChar w:fldCharType="separate"/>
        </w:r>
        <w:r w:rsidR="00ED5D81">
          <w:rPr>
            <w:noProof/>
            <w:webHidden/>
          </w:rPr>
          <w:t>26</w:t>
        </w:r>
        <w:r w:rsidR="00ED5D81">
          <w:rPr>
            <w:noProof/>
            <w:webHidden/>
          </w:rPr>
          <w:fldChar w:fldCharType="end"/>
        </w:r>
      </w:hyperlink>
    </w:p>
    <w:p w14:paraId="526A5655" w14:textId="3EEC9BC8"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23" w:history="1">
        <w:r w:rsidR="00ED5D81" w:rsidRPr="00866D7A">
          <w:rPr>
            <w:rStyle w:val="Hyperlink"/>
            <w:noProof/>
          </w:rPr>
          <w:t>4.18</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Invoicing and payment of services (Art. 66 - 72 and 160)</w:t>
        </w:r>
        <w:r w:rsidR="00ED5D81">
          <w:rPr>
            <w:noProof/>
            <w:webHidden/>
          </w:rPr>
          <w:tab/>
        </w:r>
        <w:r w:rsidR="00ED5D81">
          <w:rPr>
            <w:noProof/>
            <w:webHidden/>
          </w:rPr>
          <w:fldChar w:fldCharType="begin"/>
        </w:r>
        <w:r w:rsidR="00ED5D81">
          <w:rPr>
            <w:noProof/>
            <w:webHidden/>
          </w:rPr>
          <w:instrText xml:space="preserve"> PAGEREF _Toc117027523 \h </w:instrText>
        </w:r>
        <w:r w:rsidR="00ED5D81">
          <w:rPr>
            <w:noProof/>
            <w:webHidden/>
          </w:rPr>
        </w:r>
        <w:r w:rsidR="00ED5D81">
          <w:rPr>
            <w:noProof/>
            <w:webHidden/>
          </w:rPr>
          <w:fldChar w:fldCharType="separate"/>
        </w:r>
        <w:r w:rsidR="00ED5D81">
          <w:rPr>
            <w:noProof/>
            <w:webHidden/>
          </w:rPr>
          <w:t>27</w:t>
        </w:r>
        <w:r w:rsidR="00ED5D81">
          <w:rPr>
            <w:noProof/>
            <w:webHidden/>
          </w:rPr>
          <w:fldChar w:fldCharType="end"/>
        </w:r>
      </w:hyperlink>
    </w:p>
    <w:p w14:paraId="547EEB7F" w14:textId="2AB4D4E6"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24" w:history="1">
        <w:r w:rsidR="00ED5D81" w:rsidRPr="00866D7A">
          <w:rPr>
            <w:rStyle w:val="Hyperlink"/>
            <w:noProof/>
          </w:rPr>
          <w:t>4.19</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Modifications to the contract (Art. 37-38 and 151)</w:t>
        </w:r>
        <w:r w:rsidR="00ED5D81">
          <w:rPr>
            <w:noProof/>
            <w:webHidden/>
          </w:rPr>
          <w:tab/>
        </w:r>
        <w:r w:rsidR="00ED5D81">
          <w:rPr>
            <w:noProof/>
            <w:webHidden/>
          </w:rPr>
          <w:fldChar w:fldCharType="begin"/>
        </w:r>
        <w:r w:rsidR="00ED5D81">
          <w:rPr>
            <w:noProof/>
            <w:webHidden/>
          </w:rPr>
          <w:instrText xml:space="preserve"> PAGEREF _Toc117027524 \h </w:instrText>
        </w:r>
        <w:r w:rsidR="00ED5D81">
          <w:rPr>
            <w:noProof/>
            <w:webHidden/>
          </w:rPr>
        </w:r>
        <w:r w:rsidR="00ED5D81">
          <w:rPr>
            <w:noProof/>
            <w:webHidden/>
          </w:rPr>
          <w:fldChar w:fldCharType="separate"/>
        </w:r>
        <w:r w:rsidR="00ED5D81">
          <w:rPr>
            <w:noProof/>
            <w:webHidden/>
          </w:rPr>
          <w:t>28</w:t>
        </w:r>
        <w:r w:rsidR="00ED5D81">
          <w:rPr>
            <w:noProof/>
            <w:webHidden/>
          </w:rPr>
          <w:fldChar w:fldCharType="end"/>
        </w:r>
      </w:hyperlink>
    </w:p>
    <w:p w14:paraId="241D4134" w14:textId="0D2E873A"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25" w:history="1">
        <w:r w:rsidR="00ED5D81" w:rsidRPr="00866D7A">
          <w:rPr>
            <w:rStyle w:val="Hyperlink"/>
            <w:noProof/>
          </w:rPr>
          <w:t>4.20</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Litigation (Art. 73)</w:t>
        </w:r>
        <w:r w:rsidR="00ED5D81">
          <w:rPr>
            <w:noProof/>
            <w:webHidden/>
          </w:rPr>
          <w:tab/>
        </w:r>
        <w:r w:rsidR="00ED5D81">
          <w:rPr>
            <w:noProof/>
            <w:webHidden/>
          </w:rPr>
          <w:fldChar w:fldCharType="begin"/>
        </w:r>
        <w:r w:rsidR="00ED5D81">
          <w:rPr>
            <w:noProof/>
            <w:webHidden/>
          </w:rPr>
          <w:instrText xml:space="preserve"> PAGEREF _Toc117027525 \h </w:instrText>
        </w:r>
        <w:r w:rsidR="00ED5D81">
          <w:rPr>
            <w:noProof/>
            <w:webHidden/>
          </w:rPr>
        </w:r>
        <w:r w:rsidR="00ED5D81">
          <w:rPr>
            <w:noProof/>
            <w:webHidden/>
          </w:rPr>
          <w:fldChar w:fldCharType="separate"/>
        </w:r>
        <w:r w:rsidR="00ED5D81">
          <w:rPr>
            <w:noProof/>
            <w:webHidden/>
          </w:rPr>
          <w:t>28</w:t>
        </w:r>
        <w:r w:rsidR="00ED5D81">
          <w:rPr>
            <w:noProof/>
            <w:webHidden/>
          </w:rPr>
          <w:fldChar w:fldCharType="end"/>
        </w:r>
      </w:hyperlink>
    </w:p>
    <w:p w14:paraId="115B281B" w14:textId="613435DD" w:rsidR="00ED5D81" w:rsidRDefault="00000000">
      <w:pPr>
        <w:pStyle w:val="TOC1"/>
        <w:rPr>
          <w:rFonts w:asciiTheme="minorHAnsi" w:eastAsiaTheme="minorEastAsia" w:hAnsiTheme="minorHAnsi" w:cstheme="minorBidi"/>
          <w:b w:val="0"/>
          <w:noProof/>
          <w:color w:val="auto"/>
          <w:sz w:val="22"/>
          <w:lang w:val="fr-BE" w:eastAsia="fr-BE"/>
        </w:rPr>
      </w:pPr>
      <w:hyperlink w:anchor="_Toc117027526" w:history="1">
        <w:r w:rsidR="00ED5D81" w:rsidRPr="00866D7A">
          <w:rPr>
            <w:rStyle w:val="Hyperlink"/>
            <w:noProof/>
          </w:rPr>
          <w:t>5</w:t>
        </w:r>
        <w:r w:rsidR="00ED5D81">
          <w:rPr>
            <w:rFonts w:asciiTheme="minorHAnsi" w:eastAsiaTheme="minorEastAsia" w:hAnsiTheme="minorHAnsi" w:cstheme="minorBidi"/>
            <w:b w:val="0"/>
            <w:noProof/>
            <w:color w:val="auto"/>
            <w:sz w:val="22"/>
            <w:lang w:val="fr-BE" w:eastAsia="fr-BE"/>
          </w:rPr>
          <w:tab/>
        </w:r>
        <w:r w:rsidR="00ED5D81" w:rsidRPr="00866D7A">
          <w:rPr>
            <w:rStyle w:val="Hyperlink"/>
            <w:noProof/>
          </w:rPr>
          <w:t>Terms of Reference</w:t>
        </w:r>
        <w:r w:rsidR="00ED5D81">
          <w:rPr>
            <w:noProof/>
            <w:webHidden/>
          </w:rPr>
          <w:tab/>
        </w:r>
        <w:r w:rsidR="00ED5D81">
          <w:rPr>
            <w:noProof/>
            <w:webHidden/>
          </w:rPr>
          <w:fldChar w:fldCharType="begin"/>
        </w:r>
        <w:r w:rsidR="00ED5D81">
          <w:rPr>
            <w:noProof/>
            <w:webHidden/>
          </w:rPr>
          <w:instrText xml:space="preserve"> PAGEREF _Toc117027526 \h </w:instrText>
        </w:r>
        <w:r w:rsidR="00ED5D81">
          <w:rPr>
            <w:noProof/>
            <w:webHidden/>
          </w:rPr>
        </w:r>
        <w:r w:rsidR="00ED5D81">
          <w:rPr>
            <w:noProof/>
            <w:webHidden/>
          </w:rPr>
          <w:fldChar w:fldCharType="separate"/>
        </w:r>
        <w:r w:rsidR="00ED5D81">
          <w:rPr>
            <w:noProof/>
            <w:webHidden/>
          </w:rPr>
          <w:t>29</w:t>
        </w:r>
        <w:r w:rsidR="00ED5D81">
          <w:rPr>
            <w:noProof/>
            <w:webHidden/>
          </w:rPr>
          <w:fldChar w:fldCharType="end"/>
        </w:r>
      </w:hyperlink>
    </w:p>
    <w:p w14:paraId="711E60D5" w14:textId="7E4E2C8A" w:rsidR="00ED5D81" w:rsidRDefault="00000000">
      <w:pPr>
        <w:pStyle w:val="TOC1"/>
        <w:rPr>
          <w:rFonts w:asciiTheme="minorHAnsi" w:eastAsiaTheme="minorEastAsia" w:hAnsiTheme="minorHAnsi" w:cstheme="minorBidi"/>
          <w:b w:val="0"/>
          <w:noProof/>
          <w:color w:val="auto"/>
          <w:sz w:val="22"/>
          <w:lang w:val="fr-BE" w:eastAsia="fr-BE"/>
        </w:rPr>
      </w:pPr>
      <w:hyperlink w:anchor="_Toc117027527" w:history="1">
        <w:r w:rsidR="00ED5D81" w:rsidRPr="00866D7A">
          <w:rPr>
            <w:rStyle w:val="Hyperlink"/>
            <w:rFonts w:ascii="Georgia" w:hAnsi="Georgia"/>
            <w:noProof/>
            <w:lang w:val="en-US"/>
          </w:rPr>
          <w:t>5.2.</w:t>
        </w:r>
        <w:r w:rsidR="00ED5D81">
          <w:rPr>
            <w:rFonts w:asciiTheme="minorHAnsi" w:eastAsiaTheme="minorEastAsia" w:hAnsiTheme="minorHAnsi" w:cstheme="minorBidi"/>
            <w:b w:val="0"/>
            <w:noProof/>
            <w:color w:val="auto"/>
            <w:sz w:val="22"/>
            <w:lang w:val="fr-BE" w:eastAsia="fr-BE"/>
          </w:rPr>
          <w:tab/>
        </w:r>
        <w:r w:rsidR="00ED5D81" w:rsidRPr="00866D7A">
          <w:rPr>
            <w:rStyle w:val="Hyperlink"/>
            <w:rFonts w:ascii="Georgia" w:hAnsi="Georgia"/>
            <w:noProof/>
            <w:lang w:val="en-US"/>
          </w:rPr>
          <w:t>BACKGROUND INFORMATION AND RATIONALE</w:t>
        </w:r>
        <w:r w:rsidR="00ED5D81">
          <w:rPr>
            <w:noProof/>
            <w:webHidden/>
          </w:rPr>
          <w:tab/>
        </w:r>
        <w:r w:rsidR="00ED5D81">
          <w:rPr>
            <w:noProof/>
            <w:webHidden/>
          </w:rPr>
          <w:fldChar w:fldCharType="begin"/>
        </w:r>
        <w:r w:rsidR="00ED5D81">
          <w:rPr>
            <w:noProof/>
            <w:webHidden/>
          </w:rPr>
          <w:instrText xml:space="preserve"> PAGEREF _Toc117027527 \h </w:instrText>
        </w:r>
        <w:r w:rsidR="00ED5D81">
          <w:rPr>
            <w:noProof/>
            <w:webHidden/>
          </w:rPr>
        </w:r>
        <w:r w:rsidR="00ED5D81">
          <w:rPr>
            <w:noProof/>
            <w:webHidden/>
          </w:rPr>
          <w:fldChar w:fldCharType="separate"/>
        </w:r>
        <w:r w:rsidR="00ED5D81">
          <w:rPr>
            <w:noProof/>
            <w:webHidden/>
          </w:rPr>
          <w:t>30</w:t>
        </w:r>
        <w:r w:rsidR="00ED5D81">
          <w:rPr>
            <w:noProof/>
            <w:webHidden/>
          </w:rPr>
          <w:fldChar w:fldCharType="end"/>
        </w:r>
      </w:hyperlink>
    </w:p>
    <w:p w14:paraId="3575C118" w14:textId="5D3031FD" w:rsidR="00ED5D81" w:rsidRDefault="00000000">
      <w:pPr>
        <w:pStyle w:val="TOC1"/>
        <w:rPr>
          <w:rFonts w:asciiTheme="minorHAnsi" w:eastAsiaTheme="minorEastAsia" w:hAnsiTheme="minorHAnsi" w:cstheme="minorBidi"/>
          <w:b w:val="0"/>
          <w:noProof/>
          <w:color w:val="auto"/>
          <w:sz w:val="22"/>
          <w:lang w:val="fr-BE" w:eastAsia="fr-BE"/>
        </w:rPr>
      </w:pPr>
      <w:hyperlink w:anchor="_Toc117027528" w:history="1">
        <w:r w:rsidR="00ED5D81" w:rsidRPr="00866D7A">
          <w:rPr>
            <w:rStyle w:val="Hyperlink"/>
            <w:noProof/>
          </w:rPr>
          <w:t>6</w:t>
        </w:r>
        <w:r w:rsidR="00ED5D81">
          <w:rPr>
            <w:rFonts w:asciiTheme="minorHAnsi" w:eastAsiaTheme="minorEastAsia" w:hAnsiTheme="minorHAnsi" w:cstheme="minorBidi"/>
            <w:b w:val="0"/>
            <w:noProof/>
            <w:color w:val="auto"/>
            <w:sz w:val="22"/>
            <w:lang w:val="fr-BE" w:eastAsia="fr-BE"/>
          </w:rPr>
          <w:tab/>
        </w:r>
        <w:r w:rsidR="00ED5D81" w:rsidRPr="00866D7A">
          <w:rPr>
            <w:rStyle w:val="Hyperlink"/>
            <w:noProof/>
          </w:rPr>
          <w:t>Forms</w:t>
        </w:r>
        <w:r w:rsidR="00ED5D81">
          <w:rPr>
            <w:noProof/>
            <w:webHidden/>
          </w:rPr>
          <w:tab/>
        </w:r>
        <w:r w:rsidR="00ED5D81">
          <w:rPr>
            <w:noProof/>
            <w:webHidden/>
          </w:rPr>
          <w:fldChar w:fldCharType="begin"/>
        </w:r>
        <w:r w:rsidR="00ED5D81">
          <w:rPr>
            <w:noProof/>
            <w:webHidden/>
          </w:rPr>
          <w:instrText xml:space="preserve"> PAGEREF _Toc117027528 \h </w:instrText>
        </w:r>
        <w:r w:rsidR="00ED5D81">
          <w:rPr>
            <w:noProof/>
            <w:webHidden/>
          </w:rPr>
        </w:r>
        <w:r w:rsidR="00ED5D81">
          <w:rPr>
            <w:noProof/>
            <w:webHidden/>
          </w:rPr>
          <w:fldChar w:fldCharType="separate"/>
        </w:r>
        <w:r w:rsidR="00ED5D81">
          <w:rPr>
            <w:noProof/>
            <w:webHidden/>
          </w:rPr>
          <w:t>44</w:t>
        </w:r>
        <w:r w:rsidR="00ED5D81">
          <w:rPr>
            <w:noProof/>
            <w:webHidden/>
          </w:rPr>
          <w:fldChar w:fldCharType="end"/>
        </w:r>
      </w:hyperlink>
    </w:p>
    <w:p w14:paraId="017D76FC" w14:textId="502BB3F6" w:rsidR="00ED5D81" w:rsidRDefault="00000000">
      <w:pPr>
        <w:pStyle w:val="TOC2"/>
        <w:tabs>
          <w:tab w:val="right" w:leader="dot" w:pos="8892"/>
        </w:tabs>
        <w:rPr>
          <w:rFonts w:asciiTheme="minorHAnsi" w:eastAsiaTheme="minorEastAsia" w:hAnsiTheme="minorHAnsi" w:cstheme="minorBidi"/>
          <w:noProof/>
          <w:color w:val="auto"/>
          <w:sz w:val="22"/>
          <w:lang w:val="fr-BE" w:eastAsia="fr-BE"/>
        </w:rPr>
      </w:pPr>
      <w:hyperlink w:anchor="_Toc117027529" w:history="1">
        <w:r w:rsidR="00ED5D81" w:rsidRPr="00866D7A">
          <w:rPr>
            <w:rStyle w:val="Hyperlink"/>
            <w:noProof/>
          </w:rPr>
          <w:t>6.1. Identification forms</w:t>
        </w:r>
        <w:r w:rsidR="00ED5D81">
          <w:rPr>
            <w:noProof/>
            <w:webHidden/>
          </w:rPr>
          <w:tab/>
        </w:r>
        <w:r w:rsidR="00ED5D81">
          <w:rPr>
            <w:noProof/>
            <w:webHidden/>
          </w:rPr>
          <w:fldChar w:fldCharType="begin"/>
        </w:r>
        <w:r w:rsidR="00ED5D81">
          <w:rPr>
            <w:noProof/>
            <w:webHidden/>
          </w:rPr>
          <w:instrText xml:space="preserve"> PAGEREF _Toc117027529 \h </w:instrText>
        </w:r>
        <w:r w:rsidR="00ED5D81">
          <w:rPr>
            <w:noProof/>
            <w:webHidden/>
          </w:rPr>
        </w:r>
        <w:r w:rsidR="00ED5D81">
          <w:rPr>
            <w:noProof/>
            <w:webHidden/>
          </w:rPr>
          <w:fldChar w:fldCharType="separate"/>
        </w:r>
        <w:r w:rsidR="00ED5D81">
          <w:rPr>
            <w:noProof/>
            <w:webHidden/>
          </w:rPr>
          <w:t>44</w:t>
        </w:r>
        <w:r w:rsidR="00ED5D81">
          <w:rPr>
            <w:noProof/>
            <w:webHidden/>
          </w:rPr>
          <w:fldChar w:fldCharType="end"/>
        </w:r>
      </w:hyperlink>
    </w:p>
    <w:p w14:paraId="454A5D0A" w14:textId="1B780065" w:rsidR="00ED5D81" w:rsidRDefault="00000000">
      <w:pPr>
        <w:pStyle w:val="TOC3"/>
        <w:rPr>
          <w:rFonts w:asciiTheme="minorHAnsi" w:eastAsiaTheme="minorEastAsia" w:hAnsiTheme="minorHAnsi" w:cstheme="minorBidi"/>
          <w:noProof/>
          <w:color w:val="auto"/>
          <w:sz w:val="22"/>
          <w:lang w:val="fr-BE" w:eastAsia="fr-BE"/>
        </w:rPr>
      </w:pPr>
      <w:hyperlink w:anchor="_Toc117027530" w:history="1">
        <w:r w:rsidR="00ED5D81" w:rsidRPr="00866D7A">
          <w:rPr>
            <w:rStyle w:val="Hyperlink"/>
            <w:noProof/>
          </w:rPr>
          <w:t>6.1.1.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Natural person</w:t>
        </w:r>
        <w:r w:rsidR="00ED5D81">
          <w:rPr>
            <w:noProof/>
            <w:webHidden/>
          </w:rPr>
          <w:tab/>
        </w:r>
        <w:r w:rsidR="00ED5D81">
          <w:rPr>
            <w:noProof/>
            <w:webHidden/>
          </w:rPr>
          <w:fldChar w:fldCharType="begin"/>
        </w:r>
        <w:r w:rsidR="00ED5D81">
          <w:rPr>
            <w:noProof/>
            <w:webHidden/>
          </w:rPr>
          <w:instrText xml:space="preserve"> PAGEREF _Toc117027530 \h </w:instrText>
        </w:r>
        <w:r w:rsidR="00ED5D81">
          <w:rPr>
            <w:noProof/>
            <w:webHidden/>
          </w:rPr>
        </w:r>
        <w:r w:rsidR="00ED5D81">
          <w:rPr>
            <w:noProof/>
            <w:webHidden/>
          </w:rPr>
          <w:fldChar w:fldCharType="separate"/>
        </w:r>
        <w:r w:rsidR="00ED5D81">
          <w:rPr>
            <w:noProof/>
            <w:webHidden/>
          </w:rPr>
          <w:t>44</w:t>
        </w:r>
        <w:r w:rsidR="00ED5D81">
          <w:rPr>
            <w:noProof/>
            <w:webHidden/>
          </w:rPr>
          <w:fldChar w:fldCharType="end"/>
        </w:r>
      </w:hyperlink>
    </w:p>
    <w:p w14:paraId="50E02B04" w14:textId="5703B718" w:rsidR="00ED5D81" w:rsidRDefault="00000000">
      <w:pPr>
        <w:pStyle w:val="TOC3"/>
        <w:rPr>
          <w:rFonts w:asciiTheme="minorHAnsi" w:eastAsiaTheme="minorEastAsia" w:hAnsiTheme="minorHAnsi" w:cstheme="minorBidi"/>
          <w:noProof/>
          <w:color w:val="auto"/>
          <w:sz w:val="22"/>
          <w:lang w:val="fr-BE" w:eastAsia="fr-BE"/>
        </w:rPr>
      </w:pPr>
      <w:hyperlink w:anchor="_Toc117027531" w:history="1">
        <w:r w:rsidR="00ED5D81" w:rsidRPr="00866D7A">
          <w:rPr>
            <w:rStyle w:val="Hyperlink"/>
            <w:noProof/>
          </w:rPr>
          <w:t>6.1.2.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Legal person entity private/public legal body</w:t>
        </w:r>
        <w:r w:rsidR="00ED5D81">
          <w:rPr>
            <w:noProof/>
            <w:webHidden/>
          </w:rPr>
          <w:tab/>
        </w:r>
        <w:r w:rsidR="00ED5D81">
          <w:rPr>
            <w:noProof/>
            <w:webHidden/>
          </w:rPr>
          <w:fldChar w:fldCharType="begin"/>
        </w:r>
        <w:r w:rsidR="00ED5D81">
          <w:rPr>
            <w:noProof/>
            <w:webHidden/>
          </w:rPr>
          <w:instrText xml:space="preserve"> PAGEREF _Toc117027531 \h </w:instrText>
        </w:r>
        <w:r w:rsidR="00ED5D81">
          <w:rPr>
            <w:noProof/>
            <w:webHidden/>
          </w:rPr>
        </w:r>
        <w:r w:rsidR="00ED5D81">
          <w:rPr>
            <w:noProof/>
            <w:webHidden/>
          </w:rPr>
          <w:fldChar w:fldCharType="separate"/>
        </w:r>
        <w:r w:rsidR="00ED5D81">
          <w:rPr>
            <w:noProof/>
            <w:webHidden/>
          </w:rPr>
          <w:t>45</w:t>
        </w:r>
        <w:r w:rsidR="00ED5D81">
          <w:rPr>
            <w:noProof/>
            <w:webHidden/>
          </w:rPr>
          <w:fldChar w:fldCharType="end"/>
        </w:r>
      </w:hyperlink>
    </w:p>
    <w:p w14:paraId="42DF0A5A" w14:textId="2F1C9266" w:rsidR="00ED5D81" w:rsidRDefault="00000000">
      <w:pPr>
        <w:pStyle w:val="TOC3"/>
        <w:rPr>
          <w:rFonts w:asciiTheme="minorHAnsi" w:eastAsiaTheme="minorEastAsia" w:hAnsiTheme="minorHAnsi" w:cstheme="minorBidi"/>
          <w:noProof/>
          <w:color w:val="auto"/>
          <w:sz w:val="22"/>
          <w:lang w:val="fr-BE" w:eastAsia="fr-BE"/>
        </w:rPr>
      </w:pPr>
      <w:hyperlink w:anchor="_Toc117027532" w:history="1">
        <w:r w:rsidR="00ED5D81" w:rsidRPr="00866D7A">
          <w:rPr>
            <w:rStyle w:val="Hyperlink"/>
            <w:noProof/>
          </w:rPr>
          <w:t>6.1.3.</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Public law entity</w:t>
        </w:r>
        <w:r w:rsidR="00ED5D81">
          <w:rPr>
            <w:noProof/>
            <w:webHidden/>
          </w:rPr>
          <w:tab/>
        </w:r>
        <w:r w:rsidR="00ED5D81">
          <w:rPr>
            <w:noProof/>
            <w:webHidden/>
          </w:rPr>
          <w:fldChar w:fldCharType="begin"/>
        </w:r>
        <w:r w:rsidR="00ED5D81">
          <w:rPr>
            <w:noProof/>
            <w:webHidden/>
          </w:rPr>
          <w:instrText xml:space="preserve"> PAGEREF _Toc117027532 \h </w:instrText>
        </w:r>
        <w:r w:rsidR="00ED5D81">
          <w:rPr>
            <w:noProof/>
            <w:webHidden/>
          </w:rPr>
        </w:r>
        <w:r w:rsidR="00ED5D81">
          <w:rPr>
            <w:noProof/>
            <w:webHidden/>
          </w:rPr>
          <w:fldChar w:fldCharType="separate"/>
        </w:r>
        <w:r w:rsidR="00ED5D81">
          <w:rPr>
            <w:noProof/>
            <w:webHidden/>
          </w:rPr>
          <w:t>46</w:t>
        </w:r>
        <w:r w:rsidR="00ED5D81">
          <w:rPr>
            <w:noProof/>
            <w:webHidden/>
          </w:rPr>
          <w:fldChar w:fldCharType="end"/>
        </w:r>
      </w:hyperlink>
    </w:p>
    <w:p w14:paraId="019CE6A1" w14:textId="79C8FB7F" w:rsidR="00ED5D81" w:rsidRDefault="00000000">
      <w:pPr>
        <w:pStyle w:val="TOC3"/>
        <w:rPr>
          <w:rFonts w:asciiTheme="minorHAnsi" w:eastAsiaTheme="minorEastAsia" w:hAnsiTheme="minorHAnsi" w:cstheme="minorBidi"/>
          <w:noProof/>
          <w:color w:val="auto"/>
          <w:sz w:val="22"/>
          <w:lang w:val="fr-BE" w:eastAsia="fr-BE"/>
        </w:rPr>
      </w:pPr>
      <w:hyperlink w:anchor="_Toc117027533" w:history="1">
        <w:r w:rsidR="00ED5D81" w:rsidRPr="00866D7A">
          <w:rPr>
            <w:rStyle w:val="Hyperlink"/>
            <w:noProof/>
          </w:rPr>
          <w:t>6.1.4.</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Subcontractors</w:t>
        </w:r>
        <w:r w:rsidR="00ED5D81">
          <w:rPr>
            <w:noProof/>
            <w:webHidden/>
          </w:rPr>
          <w:tab/>
        </w:r>
        <w:r w:rsidR="00ED5D81">
          <w:rPr>
            <w:noProof/>
            <w:webHidden/>
          </w:rPr>
          <w:fldChar w:fldCharType="begin"/>
        </w:r>
        <w:r w:rsidR="00ED5D81">
          <w:rPr>
            <w:noProof/>
            <w:webHidden/>
          </w:rPr>
          <w:instrText xml:space="preserve"> PAGEREF _Toc117027533 \h </w:instrText>
        </w:r>
        <w:r w:rsidR="00ED5D81">
          <w:rPr>
            <w:noProof/>
            <w:webHidden/>
          </w:rPr>
        </w:r>
        <w:r w:rsidR="00ED5D81">
          <w:rPr>
            <w:noProof/>
            <w:webHidden/>
          </w:rPr>
          <w:fldChar w:fldCharType="separate"/>
        </w:r>
        <w:r w:rsidR="00ED5D81">
          <w:rPr>
            <w:noProof/>
            <w:webHidden/>
          </w:rPr>
          <w:t>47</w:t>
        </w:r>
        <w:r w:rsidR="00ED5D81">
          <w:rPr>
            <w:noProof/>
            <w:webHidden/>
          </w:rPr>
          <w:fldChar w:fldCharType="end"/>
        </w:r>
      </w:hyperlink>
    </w:p>
    <w:p w14:paraId="7B487059" w14:textId="6B3A99B5"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34" w:history="1">
        <w:r w:rsidR="00ED5D81" w:rsidRPr="00866D7A">
          <w:rPr>
            <w:rStyle w:val="Hyperlink"/>
            <w:noProof/>
          </w:rPr>
          <w:t>6.2.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Tender Forms – prices</w:t>
        </w:r>
        <w:r w:rsidR="00ED5D81">
          <w:rPr>
            <w:noProof/>
            <w:webHidden/>
          </w:rPr>
          <w:tab/>
        </w:r>
        <w:r w:rsidR="00ED5D81">
          <w:rPr>
            <w:noProof/>
            <w:webHidden/>
          </w:rPr>
          <w:fldChar w:fldCharType="begin"/>
        </w:r>
        <w:r w:rsidR="00ED5D81">
          <w:rPr>
            <w:noProof/>
            <w:webHidden/>
          </w:rPr>
          <w:instrText xml:space="preserve"> PAGEREF _Toc117027534 \h </w:instrText>
        </w:r>
        <w:r w:rsidR="00ED5D81">
          <w:rPr>
            <w:noProof/>
            <w:webHidden/>
          </w:rPr>
        </w:r>
        <w:r w:rsidR="00ED5D81">
          <w:rPr>
            <w:noProof/>
            <w:webHidden/>
          </w:rPr>
          <w:fldChar w:fldCharType="separate"/>
        </w:r>
        <w:r w:rsidR="00ED5D81">
          <w:rPr>
            <w:noProof/>
            <w:webHidden/>
          </w:rPr>
          <w:t>48</w:t>
        </w:r>
        <w:r w:rsidR="00ED5D81">
          <w:rPr>
            <w:noProof/>
            <w:webHidden/>
          </w:rPr>
          <w:fldChar w:fldCharType="end"/>
        </w:r>
      </w:hyperlink>
    </w:p>
    <w:p w14:paraId="250AF993" w14:textId="27654D48"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35" w:history="1">
        <w:r w:rsidR="00ED5D81" w:rsidRPr="00866D7A">
          <w:rPr>
            <w:rStyle w:val="Hyperlink"/>
            <w:rFonts w:eastAsia="Times New Roman"/>
            <w:b/>
            <w:noProof/>
          </w:rPr>
          <w:t>6.3.</w:t>
        </w:r>
        <w:r w:rsidR="00ED5D81">
          <w:rPr>
            <w:rFonts w:asciiTheme="minorHAnsi" w:eastAsiaTheme="minorEastAsia" w:hAnsiTheme="minorHAnsi" w:cstheme="minorBidi"/>
            <w:noProof/>
            <w:color w:val="auto"/>
            <w:sz w:val="22"/>
            <w:lang w:val="fr-BE" w:eastAsia="fr-BE"/>
          </w:rPr>
          <w:tab/>
        </w:r>
        <w:r w:rsidR="00ED5D81" w:rsidRPr="00866D7A">
          <w:rPr>
            <w:rStyle w:val="Hyperlink"/>
            <w:rFonts w:eastAsia="Times New Roman"/>
            <w:b/>
            <w:noProof/>
          </w:rPr>
          <w:t>Financial identification</w:t>
        </w:r>
        <w:r w:rsidR="00ED5D81">
          <w:rPr>
            <w:noProof/>
            <w:webHidden/>
          </w:rPr>
          <w:tab/>
        </w:r>
        <w:r w:rsidR="00ED5D81">
          <w:rPr>
            <w:noProof/>
            <w:webHidden/>
          </w:rPr>
          <w:fldChar w:fldCharType="begin"/>
        </w:r>
        <w:r w:rsidR="00ED5D81">
          <w:rPr>
            <w:noProof/>
            <w:webHidden/>
          </w:rPr>
          <w:instrText xml:space="preserve"> PAGEREF _Toc117027535 \h </w:instrText>
        </w:r>
        <w:r w:rsidR="00ED5D81">
          <w:rPr>
            <w:noProof/>
            <w:webHidden/>
          </w:rPr>
        </w:r>
        <w:r w:rsidR="00ED5D81">
          <w:rPr>
            <w:noProof/>
            <w:webHidden/>
          </w:rPr>
          <w:fldChar w:fldCharType="separate"/>
        </w:r>
        <w:r w:rsidR="00ED5D81">
          <w:rPr>
            <w:noProof/>
            <w:webHidden/>
          </w:rPr>
          <w:t>49</w:t>
        </w:r>
        <w:r w:rsidR="00ED5D81">
          <w:rPr>
            <w:noProof/>
            <w:webHidden/>
          </w:rPr>
          <w:fldChar w:fldCharType="end"/>
        </w:r>
      </w:hyperlink>
    </w:p>
    <w:p w14:paraId="3115495B" w14:textId="4DEEDAF4"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36" w:history="1">
        <w:r w:rsidR="00ED5D81" w:rsidRPr="00866D7A">
          <w:rPr>
            <w:rStyle w:val="Hyperlink"/>
            <w:rFonts w:eastAsia="Times New Roman"/>
            <w:b/>
            <w:noProof/>
          </w:rPr>
          <w:t>6.4.</w:t>
        </w:r>
        <w:r w:rsidR="00ED5D81">
          <w:rPr>
            <w:rFonts w:asciiTheme="minorHAnsi" w:eastAsiaTheme="minorEastAsia" w:hAnsiTheme="minorHAnsi" w:cstheme="minorBidi"/>
            <w:noProof/>
            <w:color w:val="auto"/>
            <w:sz w:val="22"/>
            <w:lang w:val="fr-BE" w:eastAsia="fr-BE"/>
          </w:rPr>
          <w:tab/>
        </w:r>
        <w:r w:rsidR="00ED5D81" w:rsidRPr="00866D7A">
          <w:rPr>
            <w:rStyle w:val="Hyperlink"/>
            <w:rFonts w:eastAsia="Times New Roman"/>
            <w:b/>
            <w:noProof/>
          </w:rPr>
          <w:t>Declaration on honour – exclusion criteria</w:t>
        </w:r>
        <w:r w:rsidR="00ED5D81">
          <w:rPr>
            <w:noProof/>
            <w:webHidden/>
          </w:rPr>
          <w:tab/>
        </w:r>
        <w:r w:rsidR="00ED5D81">
          <w:rPr>
            <w:noProof/>
            <w:webHidden/>
          </w:rPr>
          <w:fldChar w:fldCharType="begin"/>
        </w:r>
        <w:r w:rsidR="00ED5D81">
          <w:rPr>
            <w:noProof/>
            <w:webHidden/>
          </w:rPr>
          <w:instrText xml:space="preserve"> PAGEREF _Toc117027536 \h </w:instrText>
        </w:r>
        <w:r w:rsidR="00ED5D81">
          <w:rPr>
            <w:noProof/>
            <w:webHidden/>
          </w:rPr>
        </w:r>
        <w:r w:rsidR="00ED5D81">
          <w:rPr>
            <w:noProof/>
            <w:webHidden/>
          </w:rPr>
          <w:fldChar w:fldCharType="separate"/>
        </w:r>
        <w:r w:rsidR="00ED5D81">
          <w:rPr>
            <w:noProof/>
            <w:webHidden/>
          </w:rPr>
          <w:t>50</w:t>
        </w:r>
        <w:r w:rsidR="00ED5D81">
          <w:rPr>
            <w:noProof/>
            <w:webHidden/>
          </w:rPr>
          <w:fldChar w:fldCharType="end"/>
        </w:r>
      </w:hyperlink>
    </w:p>
    <w:p w14:paraId="18ABF071" w14:textId="65AB6748"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37" w:history="1">
        <w:r w:rsidR="00ED5D81" w:rsidRPr="00866D7A">
          <w:rPr>
            <w:rStyle w:val="Hyperlink"/>
            <w:noProof/>
          </w:rPr>
          <w:t>6.5.</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Integrity statement for the tenderers</w:t>
        </w:r>
        <w:r w:rsidR="00ED5D81">
          <w:rPr>
            <w:noProof/>
            <w:webHidden/>
          </w:rPr>
          <w:tab/>
        </w:r>
        <w:r w:rsidR="00ED5D81">
          <w:rPr>
            <w:noProof/>
            <w:webHidden/>
          </w:rPr>
          <w:fldChar w:fldCharType="begin"/>
        </w:r>
        <w:r w:rsidR="00ED5D81">
          <w:rPr>
            <w:noProof/>
            <w:webHidden/>
          </w:rPr>
          <w:instrText xml:space="preserve"> PAGEREF _Toc117027537 \h </w:instrText>
        </w:r>
        <w:r w:rsidR="00ED5D81">
          <w:rPr>
            <w:noProof/>
            <w:webHidden/>
          </w:rPr>
        </w:r>
        <w:r w:rsidR="00ED5D81">
          <w:rPr>
            <w:noProof/>
            <w:webHidden/>
          </w:rPr>
          <w:fldChar w:fldCharType="separate"/>
        </w:r>
        <w:r w:rsidR="00ED5D81">
          <w:rPr>
            <w:noProof/>
            <w:webHidden/>
          </w:rPr>
          <w:t>52</w:t>
        </w:r>
        <w:r w:rsidR="00ED5D81">
          <w:rPr>
            <w:noProof/>
            <w:webHidden/>
          </w:rPr>
          <w:fldChar w:fldCharType="end"/>
        </w:r>
      </w:hyperlink>
    </w:p>
    <w:p w14:paraId="1733E45D" w14:textId="6B820E64"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38" w:history="1">
        <w:r w:rsidR="00ED5D81" w:rsidRPr="00866D7A">
          <w:rPr>
            <w:rStyle w:val="Hyperlink"/>
            <w:noProof/>
          </w:rPr>
          <w:t>6.6.</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Selection file – economic and financial capacity</w:t>
        </w:r>
        <w:r w:rsidR="00ED5D81">
          <w:rPr>
            <w:noProof/>
            <w:webHidden/>
          </w:rPr>
          <w:tab/>
        </w:r>
        <w:r w:rsidR="00ED5D81">
          <w:rPr>
            <w:noProof/>
            <w:webHidden/>
          </w:rPr>
          <w:fldChar w:fldCharType="begin"/>
        </w:r>
        <w:r w:rsidR="00ED5D81">
          <w:rPr>
            <w:noProof/>
            <w:webHidden/>
          </w:rPr>
          <w:instrText xml:space="preserve"> PAGEREF _Toc117027538 \h </w:instrText>
        </w:r>
        <w:r w:rsidR="00ED5D81">
          <w:rPr>
            <w:noProof/>
            <w:webHidden/>
          </w:rPr>
        </w:r>
        <w:r w:rsidR="00ED5D81">
          <w:rPr>
            <w:noProof/>
            <w:webHidden/>
          </w:rPr>
          <w:fldChar w:fldCharType="separate"/>
        </w:r>
        <w:r w:rsidR="00ED5D81">
          <w:rPr>
            <w:noProof/>
            <w:webHidden/>
          </w:rPr>
          <w:t>53</w:t>
        </w:r>
        <w:r w:rsidR="00ED5D81">
          <w:rPr>
            <w:noProof/>
            <w:webHidden/>
          </w:rPr>
          <w:fldChar w:fldCharType="end"/>
        </w:r>
      </w:hyperlink>
    </w:p>
    <w:p w14:paraId="3CCC77F0" w14:textId="79F890D6"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39" w:history="1">
        <w:r w:rsidR="00ED5D81" w:rsidRPr="00866D7A">
          <w:rPr>
            <w:rStyle w:val="Hyperlink"/>
            <w:noProof/>
          </w:rPr>
          <w:t>6.7.</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Selection file – technical aptitude</w:t>
        </w:r>
        <w:r w:rsidR="00ED5D81">
          <w:rPr>
            <w:noProof/>
            <w:webHidden/>
          </w:rPr>
          <w:tab/>
        </w:r>
        <w:r w:rsidR="00ED5D81">
          <w:rPr>
            <w:noProof/>
            <w:webHidden/>
          </w:rPr>
          <w:fldChar w:fldCharType="begin"/>
        </w:r>
        <w:r w:rsidR="00ED5D81">
          <w:rPr>
            <w:noProof/>
            <w:webHidden/>
          </w:rPr>
          <w:instrText xml:space="preserve"> PAGEREF _Toc117027539 \h </w:instrText>
        </w:r>
        <w:r w:rsidR="00ED5D81">
          <w:rPr>
            <w:noProof/>
            <w:webHidden/>
          </w:rPr>
        </w:r>
        <w:r w:rsidR="00ED5D81">
          <w:rPr>
            <w:noProof/>
            <w:webHidden/>
          </w:rPr>
          <w:fldChar w:fldCharType="separate"/>
        </w:r>
        <w:r w:rsidR="00ED5D81">
          <w:rPr>
            <w:noProof/>
            <w:webHidden/>
          </w:rPr>
          <w:t>55</w:t>
        </w:r>
        <w:r w:rsidR="00ED5D81">
          <w:rPr>
            <w:noProof/>
            <w:webHidden/>
          </w:rPr>
          <w:fldChar w:fldCharType="end"/>
        </w:r>
      </w:hyperlink>
    </w:p>
    <w:p w14:paraId="0B21F5DA" w14:textId="716598BF"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40" w:history="1">
        <w:r w:rsidR="00ED5D81" w:rsidRPr="00866D7A">
          <w:rPr>
            <w:rStyle w:val="Hyperlink"/>
            <w:noProof/>
          </w:rPr>
          <w:t>6.8.</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Model of Proof of posting bond</w:t>
        </w:r>
        <w:r w:rsidR="00ED5D81">
          <w:rPr>
            <w:noProof/>
            <w:webHidden/>
          </w:rPr>
          <w:tab/>
        </w:r>
        <w:r w:rsidR="00ED5D81">
          <w:rPr>
            <w:noProof/>
            <w:webHidden/>
          </w:rPr>
          <w:fldChar w:fldCharType="begin"/>
        </w:r>
        <w:r w:rsidR="00ED5D81">
          <w:rPr>
            <w:noProof/>
            <w:webHidden/>
          </w:rPr>
          <w:instrText xml:space="preserve"> PAGEREF _Toc117027540 \h </w:instrText>
        </w:r>
        <w:r w:rsidR="00ED5D81">
          <w:rPr>
            <w:noProof/>
            <w:webHidden/>
          </w:rPr>
        </w:r>
        <w:r w:rsidR="00ED5D81">
          <w:rPr>
            <w:noProof/>
            <w:webHidden/>
          </w:rPr>
          <w:fldChar w:fldCharType="separate"/>
        </w:r>
        <w:r w:rsidR="00ED5D81">
          <w:rPr>
            <w:noProof/>
            <w:webHidden/>
          </w:rPr>
          <w:t>57</w:t>
        </w:r>
        <w:r w:rsidR="00ED5D81">
          <w:rPr>
            <w:noProof/>
            <w:webHidden/>
          </w:rPr>
          <w:fldChar w:fldCharType="end"/>
        </w:r>
      </w:hyperlink>
    </w:p>
    <w:p w14:paraId="30E1607F" w14:textId="0DC61528" w:rsidR="00ED5D81" w:rsidRDefault="00000000">
      <w:pPr>
        <w:pStyle w:val="TOC2"/>
        <w:tabs>
          <w:tab w:val="right" w:leader="dot" w:pos="8892"/>
        </w:tabs>
        <w:rPr>
          <w:rFonts w:asciiTheme="minorHAnsi" w:eastAsiaTheme="minorEastAsia" w:hAnsiTheme="minorHAnsi" w:cstheme="minorBidi"/>
          <w:noProof/>
          <w:color w:val="auto"/>
          <w:sz w:val="22"/>
          <w:lang w:val="fr-BE" w:eastAsia="fr-BE"/>
        </w:rPr>
      </w:pPr>
      <w:hyperlink w:anchor="_Toc117027541" w:history="1">
        <w:r w:rsidR="00ED5D81" w:rsidRPr="00866D7A">
          <w:rPr>
            <w:rStyle w:val="Hyperlink"/>
            <w:rFonts w:eastAsia="Times New Roman"/>
            <w:b/>
            <w:noProof/>
          </w:rPr>
          <w:t>Other documents to be provided</w:t>
        </w:r>
        <w:r w:rsidR="00ED5D81">
          <w:rPr>
            <w:noProof/>
            <w:webHidden/>
          </w:rPr>
          <w:tab/>
        </w:r>
        <w:r w:rsidR="00ED5D81">
          <w:rPr>
            <w:noProof/>
            <w:webHidden/>
          </w:rPr>
          <w:fldChar w:fldCharType="begin"/>
        </w:r>
        <w:r w:rsidR="00ED5D81">
          <w:rPr>
            <w:noProof/>
            <w:webHidden/>
          </w:rPr>
          <w:instrText xml:space="preserve"> PAGEREF _Toc117027541 \h </w:instrText>
        </w:r>
        <w:r w:rsidR="00ED5D81">
          <w:rPr>
            <w:noProof/>
            <w:webHidden/>
          </w:rPr>
        </w:r>
        <w:r w:rsidR="00ED5D81">
          <w:rPr>
            <w:noProof/>
            <w:webHidden/>
          </w:rPr>
          <w:fldChar w:fldCharType="separate"/>
        </w:r>
        <w:r w:rsidR="00ED5D81">
          <w:rPr>
            <w:noProof/>
            <w:webHidden/>
          </w:rPr>
          <w:t>58</w:t>
        </w:r>
        <w:r w:rsidR="00ED5D81">
          <w:rPr>
            <w:noProof/>
            <w:webHidden/>
          </w:rPr>
          <w:fldChar w:fldCharType="end"/>
        </w:r>
      </w:hyperlink>
    </w:p>
    <w:p w14:paraId="513FB9BC" w14:textId="20730C1C"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42" w:history="1">
        <w:r w:rsidR="00ED5D81" w:rsidRPr="00866D7A">
          <w:rPr>
            <w:rStyle w:val="Hyperlink"/>
            <w:noProof/>
          </w:rPr>
          <w:t>6.9.</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Power of attorney</w:t>
        </w:r>
        <w:r w:rsidR="00ED5D81">
          <w:rPr>
            <w:noProof/>
            <w:webHidden/>
          </w:rPr>
          <w:tab/>
        </w:r>
        <w:r w:rsidR="00ED5D81">
          <w:rPr>
            <w:noProof/>
            <w:webHidden/>
          </w:rPr>
          <w:fldChar w:fldCharType="begin"/>
        </w:r>
        <w:r w:rsidR="00ED5D81">
          <w:rPr>
            <w:noProof/>
            <w:webHidden/>
          </w:rPr>
          <w:instrText xml:space="preserve"> PAGEREF _Toc117027542 \h </w:instrText>
        </w:r>
        <w:r w:rsidR="00ED5D81">
          <w:rPr>
            <w:noProof/>
            <w:webHidden/>
          </w:rPr>
        </w:r>
        <w:r w:rsidR="00ED5D81">
          <w:rPr>
            <w:noProof/>
            <w:webHidden/>
          </w:rPr>
          <w:fldChar w:fldCharType="separate"/>
        </w:r>
        <w:r w:rsidR="00ED5D81">
          <w:rPr>
            <w:noProof/>
            <w:webHidden/>
          </w:rPr>
          <w:t>58</w:t>
        </w:r>
        <w:r w:rsidR="00ED5D81">
          <w:rPr>
            <w:noProof/>
            <w:webHidden/>
          </w:rPr>
          <w:fldChar w:fldCharType="end"/>
        </w:r>
      </w:hyperlink>
    </w:p>
    <w:p w14:paraId="14C533B9" w14:textId="22E6960A"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43" w:history="1">
        <w:r w:rsidR="00ED5D81" w:rsidRPr="00866D7A">
          <w:rPr>
            <w:rStyle w:val="Hyperlink"/>
            <w:noProof/>
          </w:rPr>
          <w:t>6.10.</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Incorporation certificate</w:t>
        </w:r>
        <w:r w:rsidR="00ED5D81">
          <w:rPr>
            <w:noProof/>
            <w:webHidden/>
          </w:rPr>
          <w:tab/>
        </w:r>
        <w:r w:rsidR="00ED5D81">
          <w:rPr>
            <w:noProof/>
            <w:webHidden/>
          </w:rPr>
          <w:fldChar w:fldCharType="begin"/>
        </w:r>
        <w:r w:rsidR="00ED5D81">
          <w:rPr>
            <w:noProof/>
            <w:webHidden/>
          </w:rPr>
          <w:instrText xml:space="preserve"> PAGEREF _Toc117027543 \h </w:instrText>
        </w:r>
        <w:r w:rsidR="00ED5D81">
          <w:rPr>
            <w:noProof/>
            <w:webHidden/>
          </w:rPr>
        </w:r>
        <w:r w:rsidR="00ED5D81">
          <w:rPr>
            <w:noProof/>
            <w:webHidden/>
          </w:rPr>
          <w:fldChar w:fldCharType="separate"/>
        </w:r>
        <w:r w:rsidR="00ED5D81">
          <w:rPr>
            <w:noProof/>
            <w:webHidden/>
          </w:rPr>
          <w:t>58</w:t>
        </w:r>
        <w:r w:rsidR="00ED5D81">
          <w:rPr>
            <w:noProof/>
            <w:webHidden/>
          </w:rPr>
          <w:fldChar w:fldCharType="end"/>
        </w:r>
      </w:hyperlink>
    </w:p>
    <w:p w14:paraId="6C5DEC30" w14:textId="3FD89C1C"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44" w:history="1">
        <w:r w:rsidR="00ED5D81" w:rsidRPr="00866D7A">
          <w:rPr>
            <w:rStyle w:val="Hyperlink"/>
            <w:noProof/>
          </w:rPr>
          <w:t>6.11.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VAT Registration certificate</w:t>
        </w:r>
        <w:r w:rsidR="00ED5D81">
          <w:rPr>
            <w:noProof/>
            <w:webHidden/>
          </w:rPr>
          <w:tab/>
        </w:r>
        <w:r w:rsidR="00ED5D81">
          <w:rPr>
            <w:noProof/>
            <w:webHidden/>
          </w:rPr>
          <w:fldChar w:fldCharType="begin"/>
        </w:r>
        <w:r w:rsidR="00ED5D81">
          <w:rPr>
            <w:noProof/>
            <w:webHidden/>
          </w:rPr>
          <w:instrText xml:space="preserve"> PAGEREF _Toc117027544 \h </w:instrText>
        </w:r>
        <w:r w:rsidR="00ED5D81">
          <w:rPr>
            <w:noProof/>
            <w:webHidden/>
          </w:rPr>
        </w:r>
        <w:r w:rsidR="00ED5D81">
          <w:rPr>
            <w:noProof/>
            <w:webHidden/>
          </w:rPr>
          <w:fldChar w:fldCharType="separate"/>
        </w:r>
        <w:r w:rsidR="00ED5D81">
          <w:rPr>
            <w:noProof/>
            <w:webHidden/>
          </w:rPr>
          <w:t>58</w:t>
        </w:r>
        <w:r w:rsidR="00ED5D81">
          <w:rPr>
            <w:noProof/>
            <w:webHidden/>
          </w:rPr>
          <w:fldChar w:fldCharType="end"/>
        </w:r>
      </w:hyperlink>
    </w:p>
    <w:p w14:paraId="6A3ADF2D" w14:textId="45B47DBC"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45" w:history="1">
        <w:r w:rsidR="00ED5D81" w:rsidRPr="00866D7A">
          <w:rPr>
            <w:rStyle w:val="Hyperlink"/>
            <w:noProof/>
          </w:rPr>
          <w:t>6.12.</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Non Bankruptcy certificate</w:t>
        </w:r>
        <w:r w:rsidR="00ED5D81">
          <w:rPr>
            <w:noProof/>
            <w:webHidden/>
          </w:rPr>
          <w:tab/>
        </w:r>
        <w:r w:rsidR="00ED5D81">
          <w:rPr>
            <w:noProof/>
            <w:webHidden/>
          </w:rPr>
          <w:fldChar w:fldCharType="begin"/>
        </w:r>
        <w:r w:rsidR="00ED5D81">
          <w:rPr>
            <w:noProof/>
            <w:webHidden/>
          </w:rPr>
          <w:instrText xml:space="preserve"> PAGEREF _Toc117027545 \h </w:instrText>
        </w:r>
        <w:r w:rsidR="00ED5D81">
          <w:rPr>
            <w:noProof/>
            <w:webHidden/>
          </w:rPr>
        </w:r>
        <w:r w:rsidR="00ED5D81">
          <w:rPr>
            <w:noProof/>
            <w:webHidden/>
          </w:rPr>
          <w:fldChar w:fldCharType="separate"/>
        </w:r>
        <w:r w:rsidR="00ED5D81">
          <w:rPr>
            <w:noProof/>
            <w:webHidden/>
          </w:rPr>
          <w:t>58</w:t>
        </w:r>
        <w:r w:rsidR="00ED5D81">
          <w:rPr>
            <w:noProof/>
            <w:webHidden/>
          </w:rPr>
          <w:fldChar w:fldCharType="end"/>
        </w:r>
      </w:hyperlink>
    </w:p>
    <w:p w14:paraId="6F90B75B" w14:textId="3378DF47"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46" w:history="1">
        <w:r w:rsidR="00ED5D81" w:rsidRPr="00866D7A">
          <w:rPr>
            <w:rStyle w:val="Hyperlink"/>
            <w:noProof/>
          </w:rPr>
          <w:t>6.13.</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Certification of clearance with regards to the payments of social security contributions</w:t>
        </w:r>
        <w:r w:rsidR="00ED5D81">
          <w:rPr>
            <w:noProof/>
            <w:webHidden/>
          </w:rPr>
          <w:tab/>
        </w:r>
        <w:r w:rsidR="00ED5D81">
          <w:rPr>
            <w:noProof/>
            <w:webHidden/>
          </w:rPr>
          <w:fldChar w:fldCharType="begin"/>
        </w:r>
        <w:r w:rsidR="00ED5D81">
          <w:rPr>
            <w:noProof/>
            <w:webHidden/>
          </w:rPr>
          <w:instrText xml:space="preserve"> PAGEREF _Toc117027546 \h </w:instrText>
        </w:r>
        <w:r w:rsidR="00ED5D81">
          <w:rPr>
            <w:noProof/>
            <w:webHidden/>
          </w:rPr>
        </w:r>
        <w:r w:rsidR="00ED5D81">
          <w:rPr>
            <w:noProof/>
            <w:webHidden/>
          </w:rPr>
          <w:fldChar w:fldCharType="separate"/>
        </w:r>
        <w:r w:rsidR="00ED5D81">
          <w:rPr>
            <w:noProof/>
            <w:webHidden/>
          </w:rPr>
          <w:t>58</w:t>
        </w:r>
        <w:r w:rsidR="00ED5D81">
          <w:rPr>
            <w:noProof/>
            <w:webHidden/>
          </w:rPr>
          <w:fldChar w:fldCharType="end"/>
        </w:r>
      </w:hyperlink>
    </w:p>
    <w:p w14:paraId="1DD7217C" w14:textId="2191E1FD"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47" w:history="1">
        <w:r w:rsidR="00ED5D81" w:rsidRPr="00866D7A">
          <w:rPr>
            <w:rStyle w:val="Hyperlink"/>
            <w:noProof/>
          </w:rPr>
          <w:t>6.14.</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Certification of clearance with regards to the payments of applicable taxes</w:t>
        </w:r>
        <w:r w:rsidR="00ED5D81">
          <w:rPr>
            <w:noProof/>
            <w:webHidden/>
          </w:rPr>
          <w:tab/>
        </w:r>
        <w:r w:rsidR="00ED5D81">
          <w:rPr>
            <w:noProof/>
            <w:webHidden/>
          </w:rPr>
          <w:fldChar w:fldCharType="begin"/>
        </w:r>
        <w:r w:rsidR="00ED5D81">
          <w:rPr>
            <w:noProof/>
            <w:webHidden/>
          </w:rPr>
          <w:instrText xml:space="preserve"> PAGEREF _Toc117027547 \h </w:instrText>
        </w:r>
        <w:r w:rsidR="00ED5D81">
          <w:rPr>
            <w:noProof/>
            <w:webHidden/>
          </w:rPr>
        </w:r>
        <w:r w:rsidR="00ED5D81">
          <w:rPr>
            <w:noProof/>
            <w:webHidden/>
          </w:rPr>
          <w:fldChar w:fldCharType="separate"/>
        </w:r>
        <w:r w:rsidR="00ED5D81">
          <w:rPr>
            <w:noProof/>
            <w:webHidden/>
          </w:rPr>
          <w:t>58</w:t>
        </w:r>
        <w:r w:rsidR="00ED5D81">
          <w:rPr>
            <w:noProof/>
            <w:webHidden/>
          </w:rPr>
          <w:fldChar w:fldCharType="end"/>
        </w:r>
      </w:hyperlink>
    </w:p>
    <w:p w14:paraId="612C5C99" w14:textId="142DE861"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48" w:history="1">
        <w:r w:rsidR="00ED5D81" w:rsidRPr="00866D7A">
          <w:rPr>
            <w:rStyle w:val="Hyperlink"/>
            <w:rFonts w:eastAsia="MS Gothic"/>
            <w:noProof/>
          </w:rPr>
          <w:t>6.15.</w:t>
        </w:r>
        <w:r w:rsidR="00ED5D81">
          <w:rPr>
            <w:rFonts w:asciiTheme="minorHAnsi" w:eastAsiaTheme="minorEastAsia" w:hAnsiTheme="minorHAnsi" w:cstheme="minorBidi"/>
            <w:noProof/>
            <w:color w:val="auto"/>
            <w:sz w:val="22"/>
            <w:lang w:val="fr-BE" w:eastAsia="fr-BE"/>
          </w:rPr>
          <w:tab/>
        </w:r>
        <w:r w:rsidR="00ED5D81" w:rsidRPr="00866D7A">
          <w:rPr>
            <w:rStyle w:val="Hyperlink"/>
            <w:rFonts w:eastAsia="MS Gothic"/>
            <w:noProof/>
          </w:rPr>
          <w:t>List of the similar assignments</w:t>
        </w:r>
        <w:r w:rsidR="00ED5D81">
          <w:rPr>
            <w:noProof/>
            <w:webHidden/>
          </w:rPr>
          <w:tab/>
        </w:r>
        <w:r w:rsidR="00ED5D81">
          <w:rPr>
            <w:noProof/>
            <w:webHidden/>
          </w:rPr>
          <w:fldChar w:fldCharType="begin"/>
        </w:r>
        <w:r w:rsidR="00ED5D81">
          <w:rPr>
            <w:noProof/>
            <w:webHidden/>
          </w:rPr>
          <w:instrText xml:space="preserve"> PAGEREF _Toc117027548 \h </w:instrText>
        </w:r>
        <w:r w:rsidR="00ED5D81">
          <w:rPr>
            <w:noProof/>
            <w:webHidden/>
          </w:rPr>
        </w:r>
        <w:r w:rsidR="00ED5D81">
          <w:rPr>
            <w:noProof/>
            <w:webHidden/>
          </w:rPr>
          <w:fldChar w:fldCharType="separate"/>
        </w:r>
        <w:r w:rsidR="00ED5D81">
          <w:rPr>
            <w:noProof/>
            <w:webHidden/>
          </w:rPr>
          <w:t>58</w:t>
        </w:r>
        <w:r w:rsidR="00ED5D81">
          <w:rPr>
            <w:noProof/>
            <w:webHidden/>
          </w:rPr>
          <w:fldChar w:fldCharType="end"/>
        </w:r>
      </w:hyperlink>
    </w:p>
    <w:p w14:paraId="7DE94F84" w14:textId="1585C37D"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49" w:history="1">
        <w:r w:rsidR="00ED5D81" w:rsidRPr="00866D7A">
          <w:rPr>
            <w:rStyle w:val="Hyperlink"/>
            <w:rFonts w:eastAsia="MS Gothic"/>
            <w:noProof/>
          </w:rPr>
          <w:t>6.16.</w:t>
        </w:r>
        <w:r w:rsidR="00ED5D81">
          <w:rPr>
            <w:rFonts w:asciiTheme="minorHAnsi" w:eastAsiaTheme="minorEastAsia" w:hAnsiTheme="minorHAnsi" w:cstheme="minorBidi"/>
            <w:noProof/>
            <w:color w:val="auto"/>
            <w:sz w:val="22"/>
            <w:lang w:val="fr-BE" w:eastAsia="fr-BE"/>
          </w:rPr>
          <w:tab/>
        </w:r>
        <w:r w:rsidR="00ED5D81" w:rsidRPr="00866D7A">
          <w:rPr>
            <w:rStyle w:val="Hyperlink"/>
            <w:rFonts w:eastAsia="MS Gothic"/>
            <w:noProof/>
          </w:rPr>
          <w:t>Certificates of completion</w:t>
        </w:r>
        <w:r w:rsidR="00ED5D81">
          <w:rPr>
            <w:noProof/>
            <w:webHidden/>
          </w:rPr>
          <w:tab/>
        </w:r>
        <w:r w:rsidR="00ED5D81">
          <w:rPr>
            <w:noProof/>
            <w:webHidden/>
          </w:rPr>
          <w:fldChar w:fldCharType="begin"/>
        </w:r>
        <w:r w:rsidR="00ED5D81">
          <w:rPr>
            <w:noProof/>
            <w:webHidden/>
          </w:rPr>
          <w:instrText xml:space="preserve"> PAGEREF _Toc117027549 \h </w:instrText>
        </w:r>
        <w:r w:rsidR="00ED5D81">
          <w:rPr>
            <w:noProof/>
            <w:webHidden/>
          </w:rPr>
        </w:r>
        <w:r w:rsidR="00ED5D81">
          <w:rPr>
            <w:noProof/>
            <w:webHidden/>
          </w:rPr>
          <w:fldChar w:fldCharType="separate"/>
        </w:r>
        <w:r w:rsidR="00ED5D81">
          <w:rPr>
            <w:noProof/>
            <w:webHidden/>
          </w:rPr>
          <w:t>59</w:t>
        </w:r>
        <w:r w:rsidR="00ED5D81">
          <w:rPr>
            <w:noProof/>
            <w:webHidden/>
          </w:rPr>
          <w:fldChar w:fldCharType="end"/>
        </w:r>
      </w:hyperlink>
    </w:p>
    <w:p w14:paraId="7A9C7768" w14:textId="4F3C0882"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50" w:history="1">
        <w:r w:rsidR="00ED5D81" w:rsidRPr="00866D7A">
          <w:rPr>
            <w:rStyle w:val="Hyperlink"/>
            <w:rFonts w:eastAsia="MS Gothic"/>
            <w:noProof/>
          </w:rPr>
          <w:t>6.17.</w:t>
        </w:r>
        <w:r w:rsidR="00ED5D81">
          <w:rPr>
            <w:rFonts w:asciiTheme="minorHAnsi" w:eastAsiaTheme="minorEastAsia" w:hAnsiTheme="minorHAnsi" w:cstheme="minorBidi"/>
            <w:noProof/>
            <w:color w:val="auto"/>
            <w:sz w:val="22"/>
            <w:lang w:val="fr-BE" w:eastAsia="fr-BE"/>
          </w:rPr>
          <w:tab/>
        </w:r>
        <w:r w:rsidR="00ED5D81" w:rsidRPr="00866D7A">
          <w:rPr>
            <w:rStyle w:val="Hyperlink"/>
            <w:rFonts w:eastAsia="MS Gothic"/>
            <w:noProof/>
          </w:rPr>
          <w:t>Key experts</w:t>
        </w:r>
        <w:r w:rsidR="00ED5D81">
          <w:rPr>
            <w:noProof/>
            <w:webHidden/>
          </w:rPr>
          <w:tab/>
        </w:r>
        <w:r w:rsidR="00ED5D81">
          <w:rPr>
            <w:noProof/>
            <w:webHidden/>
          </w:rPr>
          <w:fldChar w:fldCharType="begin"/>
        </w:r>
        <w:r w:rsidR="00ED5D81">
          <w:rPr>
            <w:noProof/>
            <w:webHidden/>
          </w:rPr>
          <w:instrText xml:space="preserve"> PAGEREF _Toc117027550 \h </w:instrText>
        </w:r>
        <w:r w:rsidR="00ED5D81">
          <w:rPr>
            <w:noProof/>
            <w:webHidden/>
          </w:rPr>
        </w:r>
        <w:r w:rsidR="00ED5D81">
          <w:rPr>
            <w:noProof/>
            <w:webHidden/>
          </w:rPr>
          <w:fldChar w:fldCharType="separate"/>
        </w:r>
        <w:r w:rsidR="00ED5D81">
          <w:rPr>
            <w:noProof/>
            <w:webHidden/>
          </w:rPr>
          <w:t>60</w:t>
        </w:r>
        <w:r w:rsidR="00ED5D81">
          <w:rPr>
            <w:noProof/>
            <w:webHidden/>
          </w:rPr>
          <w:fldChar w:fldCharType="end"/>
        </w:r>
      </w:hyperlink>
    </w:p>
    <w:p w14:paraId="5F9DC5BE" w14:textId="46363E89"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51" w:history="1">
        <w:r w:rsidR="00ED5D81" w:rsidRPr="00866D7A">
          <w:rPr>
            <w:rStyle w:val="Hyperlink"/>
            <w:rFonts w:eastAsia="MS Gothic"/>
            <w:noProof/>
          </w:rPr>
          <w:t>6.18.</w:t>
        </w:r>
        <w:r w:rsidR="00ED5D81">
          <w:rPr>
            <w:rFonts w:asciiTheme="minorHAnsi" w:eastAsiaTheme="minorEastAsia" w:hAnsiTheme="minorHAnsi" w:cstheme="minorBidi"/>
            <w:noProof/>
            <w:color w:val="auto"/>
            <w:sz w:val="22"/>
            <w:lang w:val="fr-BE" w:eastAsia="fr-BE"/>
          </w:rPr>
          <w:tab/>
        </w:r>
        <w:r w:rsidR="00ED5D81" w:rsidRPr="00866D7A">
          <w:rPr>
            <w:rStyle w:val="Hyperlink"/>
            <w:rFonts w:eastAsia="MS Gothic"/>
            <w:noProof/>
          </w:rPr>
          <w:t>Availability of key experts</w:t>
        </w:r>
        <w:r w:rsidR="00ED5D81">
          <w:rPr>
            <w:noProof/>
            <w:webHidden/>
          </w:rPr>
          <w:tab/>
        </w:r>
        <w:r w:rsidR="00ED5D81">
          <w:rPr>
            <w:noProof/>
            <w:webHidden/>
          </w:rPr>
          <w:fldChar w:fldCharType="begin"/>
        </w:r>
        <w:r w:rsidR="00ED5D81">
          <w:rPr>
            <w:noProof/>
            <w:webHidden/>
          </w:rPr>
          <w:instrText xml:space="preserve"> PAGEREF _Toc117027551 \h </w:instrText>
        </w:r>
        <w:r w:rsidR="00ED5D81">
          <w:rPr>
            <w:noProof/>
            <w:webHidden/>
          </w:rPr>
        </w:r>
        <w:r w:rsidR="00ED5D81">
          <w:rPr>
            <w:noProof/>
            <w:webHidden/>
          </w:rPr>
          <w:fldChar w:fldCharType="separate"/>
        </w:r>
        <w:r w:rsidR="00ED5D81">
          <w:rPr>
            <w:noProof/>
            <w:webHidden/>
          </w:rPr>
          <w:t>61</w:t>
        </w:r>
        <w:r w:rsidR="00ED5D81">
          <w:rPr>
            <w:noProof/>
            <w:webHidden/>
          </w:rPr>
          <w:fldChar w:fldCharType="end"/>
        </w:r>
      </w:hyperlink>
    </w:p>
    <w:p w14:paraId="42B7F8B1" w14:textId="572BCBE7" w:rsidR="00ED5D81" w:rsidRDefault="00000000">
      <w:pPr>
        <w:pStyle w:val="TOC2"/>
        <w:tabs>
          <w:tab w:val="left" w:pos="880"/>
          <w:tab w:val="right" w:leader="dot" w:pos="8892"/>
        </w:tabs>
        <w:rPr>
          <w:rFonts w:asciiTheme="minorHAnsi" w:eastAsiaTheme="minorEastAsia" w:hAnsiTheme="minorHAnsi" w:cstheme="minorBidi"/>
          <w:noProof/>
          <w:color w:val="auto"/>
          <w:sz w:val="22"/>
          <w:lang w:val="fr-BE" w:eastAsia="fr-BE"/>
        </w:rPr>
      </w:pPr>
      <w:hyperlink w:anchor="_Toc117027552" w:history="1">
        <w:r w:rsidR="00ED5D81" w:rsidRPr="00866D7A">
          <w:rPr>
            <w:rStyle w:val="Hyperlink"/>
            <w:noProof/>
          </w:rPr>
          <w:t>6.19.</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Annexes</w:t>
        </w:r>
        <w:r w:rsidR="00ED5D81">
          <w:rPr>
            <w:noProof/>
            <w:webHidden/>
          </w:rPr>
          <w:tab/>
        </w:r>
        <w:r w:rsidR="00ED5D81">
          <w:rPr>
            <w:noProof/>
            <w:webHidden/>
          </w:rPr>
          <w:fldChar w:fldCharType="begin"/>
        </w:r>
        <w:r w:rsidR="00ED5D81">
          <w:rPr>
            <w:noProof/>
            <w:webHidden/>
          </w:rPr>
          <w:instrText xml:space="preserve"> PAGEREF _Toc117027552 \h </w:instrText>
        </w:r>
        <w:r w:rsidR="00ED5D81">
          <w:rPr>
            <w:noProof/>
            <w:webHidden/>
          </w:rPr>
        </w:r>
        <w:r w:rsidR="00ED5D81">
          <w:rPr>
            <w:noProof/>
            <w:webHidden/>
          </w:rPr>
          <w:fldChar w:fldCharType="separate"/>
        </w:r>
        <w:r w:rsidR="00ED5D81">
          <w:rPr>
            <w:noProof/>
            <w:webHidden/>
          </w:rPr>
          <w:t>62</w:t>
        </w:r>
        <w:r w:rsidR="00ED5D81">
          <w:rPr>
            <w:noProof/>
            <w:webHidden/>
          </w:rPr>
          <w:fldChar w:fldCharType="end"/>
        </w:r>
      </w:hyperlink>
    </w:p>
    <w:p w14:paraId="26CC8302" w14:textId="073B6EE2" w:rsidR="00ED5D81" w:rsidRDefault="00000000">
      <w:pPr>
        <w:pStyle w:val="TOC3"/>
        <w:rPr>
          <w:rFonts w:asciiTheme="minorHAnsi" w:eastAsiaTheme="minorEastAsia" w:hAnsiTheme="minorHAnsi" w:cstheme="minorBidi"/>
          <w:noProof/>
          <w:color w:val="auto"/>
          <w:sz w:val="22"/>
          <w:lang w:val="fr-BE" w:eastAsia="fr-BE"/>
        </w:rPr>
      </w:pPr>
      <w:hyperlink w:anchor="_Toc117027553" w:history="1">
        <w:r w:rsidR="00ED5D81" w:rsidRPr="00866D7A">
          <w:rPr>
            <w:rStyle w:val="Hyperlink"/>
            <w:noProof/>
          </w:rPr>
          <w:t>6.19.1.</w:t>
        </w:r>
        <w:r w:rsidR="00ED5D81">
          <w:rPr>
            <w:rFonts w:asciiTheme="minorHAnsi" w:eastAsiaTheme="minorEastAsia" w:hAnsiTheme="minorHAnsi" w:cstheme="minorBidi"/>
            <w:noProof/>
            <w:color w:val="auto"/>
            <w:sz w:val="22"/>
            <w:lang w:val="fr-BE" w:eastAsia="fr-BE"/>
          </w:rPr>
          <w:tab/>
        </w:r>
        <w:r w:rsidR="00ED5D81" w:rsidRPr="00866D7A">
          <w:rPr>
            <w:rStyle w:val="Hyperlink"/>
            <w:noProof/>
          </w:rPr>
          <w:t>GDPR clauses (in case of CONTRACTOR who will process personal data</w:t>
        </w:r>
        <w:r w:rsidR="00ED5D81">
          <w:rPr>
            <w:noProof/>
            <w:webHidden/>
          </w:rPr>
          <w:tab/>
        </w:r>
        <w:r w:rsidR="00ED5D81">
          <w:rPr>
            <w:noProof/>
            <w:webHidden/>
          </w:rPr>
          <w:fldChar w:fldCharType="begin"/>
        </w:r>
        <w:r w:rsidR="00ED5D81">
          <w:rPr>
            <w:noProof/>
            <w:webHidden/>
          </w:rPr>
          <w:instrText xml:space="preserve"> PAGEREF _Toc117027553 \h </w:instrText>
        </w:r>
        <w:r w:rsidR="00ED5D81">
          <w:rPr>
            <w:noProof/>
            <w:webHidden/>
          </w:rPr>
        </w:r>
        <w:r w:rsidR="00ED5D81">
          <w:rPr>
            <w:noProof/>
            <w:webHidden/>
          </w:rPr>
          <w:fldChar w:fldCharType="separate"/>
        </w:r>
        <w:r w:rsidR="00ED5D81">
          <w:rPr>
            <w:noProof/>
            <w:webHidden/>
          </w:rPr>
          <w:t>62</w:t>
        </w:r>
        <w:r w:rsidR="00ED5D81">
          <w:rPr>
            <w:noProof/>
            <w:webHidden/>
          </w:rPr>
          <w:fldChar w:fldCharType="end"/>
        </w:r>
      </w:hyperlink>
    </w:p>
    <w:p w14:paraId="4F65241C" w14:textId="0ECA9C00" w:rsidR="004F07DF" w:rsidRDefault="004F07DF" w:rsidP="004F07DF">
      <w:pPr>
        <w:sectPr w:rsidR="004F07DF" w:rsidSect="008E225E">
          <w:headerReference w:type="first" r:id="rId15"/>
          <w:footerReference w:type="first" r:id="rId16"/>
          <w:pgSz w:w="11906" w:h="16838"/>
          <w:pgMar w:top="851" w:right="1133" w:bottom="851" w:left="1871" w:header="709" w:footer="709" w:gutter="0"/>
          <w:pgNumType w:start="2"/>
          <w:cols w:space="708"/>
          <w:titlePg/>
          <w:docGrid w:linePitch="360"/>
        </w:sectPr>
      </w:pPr>
      <w:r w:rsidRPr="003658B5">
        <w:fldChar w:fldCharType="end"/>
      </w:r>
    </w:p>
    <w:p w14:paraId="76271DAF" w14:textId="77777777" w:rsidR="004F07DF" w:rsidRPr="003658B5" w:rsidRDefault="004F07DF" w:rsidP="004F07DF">
      <w:pPr>
        <w:pStyle w:val="Heading1"/>
      </w:pPr>
      <w:bookmarkStart w:id="0" w:name="_Toc117027450"/>
      <w:r w:rsidRPr="003658B5">
        <w:lastRenderedPageBreak/>
        <w:t>General provisions</w:t>
      </w:r>
      <w:bookmarkEnd w:id="0"/>
      <w:r w:rsidRPr="003658B5">
        <w:t xml:space="preserve"> </w:t>
      </w:r>
    </w:p>
    <w:p w14:paraId="55AAC8C5" w14:textId="77777777" w:rsidR="004F07DF" w:rsidRPr="003658B5" w:rsidRDefault="004F07DF" w:rsidP="004F07DF">
      <w:pPr>
        <w:pStyle w:val="Heading2"/>
      </w:pPr>
      <w:bookmarkStart w:id="1" w:name="_Toc117027451"/>
      <w:r w:rsidRPr="003658B5">
        <w:t>Derogations from the General Implementing Rules</w:t>
      </w:r>
      <w:bookmarkEnd w:id="1"/>
    </w:p>
    <w:p w14:paraId="13E513B2" w14:textId="77777777" w:rsidR="004F07DF" w:rsidRPr="005A3BE2" w:rsidRDefault="004F07DF" w:rsidP="004F07DF">
      <w:pPr>
        <w:pStyle w:val="BodyText"/>
        <w:shd w:val="clear" w:color="auto" w:fill="FFFFFF"/>
        <w:rPr>
          <w:rFonts w:ascii="Georgia" w:eastAsia="Calibri" w:hAnsi="Georgia" w:cs="Times New Roman"/>
          <w:kern w:val="0"/>
          <w:sz w:val="21"/>
          <w:szCs w:val="22"/>
        </w:rPr>
      </w:pPr>
      <w:r w:rsidRPr="005A3BE2">
        <w:rPr>
          <w:rFonts w:ascii="Georgia" w:hAnsi="Georgia"/>
          <w:sz w:val="21"/>
          <w:szCs w:val="22"/>
        </w:rPr>
        <w:t>Chapter ‘</w:t>
      </w:r>
      <w:r w:rsidRPr="005A3BE2">
        <w:rPr>
          <w:rFonts w:ascii="Georgia" w:hAnsi="Georgia"/>
          <w:i/>
          <w:sz w:val="21"/>
          <w:szCs w:val="22"/>
        </w:rPr>
        <w:t>Specific contractual and administrative conditions’</w:t>
      </w:r>
      <w:r w:rsidRPr="005A3BE2">
        <w:rPr>
          <w:rFonts w:ascii="Georgia" w:hAnsi="Georgia"/>
          <w:sz w:val="21"/>
          <w:szCs w:val="22"/>
        </w:rPr>
        <w:t xml:space="preserve"> of these Tender Specifications (CSC/Cahier </w:t>
      </w:r>
      <w:proofErr w:type="spellStart"/>
      <w:r w:rsidRPr="005A3BE2">
        <w:rPr>
          <w:rFonts w:ascii="Georgia" w:hAnsi="Georgia"/>
          <w:sz w:val="21"/>
          <w:szCs w:val="22"/>
        </w:rPr>
        <w:t>Spécial</w:t>
      </w:r>
      <w:proofErr w:type="spellEnd"/>
      <w:r w:rsidRPr="005A3BE2">
        <w:rPr>
          <w:rFonts w:ascii="Georgia" w:hAnsi="Georgia"/>
          <w:sz w:val="21"/>
          <w:szCs w:val="22"/>
        </w:rPr>
        <w:t xml:space="preserve"> des Charges) holds the specific administrative and contractual provisions that apply to this public procurement contract as a derogation of the Royal Decree of 14.01.2013 or as a complement or an elaboration thereof. </w:t>
      </w:r>
    </w:p>
    <w:p w14:paraId="56315D3E" w14:textId="77777777" w:rsidR="004F07DF" w:rsidRPr="005A3BE2" w:rsidRDefault="004F07DF" w:rsidP="004F07DF">
      <w:pPr>
        <w:pStyle w:val="BodyText"/>
        <w:shd w:val="clear" w:color="auto" w:fill="FFFFFF"/>
        <w:rPr>
          <w:rFonts w:ascii="Georgia" w:eastAsia="Calibri" w:hAnsi="Georgia" w:cs="Times New Roman"/>
          <w:i/>
          <w:kern w:val="0"/>
          <w:sz w:val="21"/>
          <w:szCs w:val="22"/>
        </w:rPr>
      </w:pPr>
      <w:r w:rsidRPr="001228B0">
        <w:rPr>
          <w:rFonts w:ascii="Georgia" w:hAnsi="Georgia"/>
          <w:sz w:val="21"/>
          <w:szCs w:val="22"/>
        </w:rPr>
        <w:t xml:space="preserve">These tender documents </w:t>
      </w:r>
      <w:r>
        <w:rPr>
          <w:rFonts w:ascii="Georgia" w:hAnsi="Georgia"/>
          <w:sz w:val="21"/>
          <w:szCs w:val="22"/>
        </w:rPr>
        <w:t xml:space="preserve">do not </w:t>
      </w:r>
      <w:r w:rsidRPr="001228B0">
        <w:rPr>
          <w:rFonts w:ascii="Georgia" w:hAnsi="Georgia"/>
          <w:sz w:val="21"/>
          <w:szCs w:val="22"/>
        </w:rPr>
        <w:t>derogate from Art. 25-33 of the General Implementing Rules (see point 4.8 “Performance guarantee”).</w:t>
      </w:r>
    </w:p>
    <w:p w14:paraId="3ED2FB99" w14:textId="77777777" w:rsidR="004F07DF" w:rsidRPr="003658B5" w:rsidRDefault="004F07DF" w:rsidP="004F07DF">
      <w:pPr>
        <w:pStyle w:val="Heading2"/>
        <w:keepLines w:val="0"/>
        <w:widowControl w:val="0"/>
        <w:tabs>
          <w:tab w:val="num" w:pos="576"/>
        </w:tabs>
        <w:suppressAutoHyphens/>
        <w:spacing w:after="240"/>
      </w:pPr>
      <w:bookmarkStart w:id="2" w:name="_Ref260219633"/>
      <w:bookmarkStart w:id="3" w:name="_Ref260219636"/>
      <w:bookmarkStart w:id="4" w:name="_Toc364253062"/>
      <w:bookmarkStart w:id="5" w:name="_Toc117027452"/>
      <w:r w:rsidRPr="003658B5">
        <w:t>Contracting authority</w:t>
      </w:r>
      <w:bookmarkEnd w:id="2"/>
      <w:bookmarkEnd w:id="3"/>
      <w:bookmarkEnd w:id="4"/>
      <w:bookmarkEnd w:id="5"/>
    </w:p>
    <w:p w14:paraId="3F0B01E3" w14:textId="77777777" w:rsidR="004F07DF" w:rsidRPr="005A3BE2" w:rsidRDefault="004F07DF" w:rsidP="004F07DF">
      <w:pPr>
        <w:pStyle w:val="BodyText"/>
        <w:rPr>
          <w:rFonts w:ascii="Georgia" w:hAnsi="Georgia"/>
          <w:sz w:val="21"/>
          <w:szCs w:val="22"/>
        </w:rPr>
      </w:pPr>
      <w:r w:rsidRPr="005A3BE2">
        <w:rPr>
          <w:rFonts w:ascii="Georgia" w:hAnsi="Georgia"/>
          <w:sz w:val="21"/>
          <w:szCs w:val="22"/>
        </w:rPr>
        <w:t xml:space="preserve">The contracting authority of this public procurement contract is Enabel, the Belgian development agency, public-law Company with social purposes, with its registered office at Rue Haute 147, 1000 Brussels in Belgium (enterprise number 0264.814.354, RPM/RPR Brussels). </w:t>
      </w:r>
    </w:p>
    <w:p w14:paraId="24542B1F" w14:textId="77777777" w:rsidR="004F07DF" w:rsidRPr="005A3BE2" w:rsidRDefault="004F07DF" w:rsidP="004F07DF">
      <w:pPr>
        <w:pStyle w:val="BodyText"/>
        <w:rPr>
          <w:rFonts w:ascii="Georgia" w:eastAsia="Calibri" w:hAnsi="Georgia" w:cs="Times New Roman"/>
          <w:kern w:val="0"/>
          <w:sz w:val="21"/>
          <w:szCs w:val="22"/>
        </w:rPr>
      </w:pPr>
      <w:r w:rsidRPr="005A3BE2">
        <w:rPr>
          <w:rFonts w:ascii="Georgia" w:hAnsi="Georgia"/>
          <w:sz w:val="21"/>
          <w:szCs w:val="22"/>
        </w:rPr>
        <w:t>Enabel has the exclusive competence for the execution, in Belgium and abroad, of public service tasks of direct bilateral cooperation with the partner countries. Moreover, it may also perform other development cooperation tasks at the request of public interest organisations, and it can develop its own activities to contribute towards realisation of its objectives.</w:t>
      </w:r>
    </w:p>
    <w:p w14:paraId="4C070CF1" w14:textId="77777777" w:rsidR="004F07DF" w:rsidRPr="005A3BE2" w:rsidRDefault="004F07DF" w:rsidP="004F07DF">
      <w:pPr>
        <w:pStyle w:val="BodyText"/>
        <w:rPr>
          <w:rFonts w:ascii="Georgia" w:eastAsia="Calibri" w:hAnsi="Georgia" w:cs="Times New Roman"/>
          <w:kern w:val="0"/>
          <w:sz w:val="21"/>
          <w:szCs w:val="22"/>
        </w:rPr>
      </w:pPr>
      <w:r w:rsidRPr="005A3BE2">
        <w:rPr>
          <w:rFonts w:ascii="Georgia" w:hAnsi="Georgia"/>
          <w:sz w:val="21"/>
          <w:szCs w:val="22"/>
        </w:rPr>
        <w:t xml:space="preserve">For this procurement contract, Enabel is represented by </w:t>
      </w:r>
      <w:r w:rsidRPr="005A3BE2">
        <w:rPr>
          <w:rFonts w:ascii="Georgia" w:hAnsi="Georgia"/>
          <w:b/>
          <w:sz w:val="21"/>
          <w:szCs w:val="22"/>
        </w:rPr>
        <w:t>Mr. Dirk DEPREZ, Resident Representative of Enabel RWANDA</w:t>
      </w:r>
      <w:r w:rsidRPr="005A3BE2">
        <w:rPr>
          <w:rFonts w:ascii="Georgia" w:hAnsi="Georgia"/>
          <w:sz w:val="21"/>
          <w:szCs w:val="22"/>
        </w:rPr>
        <w:t xml:space="preserve"> who will sign the award letter and mandated to represent the company towards third parties.</w:t>
      </w:r>
    </w:p>
    <w:p w14:paraId="45885ABC" w14:textId="77777777" w:rsidR="004F07DF" w:rsidRPr="003658B5" w:rsidRDefault="004F07DF" w:rsidP="004F07DF">
      <w:pPr>
        <w:pStyle w:val="Heading2"/>
        <w:keepLines w:val="0"/>
        <w:widowControl w:val="0"/>
        <w:tabs>
          <w:tab w:val="num" w:pos="576"/>
        </w:tabs>
        <w:suppressAutoHyphens/>
        <w:spacing w:after="240"/>
      </w:pPr>
      <w:bookmarkStart w:id="6" w:name="_Toc257039813"/>
      <w:bookmarkStart w:id="7" w:name="_Toc366161146"/>
      <w:bookmarkStart w:id="8" w:name="_Toc117027453"/>
      <w:r w:rsidRPr="003658B5">
        <w:t>Institutional setting of</w:t>
      </w:r>
      <w:bookmarkEnd w:id="6"/>
      <w:bookmarkEnd w:id="7"/>
      <w:r w:rsidRPr="003658B5">
        <w:t xml:space="preserve"> Enabel</w:t>
      </w:r>
      <w:bookmarkEnd w:id="8"/>
    </w:p>
    <w:p w14:paraId="1B0DA854" w14:textId="77777777" w:rsidR="004F07DF" w:rsidRPr="00091337" w:rsidRDefault="004F07DF" w:rsidP="004F07DF">
      <w:pPr>
        <w:pStyle w:val="BTCtextCTB"/>
        <w:rPr>
          <w:rFonts w:ascii="Georgia" w:eastAsia="Calibri" w:hAnsi="Georgia"/>
          <w:sz w:val="21"/>
          <w:szCs w:val="22"/>
        </w:rPr>
      </w:pPr>
      <w:r w:rsidRPr="00091337">
        <w:rPr>
          <w:rFonts w:ascii="Georgia" w:hAnsi="Georgia"/>
          <w:sz w:val="21"/>
          <w:szCs w:val="22"/>
        </w:rPr>
        <w:t>The general framework of reference in which Enabel operates is:</w:t>
      </w:r>
    </w:p>
    <w:p w14:paraId="75FF63AC" w14:textId="77777777" w:rsidR="004F07DF" w:rsidRPr="00091337" w:rsidRDefault="004F07DF" w:rsidP="004F07DF">
      <w:pPr>
        <w:pStyle w:val="BTCtextCTB"/>
        <w:numPr>
          <w:ilvl w:val="0"/>
          <w:numId w:val="47"/>
        </w:numPr>
        <w:ind w:left="426"/>
        <w:rPr>
          <w:rFonts w:ascii="Georgia" w:eastAsia="Calibri" w:hAnsi="Georgia"/>
          <w:sz w:val="21"/>
          <w:szCs w:val="22"/>
        </w:rPr>
      </w:pPr>
      <w:r w:rsidRPr="00091337">
        <w:rPr>
          <w:rFonts w:ascii="Georgia" w:hAnsi="Georgia"/>
          <w:sz w:val="21"/>
          <w:szCs w:val="22"/>
        </w:rPr>
        <w:t>The Belgian Law on Development Cooperation of 19 March 2013</w:t>
      </w:r>
      <w:r w:rsidRPr="00091337">
        <w:rPr>
          <w:rFonts w:ascii="Georgia" w:eastAsia="Calibri" w:hAnsi="Georgia"/>
          <w:sz w:val="21"/>
          <w:szCs w:val="22"/>
          <w:vertAlign w:val="superscript"/>
        </w:rPr>
        <w:footnoteReference w:id="1"/>
      </w:r>
      <w:r w:rsidRPr="00091337">
        <w:rPr>
          <w:rFonts w:ascii="Georgia" w:hAnsi="Georgia"/>
          <w:sz w:val="21"/>
          <w:szCs w:val="22"/>
          <w:vertAlign w:val="superscript"/>
        </w:rPr>
        <w:t>;</w:t>
      </w:r>
    </w:p>
    <w:p w14:paraId="619FB06C" w14:textId="77777777" w:rsidR="004F07DF" w:rsidRPr="00091337" w:rsidRDefault="004F07DF" w:rsidP="004F07DF">
      <w:pPr>
        <w:pStyle w:val="BTCtextCTB"/>
        <w:numPr>
          <w:ilvl w:val="0"/>
          <w:numId w:val="47"/>
        </w:numPr>
        <w:ind w:left="426"/>
        <w:rPr>
          <w:rFonts w:ascii="Georgia" w:hAnsi="Georgia"/>
          <w:sz w:val="21"/>
          <w:szCs w:val="22"/>
        </w:rPr>
      </w:pPr>
      <w:r w:rsidRPr="00091337">
        <w:rPr>
          <w:rFonts w:ascii="Georgia" w:hAnsi="Georgia"/>
          <w:sz w:val="21"/>
          <w:szCs w:val="22"/>
        </w:rPr>
        <w:t>The Belgian Law of 21 December 1998 establishing the Belgian Technical Cooperation as a public-law company</w:t>
      </w:r>
      <w:r w:rsidRPr="00091337">
        <w:rPr>
          <w:rFonts w:ascii="Georgia" w:hAnsi="Georgia"/>
          <w:sz w:val="21"/>
          <w:szCs w:val="22"/>
        </w:rPr>
        <w:footnoteReference w:id="2"/>
      </w:r>
      <w:r w:rsidRPr="00091337">
        <w:rPr>
          <w:rFonts w:ascii="Georgia" w:hAnsi="Georgia"/>
          <w:sz w:val="21"/>
          <w:szCs w:val="22"/>
        </w:rPr>
        <w:t>;</w:t>
      </w:r>
    </w:p>
    <w:p w14:paraId="464011A6" w14:textId="77777777" w:rsidR="004F07DF" w:rsidRPr="00091337" w:rsidRDefault="004F07DF" w:rsidP="004F07DF">
      <w:pPr>
        <w:pStyle w:val="BTCtextCTB"/>
        <w:numPr>
          <w:ilvl w:val="0"/>
          <w:numId w:val="47"/>
        </w:numPr>
        <w:ind w:left="426"/>
        <w:rPr>
          <w:rFonts w:ascii="Georgia" w:eastAsia="Calibri" w:hAnsi="Georgia"/>
          <w:sz w:val="21"/>
          <w:szCs w:val="22"/>
        </w:rPr>
      </w:pPr>
      <w:r w:rsidRPr="00091337">
        <w:rPr>
          <w:rFonts w:ascii="Georgia" w:hAnsi="Georgia"/>
          <w:sz w:val="21"/>
          <w:szCs w:val="22"/>
        </w:rPr>
        <w:t xml:space="preserve">The Belgian Law of 23 November 2017 changing the name of the Belgian Technical Cooperation and defining the missions and functioning of Enabel, the Belgian development agency, published in the Belgian Official Gazette on 11 December 2017. </w:t>
      </w:r>
    </w:p>
    <w:p w14:paraId="22F1F528" w14:textId="77777777" w:rsidR="004F07DF" w:rsidRPr="00091337" w:rsidRDefault="004F07DF" w:rsidP="004F07DF">
      <w:pPr>
        <w:pStyle w:val="BodyText"/>
        <w:rPr>
          <w:rFonts w:ascii="Georgia" w:eastAsia="Calibri" w:hAnsi="Georgia" w:cs="Times New Roman"/>
          <w:kern w:val="0"/>
          <w:sz w:val="21"/>
          <w:szCs w:val="22"/>
        </w:rPr>
      </w:pPr>
      <w:r w:rsidRPr="00091337">
        <w:rPr>
          <w:rFonts w:ascii="Georgia" w:hAnsi="Georgia"/>
          <w:sz w:val="21"/>
          <w:szCs w:val="22"/>
        </w:rPr>
        <w:t>The following initiatives are also guiding Enabel in its operations: We mention as main examples:</w:t>
      </w:r>
    </w:p>
    <w:p w14:paraId="3756CFEE" w14:textId="77777777" w:rsidR="004F07DF" w:rsidRPr="00091337" w:rsidRDefault="004F07DF" w:rsidP="004F07DF">
      <w:pPr>
        <w:pStyle w:val="BTCbulletsCTB"/>
        <w:numPr>
          <w:ilvl w:val="0"/>
          <w:numId w:val="4"/>
        </w:numPr>
        <w:tabs>
          <w:tab w:val="left" w:pos="360"/>
        </w:tabs>
        <w:spacing w:after="120" w:line="288" w:lineRule="auto"/>
        <w:jc w:val="both"/>
        <w:rPr>
          <w:rFonts w:ascii="Georgia" w:eastAsia="Calibri" w:hAnsi="Georgia"/>
          <w:bCs w:val="0"/>
          <w:sz w:val="21"/>
          <w:szCs w:val="22"/>
        </w:rPr>
      </w:pPr>
      <w:r w:rsidRPr="00091337">
        <w:rPr>
          <w:rFonts w:ascii="Georgia" w:hAnsi="Georgia"/>
          <w:bCs w:val="0"/>
          <w:sz w:val="21"/>
          <w:szCs w:val="22"/>
        </w:rPr>
        <w:t xml:space="preserve">In the field of international cooperation: the United Nations Sustainable Development Goals and the Paris Declaration on the harmonisation and alignment of </w:t>
      </w:r>
      <w:proofErr w:type="gramStart"/>
      <w:r w:rsidRPr="00091337">
        <w:rPr>
          <w:rFonts w:ascii="Georgia" w:hAnsi="Georgia"/>
          <w:bCs w:val="0"/>
          <w:sz w:val="21"/>
          <w:szCs w:val="22"/>
        </w:rPr>
        <w:t>aid;</w:t>
      </w:r>
      <w:proofErr w:type="gramEnd"/>
      <w:r w:rsidRPr="00091337">
        <w:rPr>
          <w:rFonts w:ascii="Georgia" w:hAnsi="Georgia"/>
          <w:bCs w:val="0"/>
          <w:sz w:val="21"/>
          <w:szCs w:val="22"/>
        </w:rPr>
        <w:t xml:space="preserve"> </w:t>
      </w:r>
    </w:p>
    <w:p w14:paraId="1873B37B" w14:textId="77777777" w:rsidR="004F07DF" w:rsidRPr="00091337" w:rsidRDefault="004F07DF" w:rsidP="004F07DF">
      <w:pPr>
        <w:pStyle w:val="BTCbulletsCTB"/>
        <w:numPr>
          <w:ilvl w:val="0"/>
          <w:numId w:val="4"/>
        </w:numPr>
        <w:tabs>
          <w:tab w:val="left" w:pos="360"/>
        </w:tabs>
        <w:spacing w:after="120" w:line="288" w:lineRule="auto"/>
        <w:jc w:val="both"/>
        <w:rPr>
          <w:rFonts w:ascii="Georgia" w:eastAsia="Calibri" w:hAnsi="Georgia"/>
          <w:bCs w:val="0"/>
          <w:sz w:val="21"/>
          <w:szCs w:val="22"/>
        </w:rPr>
      </w:pPr>
      <w:r w:rsidRPr="00091337">
        <w:rPr>
          <w:rFonts w:ascii="Georgia" w:hAnsi="Georgia"/>
          <w:bCs w:val="0"/>
          <w:sz w:val="21"/>
          <w:szCs w:val="22"/>
        </w:rPr>
        <w:t>In the field of the fight against corruption: the Law of 8 May 2007 approving the United Nations Convention against Corruption, adopted in New York on 31 October 2003</w:t>
      </w:r>
      <w:r w:rsidRPr="00091337">
        <w:rPr>
          <w:rFonts w:ascii="Georgia" w:eastAsia="Calibri" w:hAnsi="Georgia"/>
          <w:bCs w:val="0"/>
          <w:sz w:val="21"/>
          <w:szCs w:val="22"/>
          <w:lang w:eastAsia="en-US"/>
        </w:rPr>
        <w:footnoteReference w:id="3"/>
      </w:r>
      <w:r w:rsidRPr="00091337">
        <w:rPr>
          <w:rFonts w:ascii="Georgia" w:hAnsi="Georgia"/>
          <w:bCs w:val="0"/>
          <w:sz w:val="21"/>
          <w:szCs w:val="22"/>
        </w:rPr>
        <w:t xml:space="preserve">, as well as the Law of 10 February 1999 on the Suppression of Corruption transposing the Convention on Combating Bribery of Foreign Public Officials in International Business </w:t>
      </w:r>
      <w:proofErr w:type="gramStart"/>
      <w:r w:rsidRPr="00091337">
        <w:rPr>
          <w:rFonts w:ascii="Georgia" w:hAnsi="Georgia"/>
          <w:bCs w:val="0"/>
          <w:sz w:val="21"/>
          <w:szCs w:val="22"/>
        </w:rPr>
        <w:t>Transactions;</w:t>
      </w:r>
      <w:proofErr w:type="gramEnd"/>
    </w:p>
    <w:p w14:paraId="29B93D3E" w14:textId="77777777" w:rsidR="004F07DF" w:rsidRPr="00091337" w:rsidRDefault="004F07DF" w:rsidP="004F07DF">
      <w:pPr>
        <w:pStyle w:val="BTCbulletsCTB"/>
        <w:numPr>
          <w:ilvl w:val="0"/>
          <w:numId w:val="4"/>
        </w:numPr>
        <w:tabs>
          <w:tab w:val="left" w:pos="360"/>
        </w:tabs>
        <w:spacing w:after="120" w:line="288" w:lineRule="auto"/>
        <w:jc w:val="both"/>
        <w:rPr>
          <w:rFonts w:ascii="Georgia" w:eastAsia="Calibri" w:hAnsi="Georgia"/>
          <w:bCs w:val="0"/>
          <w:sz w:val="21"/>
          <w:szCs w:val="22"/>
        </w:rPr>
      </w:pPr>
      <w:r w:rsidRPr="00091337">
        <w:rPr>
          <w:rFonts w:ascii="Georgia" w:hAnsi="Georgia"/>
          <w:bCs w:val="0"/>
          <w:sz w:val="21"/>
          <w:szCs w:val="22"/>
        </w:rPr>
        <w:t>In the field of Human Rights: the United Nations’ Universal Declaration of Human Rights (1948) as well as the 8 basic conventions of the International Labour Organisation</w:t>
      </w:r>
      <w:r w:rsidRPr="00091337">
        <w:rPr>
          <w:rFonts w:ascii="Georgia" w:eastAsia="Calibri" w:hAnsi="Georgia"/>
          <w:bCs w:val="0"/>
          <w:sz w:val="21"/>
          <w:szCs w:val="22"/>
          <w:lang w:eastAsia="en-US"/>
        </w:rPr>
        <w:footnoteReference w:id="4"/>
      </w:r>
      <w:r w:rsidRPr="00091337">
        <w:rPr>
          <w:rFonts w:ascii="Georgia" w:hAnsi="Georgia"/>
          <w:bCs w:val="0"/>
          <w:sz w:val="21"/>
          <w:szCs w:val="22"/>
        </w:rPr>
        <w:t xml:space="preserve"> on Freedom of Association (C. n°87), on the Right to Organise and </w:t>
      </w:r>
      <w:r w:rsidRPr="00091337">
        <w:rPr>
          <w:rFonts w:ascii="Georgia" w:hAnsi="Georgia"/>
          <w:bCs w:val="0"/>
          <w:sz w:val="21"/>
          <w:szCs w:val="22"/>
        </w:rPr>
        <w:lastRenderedPageBreak/>
        <w:t>Collective Bargaining (C. n°98), on Forced Labour (C. n°29 and 105), on Equal Remuneration and on Discrimination in Respect of Employment (C. n°100 and 111), on Minimum Age for Admission to Employment (C. n°138), on the Prohibition of the Worst Forms of Child Labour (C. n°182);</w:t>
      </w:r>
    </w:p>
    <w:p w14:paraId="426F38E8" w14:textId="77777777" w:rsidR="004F07DF" w:rsidRPr="00091337" w:rsidRDefault="004F07DF" w:rsidP="004F07DF">
      <w:pPr>
        <w:pStyle w:val="BTCbulletsCTB"/>
        <w:numPr>
          <w:ilvl w:val="0"/>
          <w:numId w:val="4"/>
        </w:numPr>
        <w:rPr>
          <w:rFonts w:ascii="Georgia" w:eastAsia="Calibri" w:hAnsi="Georgia"/>
          <w:bCs w:val="0"/>
          <w:sz w:val="21"/>
          <w:szCs w:val="22"/>
        </w:rPr>
      </w:pPr>
      <w:r w:rsidRPr="00091337">
        <w:rPr>
          <w:rFonts w:ascii="Georgia" w:hAnsi="Georgia"/>
          <w:bCs w:val="0"/>
          <w:sz w:val="21"/>
          <w:szCs w:val="22"/>
        </w:rPr>
        <w:t xml:space="preserve">In the field of environmental protection:  The Climate Change Framework Convention in Paris, 12 December </w:t>
      </w:r>
      <w:proofErr w:type="gramStart"/>
      <w:r w:rsidRPr="00091337">
        <w:rPr>
          <w:rFonts w:ascii="Georgia" w:hAnsi="Georgia"/>
          <w:bCs w:val="0"/>
          <w:sz w:val="21"/>
          <w:szCs w:val="22"/>
        </w:rPr>
        <w:t>2015;</w:t>
      </w:r>
      <w:proofErr w:type="gramEnd"/>
    </w:p>
    <w:p w14:paraId="3FE6FDC3" w14:textId="77777777" w:rsidR="004F07DF" w:rsidRPr="00091337" w:rsidRDefault="004F07DF" w:rsidP="004F07DF">
      <w:pPr>
        <w:pStyle w:val="BTCbulletsCTB"/>
        <w:rPr>
          <w:rFonts w:ascii="Georgia" w:eastAsia="Calibri" w:hAnsi="Georgia"/>
          <w:bCs w:val="0"/>
          <w:sz w:val="21"/>
          <w:szCs w:val="22"/>
          <w:lang w:eastAsia="en-US"/>
        </w:rPr>
      </w:pPr>
    </w:p>
    <w:p w14:paraId="1BA207BF" w14:textId="77777777" w:rsidR="004F07DF" w:rsidRPr="00091337" w:rsidRDefault="004F07DF" w:rsidP="004F07DF">
      <w:pPr>
        <w:pStyle w:val="BTCbulletsCTB"/>
        <w:numPr>
          <w:ilvl w:val="0"/>
          <w:numId w:val="4"/>
        </w:numPr>
        <w:jc w:val="both"/>
        <w:rPr>
          <w:rFonts w:ascii="Georgia" w:eastAsia="Calibri" w:hAnsi="Georgia"/>
          <w:bCs w:val="0"/>
          <w:sz w:val="21"/>
          <w:szCs w:val="22"/>
        </w:rPr>
      </w:pPr>
      <w:r w:rsidRPr="00091337">
        <w:rPr>
          <w:rFonts w:ascii="Georgia" w:hAnsi="Georgia"/>
          <w:bCs w:val="0"/>
          <w:sz w:val="21"/>
          <w:szCs w:val="22"/>
        </w:rPr>
        <w:t>The first Management Contract concluded between Enabel and the Belgian federal State (approved by the Royal Decree of 17.12.2017, Belgian Official Gazette 22.12.2017) that sets out the rules and the special conditions for the execution of public service tasks by Enabel on behalf of the Belgian State.</w:t>
      </w:r>
    </w:p>
    <w:p w14:paraId="320FDF10" w14:textId="77777777" w:rsidR="004F07DF" w:rsidRPr="00091337" w:rsidRDefault="004F07DF" w:rsidP="004F07DF">
      <w:pPr>
        <w:pStyle w:val="BTCbulletsCTB"/>
        <w:jc w:val="both"/>
        <w:rPr>
          <w:rFonts w:ascii="Georgia" w:eastAsia="Calibri" w:hAnsi="Georgia"/>
          <w:bCs w:val="0"/>
          <w:sz w:val="21"/>
          <w:szCs w:val="22"/>
        </w:rPr>
      </w:pPr>
    </w:p>
    <w:p w14:paraId="185F86A6" w14:textId="43424673" w:rsidR="004F07DF" w:rsidRPr="008A398C" w:rsidRDefault="004F07DF" w:rsidP="008A398C">
      <w:pPr>
        <w:pStyle w:val="BTCbulletsCTB"/>
        <w:numPr>
          <w:ilvl w:val="0"/>
          <w:numId w:val="4"/>
        </w:numPr>
        <w:jc w:val="both"/>
        <w:rPr>
          <w:rFonts w:ascii="Georgia" w:eastAsia="Calibri" w:hAnsi="Georgia"/>
          <w:bCs w:val="0"/>
          <w:sz w:val="21"/>
          <w:szCs w:val="22"/>
        </w:rPr>
      </w:pPr>
      <w:r w:rsidRPr="00091337">
        <w:rPr>
          <w:rFonts w:ascii="Georgia" w:eastAsia="Calibri" w:hAnsi="Georgia"/>
          <w:bCs w:val="0"/>
          <w:sz w:val="21"/>
          <w:szCs w:val="22"/>
        </w:rPr>
        <w:t xml:space="preserve">Enabel’s Code of Conduct of January 2019, Enabel’s Policy regarding sexual exploitation and abuse of June 2019 and Enabel’s Policy regarding fraud and corruption risk management of June </w:t>
      </w:r>
      <w:proofErr w:type="gramStart"/>
      <w:r w:rsidRPr="00091337">
        <w:rPr>
          <w:rFonts w:ascii="Georgia" w:eastAsia="Calibri" w:hAnsi="Georgia"/>
          <w:bCs w:val="0"/>
          <w:sz w:val="21"/>
          <w:szCs w:val="22"/>
        </w:rPr>
        <w:t>2019;</w:t>
      </w:r>
      <w:proofErr w:type="gramEnd"/>
      <w:r w:rsidRPr="00091337">
        <w:rPr>
          <w:rFonts w:ascii="Georgia" w:eastAsia="Calibri" w:hAnsi="Georgia"/>
          <w:bCs w:val="0"/>
          <w:sz w:val="21"/>
          <w:szCs w:val="22"/>
        </w:rPr>
        <w:t xml:space="preserve">  </w:t>
      </w:r>
    </w:p>
    <w:p w14:paraId="23BD3C2A" w14:textId="77777777" w:rsidR="004F07DF" w:rsidRPr="003658B5" w:rsidRDefault="004F07DF" w:rsidP="004F07DF">
      <w:pPr>
        <w:pStyle w:val="Heading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17027454"/>
      <w:r w:rsidRPr="003658B5">
        <w:t>Rules governing the procurement contract</w:t>
      </w:r>
      <w:bookmarkEnd w:id="9"/>
      <w:bookmarkEnd w:id="10"/>
      <w:bookmarkEnd w:id="11"/>
      <w:bookmarkEnd w:id="12"/>
      <w:bookmarkEnd w:id="13"/>
      <w:bookmarkEnd w:id="14"/>
      <w:bookmarkEnd w:id="15"/>
    </w:p>
    <w:p w14:paraId="2DB9D107" w14:textId="77777777" w:rsidR="004F07DF" w:rsidRPr="00091337" w:rsidRDefault="004F07DF" w:rsidP="004F07DF">
      <w:pPr>
        <w:pStyle w:val="BTCbulletsCTB"/>
        <w:tabs>
          <w:tab w:val="left" w:pos="360"/>
        </w:tabs>
        <w:spacing w:after="120" w:line="288" w:lineRule="auto"/>
        <w:jc w:val="both"/>
        <w:rPr>
          <w:rFonts w:ascii="Georgia" w:eastAsia="Calibri" w:hAnsi="Georgia"/>
          <w:bCs w:val="0"/>
          <w:sz w:val="21"/>
          <w:szCs w:val="22"/>
        </w:rPr>
      </w:pPr>
      <w:r w:rsidRPr="00091337">
        <w:rPr>
          <w:rFonts w:ascii="Georgia" w:hAnsi="Georgia"/>
          <w:bCs w:val="0"/>
          <w:sz w:val="21"/>
          <w:szCs w:val="22"/>
        </w:rPr>
        <w:t>The following, among other things, applies to this public procurement contract:</w:t>
      </w:r>
    </w:p>
    <w:p w14:paraId="4C94D51B" w14:textId="77777777" w:rsidR="004F07DF" w:rsidRPr="00091337" w:rsidRDefault="004F07DF" w:rsidP="004F07DF">
      <w:pPr>
        <w:pStyle w:val="BTCbulletsCTB"/>
        <w:numPr>
          <w:ilvl w:val="0"/>
          <w:numId w:val="4"/>
        </w:numPr>
        <w:tabs>
          <w:tab w:val="left" w:pos="360"/>
        </w:tabs>
        <w:spacing w:after="120" w:line="288" w:lineRule="auto"/>
        <w:jc w:val="both"/>
        <w:rPr>
          <w:rFonts w:ascii="Georgia" w:eastAsia="Calibri" w:hAnsi="Georgia"/>
          <w:bCs w:val="0"/>
          <w:sz w:val="21"/>
          <w:szCs w:val="22"/>
        </w:rPr>
      </w:pPr>
      <w:r w:rsidRPr="00091337">
        <w:rPr>
          <w:rFonts w:ascii="Georgia" w:hAnsi="Georgia"/>
          <w:bCs w:val="0"/>
          <w:sz w:val="21"/>
          <w:szCs w:val="22"/>
        </w:rPr>
        <w:t>The Law of 17 June 2016 on public procurement contracts</w:t>
      </w:r>
      <w:r w:rsidRPr="00091337">
        <w:rPr>
          <w:rFonts w:ascii="Georgia" w:eastAsia="Calibri" w:hAnsi="Georgia"/>
          <w:bCs w:val="0"/>
          <w:sz w:val="21"/>
          <w:szCs w:val="22"/>
          <w:vertAlign w:val="superscript"/>
          <w:lang w:eastAsia="en-US"/>
        </w:rPr>
        <w:footnoteReference w:id="5"/>
      </w:r>
      <w:r w:rsidRPr="00091337">
        <w:rPr>
          <w:rFonts w:ascii="Georgia" w:hAnsi="Georgia"/>
          <w:bCs w:val="0"/>
          <w:sz w:val="21"/>
          <w:szCs w:val="22"/>
        </w:rPr>
        <w:t>;</w:t>
      </w:r>
    </w:p>
    <w:p w14:paraId="04C0454E" w14:textId="77777777" w:rsidR="004F07DF" w:rsidRPr="00091337" w:rsidRDefault="004F07DF" w:rsidP="004F07DF">
      <w:pPr>
        <w:pStyle w:val="BTCbulletsCTB"/>
        <w:numPr>
          <w:ilvl w:val="0"/>
          <w:numId w:val="4"/>
        </w:numPr>
        <w:tabs>
          <w:tab w:val="left" w:pos="360"/>
        </w:tabs>
        <w:spacing w:after="120" w:line="288" w:lineRule="auto"/>
        <w:jc w:val="both"/>
        <w:rPr>
          <w:rFonts w:ascii="Georgia" w:eastAsia="Calibri" w:hAnsi="Georgia"/>
          <w:bCs w:val="0"/>
          <w:sz w:val="21"/>
          <w:szCs w:val="22"/>
        </w:rPr>
      </w:pPr>
      <w:r w:rsidRPr="00091337">
        <w:rPr>
          <w:rFonts w:ascii="Georgia" w:hAnsi="Georgia"/>
          <w:bCs w:val="0"/>
          <w:sz w:val="21"/>
          <w:szCs w:val="22"/>
        </w:rPr>
        <w:t>The Law of 17 June 2013 on justifications, notification and legal remedies for public procurement contracts and certain procurement contracts for works, supplies and services</w:t>
      </w:r>
      <w:r w:rsidRPr="00091337">
        <w:rPr>
          <w:rFonts w:ascii="Georgia" w:eastAsia="Calibri" w:hAnsi="Georgia"/>
          <w:bCs w:val="0"/>
          <w:sz w:val="21"/>
          <w:szCs w:val="22"/>
          <w:vertAlign w:val="superscript"/>
          <w:lang w:eastAsia="en-US"/>
        </w:rPr>
        <w:footnoteReference w:id="6"/>
      </w:r>
      <w:r w:rsidRPr="00091337">
        <w:rPr>
          <w:rFonts w:ascii="Georgia" w:hAnsi="Georgia"/>
          <w:bCs w:val="0"/>
          <w:sz w:val="21"/>
          <w:szCs w:val="22"/>
        </w:rPr>
        <w:t>;</w:t>
      </w:r>
    </w:p>
    <w:p w14:paraId="5F2F624E" w14:textId="77777777" w:rsidR="004F07DF" w:rsidRPr="00091337" w:rsidRDefault="004F07DF" w:rsidP="004F07DF">
      <w:pPr>
        <w:pStyle w:val="BTCbulletsCTB"/>
        <w:numPr>
          <w:ilvl w:val="0"/>
          <w:numId w:val="4"/>
        </w:numPr>
        <w:tabs>
          <w:tab w:val="left" w:pos="360"/>
        </w:tabs>
        <w:spacing w:after="120" w:line="288" w:lineRule="auto"/>
        <w:jc w:val="both"/>
        <w:rPr>
          <w:rFonts w:ascii="Georgia" w:eastAsia="Calibri" w:hAnsi="Georgia"/>
          <w:bCs w:val="0"/>
          <w:sz w:val="21"/>
          <w:szCs w:val="22"/>
        </w:rPr>
      </w:pPr>
      <w:r w:rsidRPr="00091337">
        <w:rPr>
          <w:rFonts w:ascii="Georgia" w:hAnsi="Georgia"/>
          <w:bCs w:val="0"/>
          <w:sz w:val="21"/>
          <w:szCs w:val="22"/>
        </w:rPr>
        <w:t>The Royal Decree of 18 April 2017 on the award of public procurement contracts in the classic sectors</w:t>
      </w:r>
      <w:r w:rsidRPr="00091337">
        <w:rPr>
          <w:rFonts w:ascii="Georgia" w:eastAsia="Calibri" w:hAnsi="Georgia"/>
          <w:bCs w:val="0"/>
          <w:sz w:val="21"/>
          <w:szCs w:val="22"/>
          <w:vertAlign w:val="superscript"/>
          <w:lang w:eastAsia="en-US"/>
        </w:rPr>
        <w:footnoteReference w:id="7"/>
      </w:r>
      <w:r w:rsidRPr="00091337">
        <w:rPr>
          <w:rFonts w:ascii="Georgia" w:hAnsi="Georgia"/>
          <w:bCs w:val="0"/>
          <w:sz w:val="21"/>
          <w:szCs w:val="22"/>
        </w:rPr>
        <w:t>;</w:t>
      </w:r>
    </w:p>
    <w:p w14:paraId="37DB212E" w14:textId="77777777" w:rsidR="004F07DF" w:rsidRPr="00091337" w:rsidRDefault="004F07DF" w:rsidP="004F07DF">
      <w:pPr>
        <w:pStyle w:val="BTCbulletsCTB"/>
        <w:numPr>
          <w:ilvl w:val="0"/>
          <w:numId w:val="4"/>
        </w:numPr>
        <w:tabs>
          <w:tab w:val="left" w:pos="360"/>
        </w:tabs>
        <w:spacing w:after="120" w:line="288" w:lineRule="auto"/>
        <w:jc w:val="both"/>
        <w:rPr>
          <w:rFonts w:ascii="Georgia" w:eastAsia="Calibri" w:hAnsi="Georgia"/>
          <w:bCs w:val="0"/>
          <w:sz w:val="21"/>
          <w:szCs w:val="22"/>
        </w:rPr>
      </w:pPr>
      <w:r w:rsidRPr="00091337">
        <w:rPr>
          <w:rFonts w:ascii="Georgia" w:hAnsi="Georgia"/>
          <w:bCs w:val="0"/>
          <w:sz w:val="21"/>
          <w:szCs w:val="22"/>
        </w:rPr>
        <w:t>Royal Decree of 14 January 2013 establishing the General Implementing Rules for public procurement contracts and for concessions for public works</w:t>
      </w:r>
      <w:r w:rsidRPr="00091337">
        <w:rPr>
          <w:rFonts w:ascii="Georgia" w:eastAsia="Calibri" w:hAnsi="Georgia"/>
          <w:bCs w:val="0"/>
          <w:sz w:val="21"/>
          <w:szCs w:val="22"/>
          <w:lang w:eastAsia="en-US"/>
        </w:rPr>
        <w:footnoteReference w:id="8"/>
      </w:r>
      <w:r w:rsidRPr="00091337">
        <w:rPr>
          <w:rFonts w:ascii="Georgia" w:hAnsi="Georgia"/>
          <w:bCs w:val="0"/>
          <w:sz w:val="21"/>
          <w:szCs w:val="22"/>
        </w:rPr>
        <w:t>;</w:t>
      </w:r>
    </w:p>
    <w:p w14:paraId="6C94A931" w14:textId="77777777" w:rsidR="004F07DF" w:rsidRPr="00091337" w:rsidRDefault="004F07DF" w:rsidP="004F07DF">
      <w:pPr>
        <w:pStyle w:val="BTCbulletsCTB"/>
        <w:numPr>
          <w:ilvl w:val="0"/>
          <w:numId w:val="4"/>
        </w:numPr>
        <w:tabs>
          <w:tab w:val="left" w:pos="360"/>
        </w:tabs>
        <w:spacing w:after="120" w:line="288" w:lineRule="auto"/>
        <w:jc w:val="both"/>
        <w:rPr>
          <w:rFonts w:ascii="Georgia" w:eastAsia="Calibri" w:hAnsi="Georgia"/>
          <w:bCs w:val="0"/>
          <w:sz w:val="21"/>
          <w:szCs w:val="22"/>
        </w:rPr>
      </w:pPr>
      <w:r w:rsidRPr="00091337">
        <w:rPr>
          <w:rFonts w:ascii="Georgia" w:hAnsi="Georgia"/>
          <w:bCs w:val="0"/>
          <w:sz w:val="21"/>
          <w:szCs w:val="22"/>
        </w:rPr>
        <w:t>Circulars of the Prime Minister with regards to public procurement contracts.</w:t>
      </w:r>
    </w:p>
    <w:p w14:paraId="1E2BA195" w14:textId="77777777" w:rsidR="004F07DF" w:rsidRPr="00091337" w:rsidRDefault="004F07DF" w:rsidP="004F07DF">
      <w:pPr>
        <w:pStyle w:val="BTCbulletsCTB"/>
        <w:numPr>
          <w:ilvl w:val="0"/>
          <w:numId w:val="4"/>
        </w:numPr>
        <w:spacing w:after="120" w:line="288" w:lineRule="auto"/>
        <w:jc w:val="both"/>
        <w:rPr>
          <w:rFonts w:ascii="Georgia" w:eastAsia="Georgia" w:hAnsi="Georgia" w:cs="Georgia"/>
          <w:sz w:val="21"/>
          <w:szCs w:val="21"/>
        </w:rPr>
      </w:pPr>
      <w:proofErr w:type="gramStart"/>
      <w:r w:rsidRPr="00091337">
        <w:rPr>
          <w:rFonts w:ascii="Georgia" w:hAnsi="Georgia"/>
          <w:sz w:val="21"/>
          <w:szCs w:val="21"/>
        </w:rPr>
        <w:t>Enabel‘</w:t>
      </w:r>
      <w:proofErr w:type="gramEnd"/>
      <w:r w:rsidRPr="00091337">
        <w:rPr>
          <w:rFonts w:ascii="Georgia" w:hAnsi="Georgia"/>
          <w:sz w:val="21"/>
          <w:szCs w:val="21"/>
        </w:rPr>
        <w:t>s Policy regarding sexual exploitation and abuse – June 2019;</w:t>
      </w:r>
    </w:p>
    <w:p w14:paraId="0AE29072" w14:textId="77777777" w:rsidR="004F07DF" w:rsidRPr="0099406E" w:rsidRDefault="004F07DF" w:rsidP="004F07DF">
      <w:pPr>
        <w:pStyle w:val="ListParagraph"/>
        <w:numPr>
          <w:ilvl w:val="0"/>
          <w:numId w:val="4"/>
        </w:numPr>
        <w:rPr>
          <w:rFonts w:eastAsia="Georgia" w:cs="Georgia"/>
          <w:color w:val="auto"/>
          <w:szCs w:val="21"/>
        </w:rPr>
      </w:pPr>
      <w:r w:rsidRPr="0099406E">
        <w:rPr>
          <w:color w:val="auto"/>
        </w:rPr>
        <w:t xml:space="preserve">Enabel’s Policy regarding fraud and corruption risk management – June </w:t>
      </w:r>
      <w:proofErr w:type="gramStart"/>
      <w:r w:rsidRPr="0099406E">
        <w:rPr>
          <w:color w:val="auto"/>
        </w:rPr>
        <w:t>2019;</w:t>
      </w:r>
      <w:proofErr w:type="gramEnd"/>
    </w:p>
    <w:p w14:paraId="30CC2B8C" w14:textId="77777777" w:rsidR="004F07DF" w:rsidRPr="0099406E" w:rsidRDefault="004F07DF" w:rsidP="004F07DF">
      <w:pPr>
        <w:pStyle w:val="ListParagraph"/>
        <w:numPr>
          <w:ilvl w:val="0"/>
          <w:numId w:val="4"/>
        </w:numPr>
        <w:rPr>
          <w:rFonts w:eastAsia="Georgia" w:cs="Georgia"/>
          <w:color w:val="auto"/>
          <w:szCs w:val="21"/>
        </w:rPr>
      </w:pPr>
      <w:r w:rsidRPr="0099406E">
        <w:rPr>
          <w:color w:val="auto"/>
        </w:rPr>
        <w:t>legislation with regards to sexual harassment at the workplace or equivalent]</w:t>
      </w:r>
    </w:p>
    <w:p w14:paraId="23AF744D" w14:textId="128E2014" w:rsidR="004F07DF" w:rsidRPr="00091337" w:rsidRDefault="004F07DF" w:rsidP="004F07DF">
      <w:pPr>
        <w:pStyle w:val="ListParagraph"/>
        <w:numPr>
          <w:ilvl w:val="0"/>
          <w:numId w:val="4"/>
        </w:numPr>
        <w:spacing w:line="259" w:lineRule="auto"/>
        <w:rPr>
          <w:color w:val="auto"/>
          <w:lang w:val="en-US"/>
        </w:rPr>
      </w:pPr>
      <w:r w:rsidRPr="00091337">
        <w:rPr>
          <w:color w:val="auto"/>
          <w:lang w:val="en-US"/>
        </w:rPr>
        <w:t xml:space="preserve">Regulation (EU) 2016/679 of the European Parliament and of the Council of 27 April 2016 on the protection of natural persons </w:t>
      </w:r>
      <w:proofErr w:type="gramStart"/>
      <w:r w:rsidRPr="00091337">
        <w:rPr>
          <w:color w:val="auto"/>
          <w:lang w:val="en-US"/>
        </w:rPr>
        <w:t>with regard to</w:t>
      </w:r>
      <w:proofErr w:type="gramEnd"/>
      <w:r w:rsidRPr="00091337">
        <w:rPr>
          <w:color w:val="auto"/>
          <w:lang w:val="en-US"/>
        </w:rPr>
        <w:t xml:space="preserve"> the processing of personal data and on the free movement of such data (General Data Protection Regulation – ‘GDPR’), and repealing Directive 95/46/EC.</w:t>
      </w:r>
    </w:p>
    <w:p w14:paraId="1D0D6AAB" w14:textId="77777777" w:rsidR="004F07DF" w:rsidRPr="00091337" w:rsidRDefault="004F07DF" w:rsidP="004F07DF">
      <w:pPr>
        <w:pStyle w:val="ListParagraph"/>
        <w:numPr>
          <w:ilvl w:val="0"/>
          <w:numId w:val="4"/>
        </w:numPr>
        <w:spacing w:line="259" w:lineRule="auto"/>
        <w:rPr>
          <w:color w:val="auto"/>
          <w:lang w:val="en-US"/>
        </w:rPr>
      </w:pPr>
      <w:r w:rsidRPr="00091337">
        <w:rPr>
          <w:color w:val="auto"/>
          <w:lang w:val="en-US"/>
        </w:rPr>
        <w:t>Law of 30 July 2018 on the protection of natural persons with regard to the processing of personal data</w:t>
      </w:r>
      <w:proofErr w:type="gramStart"/>
      <w:r w:rsidRPr="00091337">
        <w:rPr>
          <w:color w:val="auto"/>
          <w:lang w:val="en-US"/>
        </w:rPr>
        <w:t>. ;</w:t>
      </w:r>
      <w:proofErr w:type="gramEnd"/>
    </w:p>
    <w:p w14:paraId="26C1DA8B" w14:textId="77777777" w:rsidR="004F07DF" w:rsidRDefault="004F07DF" w:rsidP="004F07DF">
      <w:pPr>
        <w:ind w:left="720"/>
        <w:rPr>
          <w:color w:val="auto"/>
        </w:rPr>
      </w:pPr>
      <w:r w:rsidRPr="00091337">
        <w:rPr>
          <w:color w:val="auto"/>
        </w:rPr>
        <w:t xml:space="preserve">All Belgian regulations on public contracts can be consulted on </w:t>
      </w:r>
      <w:hyperlink r:id="rId17" w:history="1">
        <w:r w:rsidRPr="0032242C">
          <w:rPr>
            <w:rStyle w:val="Hyperlink"/>
          </w:rPr>
          <w:t>www.publicprocurement.be</w:t>
        </w:r>
      </w:hyperlink>
      <w:r>
        <w:rPr>
          <w:color w:val="auto"/>
        </w:rPr>
        <w:t xml:space="preserve"> </w:t>
      </w:r>
      <w:r w:rsidRPr="00091337">
        <w:rPr>
          <w:color w:val="auto"/>
        </w:rPr>
        <w:t xml:space="preserve">; </w:t>
      </w:r>
    </w:p>
    <w:p w14:paraId="75E9D7B7" w14:textId="77777777" w:rsidR="004F07DF" w:rsidRPr="00091337" w:rsidRDefault="004F07DF" w:rsidP="004F07DF">
      <w:pPr>
        <w:ind w:left="720"/>
        <w:rPr>
          <w:color w:val="auto"/>
        </w:rPr>
      </w:pPr>
      <w:r w:rsidRPr="00091337">
        <w:rPr>
          <w:color w:val="auto"/>
        </w:rPr>
        <w:t>Enabel’s Code of Conduct and the policies mentioned above can be consulted on Enabel’s website via https://www.enabel.be/content/integrity-desk.</w:t>
      </w:r>
    </w:p>
    <w:p w14:paraId="270583CA" w14:textId="77777777" w:rsidR="004F07DF" w:rsidRPr="003658B5" w:rsidRDefault="004F07DF" w:rsidP="004F07DF">
      <w:pPr>
        <w:pStyle w:val="Heading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17027455"/>
      <w:r w:rsidRPr="003658B5">
        <w:lastRenderedPageBreak/>
        <w:t>Definitions</w:t>
      </w:r>
      <w:bookmarkEnd w:id="16"/>
      <w:bookmarkEnd w:id="17"/>
      <w:bookmarkEnd w:id="18"/>
      <w:bookmarkEnd w:id="19"/>
      <w:bookmarkEnd w:id="20"/>
    </w:p>
    <w:p w14:paraId="199D9D0C" w14:textId="77777777" w:rsidR="004F07DF" w:rsidRPr="00091337" w:rsidRDefault="004F07DF" w:rsidP="004F07DF">
      <w:pPr>
        <w:pStyle w:val="BodyText"/>
        <w:rPr>
          <w:rFonts w:ascii="Georgia" w:eastAsia="Calibri" w:hAnsi="Georgia" w:cs="Times New Roman"/>
          <w:kern w:val="0"/>
          <w:sz w:val="21"/>
          <w:szCs w:val="22"/>
        </w:rPr>
      </w:pPr>
      <w:r w:rsidRPr="00091337">
        <w:rPr>
          <w:rFonts w:ascii="Georgia" w:hAnsi="Georgia"/>
          <w:sz w:val="21"/>
          <w:szCs w:val="22"/>
        </w:rPr>
        <w:t>The following definitions apply to this procurement contract:</w:t>
      </w:r>
    </w:p>
    <w:p w14:paraId="4E9EA5D5"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The tenderer</w:t>
      </w:r>
      <w:r w:rsidRPr="00091337">
        <w:rPr>
          <w:rFonts w:ascii="Georgia" w:hAnsi="Georgia"/>
          <w:bCs w:val="0"/>
          <w:sz w:val="21"/>
          <w:szCs w:val="22"/>
        </w:rPr>
        <w:t xml:space="preserve">: An economic operator submitting a </w:t>
      </w:r>
      <w:proofErr w:type="gramStart"/>
      <w:r w:rsidRPr="00091337">
        <w:rPr>
          <w:rFonts w:ascii="Georgia" w:hAnsi="Georgia"/>
          <w:bCs w:val="0"/>
          <w:sz w:val="21"/>
          <w:szCs w:val="22"/>
        </w:rPr>
        <w:t>tender;</w:t>
      </w:r>
      <w:proofErr w:type="gramEnd"/>
    </w:p>
    <w:p w14:paraId="374CB95E"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The contractor/ service provider</w:t>
      </w:r>
      <w:r w:rsidRPr="00091337">
        <w:rPr>
          <w:rFonts w:ascii="Georgia" w:hAnsi="Georgia"/>
          <w:bCs w:val="0"/>
          <w:sz w:val="21"/>
          <w:szCs w:val="22"/>
        </w:rPr>
        <w:t xml:space="preserve">: The tenderer to whom the procurement contract is </w:t>
      </w:r>
      <w:proofErr w:type="gramStart"/>
      <w:r w:rsidRPr="00091337">
        <w:rPr>
          <w:rFonts w:ascii="Georgia" w:hAnsi="Georgia"/>
          <w:bCs w:val="0"/>
          <w:sz w:val="21"/>
          <w:szCs w:val="22"/>
        </w:rPr>
        <w:t>awarded;</w:t>
      </w:r>
      <w:proofErr w:type="gramEnd"/>
    </w:p>
    <w:p w14:paraId="15700E96"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The contracting authority</w:t>
      </w:r>
      <w:r w:rsidRPr="00091337">
        <w:rPr>
          <w:rFonts w:ascii="Georgia" w:hAnsi="Georgia"/>
          <w:bCs w:val="0"/>
          <w:sz w:val="21"/>
          <w:szCs w:val="22"/>
        </w:rPr>
        <w:t xml:space="preserve">: </w:t>
      </w:r>
      <w:r w:rsidRPr="00091337">
        <w:rPr>
          <w:rFonts w:ascii="Georgia" w:hAnsi="Georgia"/>
          <w:sz w:val="21"/>
          <w:szCs w:val="22"/>
        </w:rPr>
        <w:t xml:space="preserve">Enabel, represented by the Resident Representative of Enabel in </w:t>
      </w:r>
      <w:proofErr w:type="gramStart"/>
      <w:r w:rsidRPr="00091337">
        <w:rPr>
          <w:rFonts w:ascii="Georgia" w:hAnsi="Georgia"/>
          <w:sz w:val="21"/>
          <w:szCs w:val="22"/>
        </w:rPr>
        <w:t>RWANDA;</w:t>
      </w:r>
      <w:proofErr w:type="gramEnd"/>
    </w:p>
    <w:p w14:paraId="06EC5641"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The tender</w:t>
      </w:r>
      <w:r w:rsidRPr="00091337">
        <w:rPr>
          <w:rFonts w:ascii="Georgia" w:hAnsi="Georgia"/>
          <w:bCs w:val="0"/>
          <w:sz w:val="21"/>
          <w:szCs w:val="22"/>
        </w:rPr>
        <w:t xml:space="preserve">: Commitment of the tenderer to perform the procurement contract under the conditions that he has </w:t>
      </w:r>
      <w:proofErr w:type="gramStart"/>
      <w:r w:rsidRPr="00091337">
        <w:rPr>
          <w:rFonts w:ascii="Georgia" w:hAnsi="Georgia"/>
          <w:bCs w:val="0"/>
          <w:sz w:val="21"/>
          <w:szCs w:val="22"/>
        </w:rPr>
        <w:t>submitted;</w:t>
      </w:r>
      <w:proofErr w:type="gramEnd"/>
    </w:p>
    <w:p w14:paraId="33B5B336"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Days</w:t>
      </w:r>
      <w:r w:rsidRPr="00091337">
        <w:rPr>
          <w:rFonts w:ascii="Georgia" w:hAnsi="Georgia"/>
          <w:bCs w:val="0"/>
          <w:sz w:val="21"/>
          <w:szCs w:val="22"/>
        </w:rPr>
        <w:t xml:space="preserve">: In the absence of any indication in this regard in the Tender Specifications and the applicable regulations, all days should be interpreted as calendar </w:t>
      </w:r>
      <w:proofErr w:type="gramStart"/>
      <w:r w:rsidRPr="00091337">
        <w:rPr>
          <w:rFonts w:ascii="Georgia" w:hAnsi="Georgia"/>
          <w:bCs w:val="0"/>
          <w:sz w:val="21"/>
          <w:szCs w:val="22"/>
        </w:rPr>
        <w:t>days;</w:t>
      </w:r>
      <w:proofErr w:type="gramEnd"/>
    </w:p>
    <w:p w14:paraId="5CA8EFEA"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Procurement documents</w:t>
      </w:r>
      <w:r w:rsidRPr="00091337">
        <w:rPr>
          <w:rFonts w:ascii="Georgia" w:hAnsi="Georgia"/>
          <w:bCs w:val="0"/>
          <w:sz w:val="21"/>
          <w:szCs w:val="22"/>
        </w:rPr>
        <w:t xml:space="preserve">: Tender Specifications including the annexes and the documents they refer </w:t>
      </w:r>
      <w:proofErr w:type="gramStart"/>
      <w:r w:rsidRPr="00091337">
        <w:rPr>
          <w:rFonts w:ascii="Georgia" w:hAnsi="Georgia"/>
          <w:bCs w:val="0"/>
          <w:sz w:val="21"/>
          <w:szCs w:val="22"/>
        </w:rPr>
        <w:t>to;</w:t>
      </w:r>
      <w:proofErr w:type="gramEnd"/>
    </w:p>
    <w:p w14:paraId="5808C0EB"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Technical specifications</w:t>
      </w:r>
      <w:r w:rsidRPr="00091337">
        <w:rPr>
          <w:rFonts w:ascii="Georgia" w:hAnsi="Georgia"/>
          <w:bCs w:val="0"/>
          <w:sz w:val="21"/>
          <w:szCs w:val="22"/>
        </w:rPr>
        <w:t>: A specification in a document defining the characteristics of a product or a service, such as the quality levels, the environmental and climate performance levels, the design for all needs, including accessibility for people with disabilities, and the evaluation of conformity, of product performance, of the use of the product, safety or dimensions, as well as requirements applicable to the product as regards the name by which it is sold, terminology, symbols, testing and test methods, packaging, marking or labelling, instructions for use, the production processes and methods at every stage in the life cycle of the supply or service, as well as the evaluation and conformity procedures;</w:t>
      </w:r>
    </w:p>
    <w:p w14:paraId="62DDDA33"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Variant</w:t>
      </w:r>
      <w:r w:rsidRPr="00091337">
        <w:rPr>
          <w:rFonts w:ascii="Georgia" w:hAnsi="Georgia"/>
          <w:bCs w:val="0"/>
          <w:sz w:val="21"/>
          <w:szCs w:val="22"/>
        </w:rPr>
        <w:t xml:space="preserve">: An alternative method for the design or the performance that is introduced either at the demand of the contracting authority, or at the initiative of the </w:t>
      </w:r>
      <w:proofErr w:type="gramStart"/>
      <w:r w:rsidRPr="00091337">
        <w:rPr>
          <w:rFonts w:ascii="Georgia" w:hAnsi="Georgia"/>
          <w:bCs w:val="0"/>
          <w:sz w:val="21"/>
          <w:szCs w:val="22"/>
        </w:rPr>
        <w:t>tenderer;</w:t>
      </w:r>
      <w:proofErr w:type="gramEnd"/>
    </w:p>
    <w:p w14:paraId="7408C6C4"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u w:val="single"/>
        </w:rPr>
      </w:pPr>
      <w:r w:rsidRPr="00091337">
        <w:rPr>
          <w:rFonts w:ascii="Georgia" w:hAnsi="Georgia"/>
          <w:bCs w:val="0"/>
          <w:sz w:val="21"/>
          <w:szCs w:val="22"/>
          <w:u w:val="single"/>
        </w:rPr>
        <w:t>Option</w:t>
      </w:r>
      <w:r w:rsidRPr="00091337">
        <w:rPr>
          <w:rFonts w:ascii="Georgia" w:hAnsi="Georgia"/>
          <w:bCs w:val="0"/>
          <w:sz w:val="21"/>
          <w:szCs w:val="22"/>
        </w:rPr>
        <w:t xml:space="preserve">: A minor and not strictly necessary element for the performance of the procurement contract, </w:t>
      </w:r>
      <w:r w:rsidRPr="00091337">
        <w:rPr>
          <w:rFonts w:ascii="Georgia" w:hAnsi="Georgia"/>
          <w:bCs w:val="0"/>
          <w:sz w:val="21"/>
          <w:szCs w:val="22"/>
          <w:u w:val="single"/>
        </w:rPr>
        <w:t xml:space="preserve">which is introduced either at the demand of the contracting authority, or at the initiative of the </w:t>
      </w:r>
      <w:proofErr w:type="gramStart"/>
      <w:r w:rsidRPr="00091337">
        <w:rPr>
          <w:rFonts w:ascii="Georgia" w:hAnsi="Georgia"/>
          <w:bCs w:val="0"/>
          <w:sz w:val="21"/>
          <w:szCs w:val="22"/>
          <w:u w:val="single"/>
        </w:rPr>
        <w:t>tenderer</w:t>
      </w:r>
      <w:r w:rsidRPr="00091337">
        <w:rPr>
          <w:rFonts w:ascii="Georgia" w:hAnsi="Georgia"/>
          <w:bCs w:val="0"/>
          <w:sz w:val="21"/>
          <w:szCs w:val="22"/>
        </w:rPr>
        <w:t>;</w:t>
      </w:r>
      <w:proofErr w:type="gramEnd"/>
    </w:p>
    <w:p w14:paraId="0FBE5128"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Inventory</w:t>
      </w:r>
      <w:r w:rsidRPr="00091337">
        <w:rPr>
          <w:rFonts w:ascii="Georgia" w:hAnsi="Georgia"/>
          <w:bCs w:val="0"/>
          <w:sz w:val="21"/>
          <w:szCs w:val="22"/>
        </w:rPr>
        <w:t xml:space="preserve">: The procurement document which splits up the performance in different items and specifies the quantity or the method to determine the price for each of </w:t>
      </w:r>
      <w:proofErr w:type="gramStart"/>
      <w:r w:rsidRPr="00091337">
        <w:rPr>
          <w:rFonts w:ascii="Georgia" w:hAnsi="Georgia"/>
          <w:bCs w:val="0"/>
          <w:sz w:val="21"/>
          <w:szCs w:val="22"/>
        </w:rPr>
        <w:t>them;</w:t>
      </w:r>
      <w:proofErr w:type="gramEnd"/>
    </w:p>
    <w:p w14:paraId="133C1A11"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u w:val="single"/>
        </w:rPr>
      </w:pPr>
      <w:r w:rsidRPr="00091337">
        <w:rPr>
          <w:rFonts w:ascii="Georgia" w:hAnsi="Georgia"/>
          <w:bCs w:val="0"/>
          <w:sz w:val="21"/>
          <w:szCs w:val="22"/>
          <w:u w:val="single"/>
        </w:rPr>
        <w:t>General Implementing Rules (GIR)</w:t>
      </w:r>
      <w:r w:rsidRPr="00091337">
        <w:rPr>
          <w:rFonts w:ascii="Georgia" w:hAnsi="Georgia"/>
          <w:bCs w:val="0"/>
          <w:sz w:val="21"/>
          <w:szCs w:val="22"/>
        </w:rPr>
        <w:t xml:space="preserve">: Rules laid down in the Royal Decree of 14.01.2013 establishing the General Implementing Rules for public procurement contracts and for concessions for public </w:t>
      </w:r>
      <w:proofErr w:type="gramStart"/>
      <w:r w:rsidRPr="00091337">
        <w:rPr>
          <w:rFonts w:ascii="Georgia" w:hAnsi="Georgia"/>
          <w:bCs w:val="0"/>
          <w:sz w:val="21"/>
          <w:szCs w:val="22"/>
        </w:rPr>
        <w:t>works;</w:t>
      </w:r>
      <w:proofErr w:type="gramEnd"/>
    </w:p>
    <w:p w14:paraId="03C0A9F0"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The Tender Specifications</w:t>
      </w:r>
      <w:r w:rsidRPr="00091337">
        <w:rPr>
          <w:rFonts w:ascii="Georgia" w:hAnsi="Georgia"/>
          <w:bCs w:val="0"/>
          <w:sz w:val="21"/>
          <w:szCs w:val="22"/>
        </w:rPr>
        <w:t xml:space="preserve"> (Cahier </w:t>
      </w:r>
      <w:proofErr w:type="spellStart"/>
      <w:r w:rsidRPr="00091337">
        <w:rPr>
          <w:rFonts w:ascii="Georgia" w:hAnsi="Georgia"/>
          <w:bCs w:val="0"/>
          <w:sz w:val="21"/>
          <w:szCs w:val="22"/>
        </w:rPr>
        <w:t>spécial</w:t>
      </w:r>
      <w:proofErr w:type="spellEnd"/>
      <w:r w:rsidRPr="00091337">
        <w:rPr>
          <w:rFonts w:ascii="Georgia" w:hAnsi="Georgia"/>
          <w:bCs w:val="0"/>
          <w:sz w:val="21"/>
          <w:szCs w:val="22"/>
        </w:rPr>
        <w:t xml:space="preserve"> des charges/CSC): This document and its annexes and the documents it refers </w:t>
      </w:r>
      <w:proofErr w:type="gramStart"/>
      <w:r w:rsidRPr="00091337">
        <w:rPr>
          <w:rFonts w:ascii="Georgia" w:hAnsi="Georgia"/>
          <w:bCs w:val="0"/>
          <w:sz w:val="21"/>
          <w:szCs w:val="22"/>
        </w:rPr>
        <w:t>to;</w:t>
      </w:r>
      <w:proofErr w:type="gramEnd"/>
    </w:p>
    <w:p w14:paraId="114412AA"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Corrupt practices</w:t>
      </w:r>
      <w:r w:rsidRPr="00091337">
        <w:rPr>
          <w:rFonts w:ascii="Georgia" w:hAnsi="Georgia"/>
          <w:bCs w:val="0"/>
          <w:sz w:val="21"/>
          <w:szCs w:val="22"/>
        </w:rPr>
        <w:t xml:space="preserve">: The offer of a bribe, gift, gratuity or commission to any person as an inducement or reward for performing or refraining from any act relating to the award of a procurement contract or performance of a procurement contract already concluded with the contracting </w:t>
      </w:r>
      <w:proofErr w:type="gramStart"/>
      <w:r w:rsidRPr="00091337">
        <w:rPr>
          <w:rFonts w:ascii="Georgia" w:hAnsi="Georgia"/>
          <w:bCs w:val="0"/>
          <w:sz w:val="21"/>
          <w:szCs w:val="22"/>
        </w:rPr>
        <w:t>authority;</w:t>
      </w:r>
      <w:proofErr w:type="gramEnd"/>
    </w:p>
    <w:p w14:paraId="7B8CB941" w14:textId="77777777" w:rsidR="004F07DF" w:rsidRPr="00091337" w:rsidRDefault="004F07DF" w:rsidP="004F07DF">
      <w:pPr>
        <w:pStyle w:val="BTCbulletsCTB"/>
        <w:tabs>
          <w:tab w:val="left" w:pos="360"/>
        </w:tabs>
        <w:spacing w:after="120" w:line="288" w:lineRule="auto"/>
        <w:ind w:left="360"/>
        <w:jc w:val="both"/>
        <w:rPr>
          <w:rFonts w:ascii="Georgia" w:eastAsia="Calibri" w:hAnsi="Georgia"/>
          <w:bCs w:val="0"/>
          <w:sz w:val="21"/>
          <w:szCs w:val="22"/>
        </w:rPr>
      </w:pPr>
      <w:r w:rsidRPr="00091337">
        <w:rPr>
          <w:rFonts w:ascii="Georgia" w:hAnsi="Georgia"/>
          <w:bCs w:val="0"/>
          <w:sz w:val="21"/>
          <w:szCs w:val="22"/>
          <w:u w:val="single"/>
        </w:rPr>
        <w:t>Litigation</w:t>
      </w:r>
      <w:r w:rsidRPr="00091337">
        <w:rPr>
          <w:rFonts w:ascii="Georgia" w:hAnsi="Georgia"/>
          <w:bCs w:val="0"/>
          <w:sz w:val="21"/>
          <w:szCs w:val="22"/>
        </w:rPr>
        <w:t>: Court action.</w:t>
      </w:r>
    </w:p>
    <w:p w14:paraId="60ABE6FA" w14:textId="77777777" w:rsidR="004F07DF" w:rsidRPr="00091337" w:rsidRDefault="004F07DF" w:rsidP="004F07DF">
      <w:pPr>
        <w:pStyle w:val="BTCbulletsCTB"/>
        <w:tabs>
          <w:tab w:val="left" w:pos="360"/>
        </w:tabs>
        <w:spacing w:after="120" w:line="288" w:lineRule="auto"/>
        <w:ind w:left="360"/>
        <w:jc w:val="both"/>
        <w:rPr>
          <w:rFonts w:ascii="Georgia" w:hAnsi="Georgia"/>
          <w:bCs w:val="0"/>
          <w:sz w:val="21"/>
          <w:szCs w:val="22"/>
          <w:u w:val="single"/>
        </w:rPr>
      </w:pPr>
      <w:bookmarkStart w:id="21" w:name="_Toc257039816"/>
      <w:bookmarkStart w:id="22" w:name="_Toc52523937"/>
      <w:r w:rsidRPr="00091337">
        <w:rPr>
          <w:rFonts w:ascii="Georgia" w:hAnsi="Georgia"/>
          <w:bCs w:val="0"/>
          <w:sz w:val="21"/>
          <w:szCs w:val="22"/>
          <w:u w:val="single"/>
        </w:rPr>
        <w:t xml:space="preserve">Subcontractor in the meaning of public procurement regulations: </w:t>
      </w:r>
      <w:r w:rsidRPr="00091337">
        <w:rPr>
          <w:rFonts w:ascii="Georgia" w:hAnsi="Georgia"/>
          <w:bCs w:val="0"/>
          <w:sz w:val="21"/>
          <w:szCs w:val="22"/>
        </w:rPr>
        <w:t>The economic operator proposed by a tenderer or contractor to perform part of the contract. The subcontractor is understood as the economic operator with the capacity which the applicant or tenderer relies upon or to whom he entrusts all or part of his engagements</w:t>
      </w:r>
      <w:r w:rsidRPr="00091337">
        <w:rPr>
          <w:rFonts w:ascii="Georgia" w:hAnsi="Georgia"/>
          <w:bCs w:val="0"/>
          <w:sz w:val="21"/>
          <w:szCs w:val="22"/>
          <w:u w:val="single"/>
        </w:rPr>
        <w:t>.</w:t>
      </w:r>
    </w:p>
    <w:p w14:paraId="3DC8E21B" w14:textId="77777777" w:rsidR="004F07DF" w:rsidRPr="00091337" w:rsidRDefault="004F07DF" w:rsidP="004F07DF">
      <w:pPr>
        <w:pStyle w:val="BTCbulletsCTB"/>
        <w:tabs>
          <w:tab w:val="left" w:pos="360"/>
        </w:tabs>
        <w:spacing w:after="120" w:line="288" w:lineRule="auto"/>
        <w:ind w:left="360"/>
        <w:jc w:val="both"/>
        <w:rPr>
          <w:rFonts w:ascii="Georgia" w:hAnsi="Georgia"/>
          <w:bCs w:val="0"/>
          <w:sz w:val="21"/>
          <w:szCs w:val="22"/>
        </w:rPr>
      </w:pPr>
      <w:r w:rsidRPr="00091337">
        <w:rPr>
          <w:rFonts w:ascii="Georgia" w:hAnsi="Georgia"/>
          <w:bCs w:val="0"/>
          <w:sz w:val="21"/>
          <w:szCs w:val="22"/>
          <w:u w:val="single"/>
        </w:rPr>
        <w:lastRenderedPageBreak/>
        <w:t xml:space="preserve">Controller in the meaning of the GDPR: </w:t>
      </w:r>
      <w:r w:rsidRPr="00091337">
        <w:rPr>
          <w:rFonts w:ascii="Georgia" w:hAnsi="Georgia"/>
          <w:bCs w:val="0"/>
          <w:sz w:val="21"/>
          <w:szCs w:val="22"/>
        </w:rPr>
        <w:t xml:space="preserve">the natural or legal person, public authority, </w:t>
      </w:r>
      <w:proofErr w:type="gramStart"/>
      <w:r w:rsidRPr="00091337">
        <w:rPr>
          <w:rFonts w:ascii="Georgia" w:hAnsi="Georgia"/>
          <w:bCs w:val="0"/>
          <w:sz w:val="21"/>
          <w:szCs w:val="22"/>
        </w:rPr>
        <w:t>agency</w:t>
      </w:r>
      <w:proofErr w:type="gramEnd"/>
      <w:r w:rsidRPr="00091337">
        <w:rPr>
          <w:rFonts w:ascii="Georgia" w:hAnsi="Georgia"/>
          <w:bCs w:val="0"/>
          <w:sz w:val="21"/>
          <w:szCs w:val="22"/>
        </w:rPr>
        <w:t xml:space="preserve"> or other body which, alone or jointly with others, determines the purposes and means of the processing of personal data.</w:t>
      </w:r>
    </w:p>
    <w:p w14:paraId="5E97051E" w14:textId="77777777" w:rsidR="004F07DF" w:rsidRPr="00091337" w:rsidRDefault="004F07DF" w:rsidP="004F07DF">
      <w:pPr>
        <w:pStyle w:val="BTCbulletsCTB"/>
        <w:tabs>
          <w:tab w:val="left" w:pos="360"/>
        </w:tabs>
        <w:spacing w:after="120" w:line="288" w:lineRule="auto"/>
        <w:ind w:left="360"/>
        <w:jc w:val="both"/>
        <w:rPr>
          <w:rFonts w:ascii="Georgia" w:hAnsi="Georgia"/>
          <w:bCs w:val="0"/>
          <w:sz w:val="21"/>
          <w:szCs w:val="22"/>
        </w:rPr>
      </w:pPr>
      <w:r w:rsidRPr="00091337">
        <w:rPr>
          <w:rFonts w:ascii="Georgia" w:hAnsi="Georgia"/>
          <w:bCs w:val="0"/>
          <w:sz w:val="21"/>
          <w:szCs w:val="22"/>
          <w:u w:val="single"/>
        </w:rPr>
        <w:t xml:space="preserve">Sub-contractor or processor in the meaning of the GDPR: </w:t>
      </w:r>
      <w:r w:rsidRPr="00091337">
        <w:rPr>
          <w:rFonts w:ascii="Georgia" w:hAnsi="Georgia"/>
          <w:bCs w:val="0"/>
          <w:sz w:val="21"/>
          <w:szCs w:val="22"/>
        </w:rPr>
        <w:t xml:space="preserve">a natural or legal person, public authority, </w:t>
      </w:r>
      <w:proofErr w:type="gramStart"/>
      <w:r w:rsidRPr="00091337">
        <w:rPr>
          <w:rFonts w:ascii="Georgia" w:hAnsi="Georgia"/>
          <w:bCs w:val="0"/>
          <w:sz w:val="21"/>
          <w:szCs w:val="22"/>
        </w:rPr>
        <w:t>agency</w:t>
      </w:r>
      <w:proofErr w:type="gramEnd"/>
      <w:r w:rsidRPr="00091337">
        <w:rPr>
          <w:rFonts w:ascii="Georgia" w:hAnsi="Georgia"/>
          <w:bCs w:val="0"/>
          <w:sz w:val="21"/>
          <w:szCs w:val="22"/>
        </w:rPr>
        <w:t xml:space="preserve"> or other body which processes personal data on behalf of the controller. </w:t>
      </w:r>
    </w:p>
    <w:p w14:paraId="62AC2B89" w14:textId="77777777" w:rsidR="004F07DF" w:rsidRPr="00091337" w:rsidRDefault="004F07DF" w:rsidP="004F07DF">
      <w:pPr>
        <w:pStyle w:val="BTCbulletsCTB"/>
        <w:tabs>
          <w:tab w:val="left" w:pos="360"/>
        </w:tabs>
        <w:spacing w:after="120" w:line="288" w:lineRule="auto"/>
        <w:ind w:left="360"/>
        <w:jc w:val="both"/>
        <w:rPr>
          <w:rFonts w:ascii="Georgia" w:hAnsi="Georgia"/>
          <w:bCs w:val="0"/>
          <w:sz w:val="21"/>
          <w:szCs w:val="22"/>
        </w:rPr>
      </w:pPr>
      <w:r w:rsidRPr="00091337">
        <w:rPr>
          <w:rFonts w:ascii="Georgia" w:hAnsi="Georgia"/>
          <w:bCs w:val="0"/>
          <w:sz w:val="21"/>
          <w:szCs w:val="22"/>
          <w:u w:val="single"/>
        </w:rPr>
        <w:t>Recipient in the meaning of the GDPR:</w:t>
      </w:r>
      <w:r w:rsidRPr="00091337">
        <w:rPr>
          <w:rFonts w:ascii="Georgia" w:hAnsi="Georgia"/>
          <w:bCs w:val="0"/>
          <w:sz w:val="21"/>
          <w:szCs w:val="22"/>
        </w:rPr>
        <w:t xml:space="preserve"> a natural or legal person, public authority, </w:t>
      </w:r>
      <w:proofErr w:type="gramStart"/>
      <w:r w:rsidRPr="00091337">
        <w:rPr>
          <w:rFonts w:ascii="Georgia" w:hAnsi="Georgia"/>
          <w:bCs w:val="0"/>
          <w:sz w:val="21"/>
          <w:szCs w:val="22"/>
        </w:rPr>
        <w:t>agency</w:t>
      </w:r>
      <w:proofErr w:type="gramEnd"/>
      <w:r w:rsidRPr="00091337">
        <w:rPr>
          <w:rFonts w:ascii="Georgia" w:hAnsi="Georgia"/>
          <w:bCs w:val="0"/>
          <w:sz w:val="21"/>
          <w:szCs w:val="22"/>
        </w:rPr>
        <w:t xml:space="preserve"> or another body, to which the personal data are disclosed, whether a third party or not. </w:t>
      </w:r>
    </w:p>
    <w:p w14:paraId="020F063B" w14:textId="77777777" w:rsidR="004F07DF" w:rsidRPr="00091337" w:rsidRDefault="004F07DF" w:rsidP="004F07DF">
      <w:pPr>
        <w:pStyle w:val="BTCbulletsCTB"/>
        <w:tabs>
          <w:tab w:val="left" w:pos="360"/>
        </w:tabs>
        <w:spacing w:after="120" w:line="288" w:lineRule="auto"/>
        <w:ind w:left="360"/>
        <w:jc w:val="both"/>
        <w:rPr>
          <w:rFonts w:ascii="Georgia" w:hAnsi="Georgia"/>
          <w:bCs w:val="0"/>
          <w:sz w:val="21"/>
          <w:szCs w:val="22"/>
          <w:u w:val="single"/>
        </w:rPr>
      </w:pPr>
      <w:r w:rsidRPr="00091337">
        <w:rPr>
          <w:rFonts w:ascii="Georgia" w:hAnsi="Georgia"/>
          <w:bCs w:val="0"/>
          <w:sz w:val="21"/>
          <w:szCs w:val="22"/>
          <w:u w:val="single"/>
        </w:rPr>
        <w:t xml:space="preserve">Personal data: </w:t>
      </w:r>
      <w:r w:rsidRPr="00091337">
        <w:rPr>
          <w:rFonts w:ascii="Georgia" w:hAnsi="Georgia"/>
          <w:bCs w:val="0"/>
          <w:sz w:val="21"/>
          <w:szCs w:val="22"/>
        </w:rPr>
        <w:t xml:space="preserve">any information relating to an identified or identifiable natural person (‘data subject’); an identifiable natural person is one who can be identified, directly or indirectly, </w:t>
      </w:r>
      <w:proofErr w:type="gramStart"/>
      <w:r w:rsidRPr="00091337">
        <w:rPr>
          <w:rFonts w:ascii="Georgia" w:hAnsi="Georgia"/>
          <w:bCs w:val="0"/>
          <w:sz w:val="21"/>
          <w:szCs w:val="22"/>
        </w:rPr>
        <w:t>in particular by</w:t>
      </w:r>
      <w:proofErr w:type="gramEnd"/>
      <w:r w:rsidRPr="00091337">
        <w:rPr>
          <w:rFonts w:ascii="Georgia" w:hAnsi="Georgia"/>
          <w:bCs w:val="0"/>
          <w:sz w:val="21"/>
          <w:szCs w:val="22"/>
        </w:rPr>
        <w:t xml:space="preserve"> reference to an identifier such as a name, an identification number, location data, an online identifier or to one or more factors specific to the physical, physiological, genetic, mental, economic, cultural or social identity of that natural person.</w:t>
      </w:r>
    </w:p>
    <w:p w14:paraId="156EC8A6" w14:textId="77777777" w:rsidR="004F07DF" w:rsidRPr="00B8364F" w:rsidRDefault="004F07DF" w:rsidP="004F07DF">
      <w:pPr>
        <w:pStyle w:val="Heading2"/>
        <w:rPr>
          <w:lang w:val="en-US"/>
        </w:rPr>
      </w:pPr>
      <w:bookmarkStart w:id="23" w:name="_Toc117027456"/>
      <w:r>
        <w:rPr>
          <w:lang w:val="en-US"/>
        </w:rPr>
        <w:t>P</w:t>
      </w:r>
      <w:r w:rsidRPr="00B8364F">
        <w:rPr>
          <w:lang w:val="en-US"/>
        </w:rPr>
        <w:t>rocessing of personal data by the contracting authority and confidentiality</w:t>
      </w:r>
      <w:bookmarkEnd w:id="23"/>
    </w:p>
    <w:p w14:paraId="56143929" w14:textId="77777777" w:rsidR="004F07DF" w:rsidRDefault="004F07DF" w:rsidP="004F07DF">
      <w:pPr>
        <w:pStyle w:val="Heading3"/>
        <w:rPr>
          <w:lang w:val="en-US"/>
        </w:rPr>
      </w:pPr>
      <w:bookmarkStart w:id="24" w:name="_Toc117027457"/>
      <w:r>
        <w:rPr>
          <w:lang w:val="en-US"/>
        </w:rPr>
        <w:t>P</w:t>
      </w:r>
      <w:r w:rsidRPr="00B8364F">
        <w:rPr>
          <w:lang w:val="en-US"/>
        </w:rPr>
        <w:t>rocessing of personal data by the contracting authority</w:t>
      </w:r>
      <w:bookmarkEnd w:id="24"/>
      <w:r w:rsidRPr="00B8364F">
        <w:rPr>
          <w:lang w:val="en-US"/>
        </w:rPr>
        <w:t xml:space="preserve"> </w:t>
      </w:r>
    </w:p>
    <w:p w14:paraId="60E1B4DB" w14:textId="77777777" w:rsidR="004F07DF" w:rsidRDefault="004F07DF" w:rsidP="004F07DF">
      <w:pPr>
        <w:rPr>
          <w:lang w:val="en-US"/>
        </w:rPr>
      </w:pPr>
      <w:r w:rsidRPr="00A5757E">
        <w:rPr>
          <w:lang w:val="en-US"/>
        </w:rPr>
        <w:t xml:space="preserve">The contracting authority undertakes to process the personal data that are communicated to it in response to the Call for Tenders with the greatest care, in accordance with legislation on the protection of personal data (General Data Protection Regulation, GDPR). Where the Belgian law of 30 July 2018 on the protection of natural persons </w:t>
      </w:r>
      <w:proofErr w:type="gramStart"/>
      <w:r w:rsidRPr="00A5757E">
        <w:rPr>
          <w:lang w:val="en-US"/>
        </w:rPr>
        <w:t>with regard to</w:t>
      </w:r>
      <w:proofErr w:type="gramEnd"/>
      <w:r w:rsidRPr="00A5757E">
        <w:rPr>
          <w:lang w:val="en-US"/>
        </w:rPr>
        <w:t xml:space="preserve"> the processing of personal data contains stricter provisions, the contracting authority will act in accordance with said law.</w:t>
      </w:r>
    </w:p>
    <w:p w14:paraId="4DE42307" w14:textId="77777777" w:rsidR="004F07DF" w:rsidRPr="00D77BB3" w:rsidRDefault="004F07DF" w:rsidP="004F07DF">
      <w:pPr>
        <w:pStyle w:val="Heading3"/>
        <w:rPr>
          <w:lang w:val="en-US"/>
        </w:rPr>
      </w:pPr>
      <w:bookmarkStart w:id="25" w:name="_Toc117027458"/>
      <w:r w:rsidRPr="00D77BB3">
        <w:rPr>
          <w:lang w:val="en-US"/>
        </w:rPr>
        <w:t>Confidentiality</w:t>
      </w:r>
      <w:bookmarkEnd w:id="25"/>
    </w:p>
    <w:p w14:paraId="4420ABD8" w14:textId="77777777" w:rsidR="004F07DF" w:rsidRPr="007D7967" w:rsidRDefault="004F07DF" w:rsidP="004F07DF">
      <w:pPr>
        <w:rPr>
          <w:lang w:val="en-US"/>
        </w:rPr>
      </w:pPr>
      <w:r w:rsidRPr="007D7967">
        <w:rPr>
          <w:lang w:val="en-US"/>
        </w:rPr>
        <w:t>The tenderer or contractor and Enabel are bound to secrecy vis-à-vis third parties with regards to any confidential information obtained within the framework of this public contract and will only divulge such information to third parties after receiving the prior written consent of the other party. They will disclose this confidential information only among appointed parties involved in the assignment. They guarantee that said appointed parties will be adequately informed of their obligations in respect of the confidential nature of the information and that they shall comply therewith.</w:t>
      </w:r>
    </w:p>
    <w:p w14:paraId="346D5151" w14:textId="77777777" w:rsidR="004F07DF" w:rsidRPr="007D7967" w:rsidRDefault="004F07DF" w:rsidP="004F07DF">
      <w:pPr>
        <w:rPr>
          <w:lang w:val="en-US"/>
        </w:rPr>
      </w:pPr>
      <w:r w:rsidRPr="007D7967">
        <w:rPr>
          <w:lang w:val="en-US"/>
        </w:rPr>
        <w:t>PRIVACY NOTICE OF ENABEL: Enabel takes your privacy serious. We undertake to protect and process your personal data with due care, transparently and in strict compliance with privacy protection legislation.</w:t>
      </w:r>
    </w:p>
    <w:p w14:paraId="60D54DB7" w14:textId="77777777" w:rsidR="004F07DF" w:rsidRPr="007D7967" w:rsidRDefault="004F07DF" w:rsidP="004F07DF">
      <w:pPr>
        <w:rPr>
          <w:lang w:val="en-US"/>
        </w:rPr>
      </w:pPr>
      <w:r w:rsidRPr="007D7967">
        <w:rPr>
          <w:lang w:val="en-US"/>
        </w:rPr>
        <w:t xml:space="preserve">See also: </w:t>
      </w:r>
      <w:hyperlink r:id="rId18" w:history="1">
        <w:r w:rsidRPr="00DA35EA">
          <w:rPr>
            <w:rStyle w:val="Hyperlink"/>
            <w:lang w:val="en-US"/>
          </w:rPr>
          <w:t>https://www.enabel.be/content/privacy-notice-enabel</w:t>
        </w:r>
      </w:hyperlink>
      <w:r>
        <w:rPr>
          <w:lang w:val="en-US"/>
        </w:rPr>
        <w:t xml:space="preserve"> </w:t>
      </w:r>
    </w:p>
    <w:p w14:paraId="721355A5" w14:textId="77777777" w:rsidR="004F07DF" w:rsidRPr="003658B5" w:rsidRDefault="004F07DF" w:rsidP="004F07DF">
      <w:pPr>
        <w:pStyle w:val="Heading2"/>
      </w:pPr>
      <w:bookmarkStart w:id="26" w:name="_Toc117027459"/>
      <w:bookmarkEnd w:id="21"/>
      <w:bookmarkEnd w:id="22"/>
      <w:r>
        <w:t>Deontological obligations</w:t>
      </w:r>
      <w:bookmarkEnd w:id="26"/>
    </w:p>
    <w:p w14:paraId="6AC997EB" w14:textId="77777777" w:rsidR="004F07DF" w:rsidRPr="003658B5" w:rsidRDefault="004F07DF" w:rsidP="004F07DF">
      <w:pPr>
        <w:pStyle w:val="BodyText"/>
        <w:rPr>
          <w:rFonts w:ascii="Georgia" w:eastAsia="Calibri" w:hAnsi="Georgia" w:cs="Times New Roman"/>
          <w:color w:val="585756"/>
          <w:kern w:val="0"/>
          <w:sz w:val="21"/>
          <w:szCs w:val="21"/>
        </w:rPr>
      </w:pPr>
      <w:r w:rsidRPr="6EA30113">
        <w:rPr>
          <w:rFonts w:ascii="Georgia" w:hAnsi="Georgia"/>
          <w:color w:val="585756"/>
          <w:sz w:val="21"/>
          <w:szCs w:val="21"/>
        </w:rPr>
        <w:t xml:space="preserve">1.7.1. Any failure to comply with one or more of the deontological clauses may lead to the exclusion of the candidate, </w:t>
      </w:r>
      <w:proofErr w:type="gramStart"/>
      <w:r w:rsidRPr="6EA30113">
        <w:rPr>
          <w:rFonts w:ascii="Georgia" w:hAnsi="Georgia"/>
          <w:color w:val="585756"/>
          <w:sz w:val="21"/>
          <w:szCs w:val="21"/>
        </w:rPr>
        <w:t>tenderer</w:t>
      </w:r>
      <w:proofErr w:type="gramEnd"/>
      <w:r w:rsidRPr="6EA30113">
        <w:rPr>
          <w:rFonts w:ascii="Georgia" w:hAnsi="Georgia"/>
          <w:color w:val="585756"/>
          <w:sz w:val="21"/>
          <w:szCs w:val="21"/>
        </w:rPr>
        <w:t xml:space="preserve"> or contractor from other public procurement contracts for Enabel.</w:t>
      </w:r>
    </w:p>
    <w:p w14:paraId="52D611AC" w14:textId="77777777" w:rsidR="004F07DF" w:rsidRPr="007B266B" w:rsidRDefault="004F07DF" w:rsidP="004F07DF">
      <w:pPr>
        <w:pStyle w:val="BodyText"/>
        <w:rPr>
          <w:rFonts w:ascii="Georgia" w:eastAsia="Calibri" w:hAnsi="Georgia" w:cs="Times New Roman"/>
          <w:kern w:val="0"/>
          <w:sz w:val="21"/>
          <w:szCs w:val="21"/>
        </w:rPr>
      </w:pPr>
      <w:r w:rsidRPr="007B266B">
        <w:rPr>
          <w:rFonts w:ascii="Georgia" w:hAnsi="Georgia"/>
          <w:sz w:val="21"/>
          <w:szCs w:val="21"/>
        </w:rPr>
        <w:t xml:space="preserve">1.7.2. For the duration of the procurement contract, the contractor and his staff respect human rights and undertake not to go against political, </w:t>
      </w:r>
      <w:proofErr w:type="gramStart"/>
      <w:r w:rsidRPr="007B266B">
        <w:rPr>
          <w:rFonts w:ascii="Georgia" w:hAnsi="Georgia"/>
          <w:sz w:val="21"/>
          <w:szCs w:val="21"/>
        </w:rPr>
        <w:t>cultural</w:t>
      </w:r>
      <w:proofErr w:type="gramEnd"/>
      <w:r w:rsidRPr="007B266B">
        <w:rPr>
          <w:rFonts w:ascii="Georgia" w:hAnsi="Georgia"/>
          <w:sz w:val="21"/>
          <w:szCs w:val="21"/>
        </w:rPr>
        <w:t xml:space="preserve"> or religious customs of the beneficiary country. The tenderer or contractor is bound to respect fundamental labour standards, which are internationally agreed upon by the International Labour Organisation (ILO), namely the conventions on union freedom and collective bargaining, on the elimination of forced and obligatory labour, on the elimination of employment and professional discrimination and on the abolition of child labour. </w:t>
      </w:r>
    </w:p>
    <w:p w14:paraId="7970E4B3" w14:textId="77777777" w:rsidR="004F07DF" w:rsidRPr="007B266B" w:rsidRDefault="004F07DF" w:rsidP="004F07DF">
      <w:pPr>
        <w:jc w:val="both"/>
        <w:rPr>
          <w:color w:val="auto"/>
        </w:rPr>
      </w:pPr>
      <w:r w:rsidRPr="007B266B">
        <w:rPr>
          <w:color w:val="auto"/>
        </w:rPr>
        <w:lastRenderedPageBreak/>
        <w:t>1.7.3. In accordance with Enabel’s Policy regarding sexual exploitation and abuse, the contractor and his staff have the duty to behave in an irreproachable manner towards the beneficiaries of the projects and towards the local population in general. They must abstain from any acts that could be considered a form of sexual exploitation or abuse and they must abide by the basic principles and guidelines laid down in this policy.</w:t>
      </w:r>
    </w:p>
    <w:p w14:paraId="7B029279" w14:textId="77777777" w:rsidR="004F07DF" w:rsidRPr="007B266B" w:rsidRDefault="004F07DF" w:rsidP="004F07DF">
      <w:pPr>
        <w:pStyle w:val="BodyText"/>
        <w:rPr>
          <w:rFonts w:ascii="Georgia" w:eastAsia="Calibri" w:hAnsi="Georgia" w:cs="Times New Roman"/>
          <w:kern w:val="0"/>
          <w:sz w:val="21"/>
          <w:szCs w:val="21"/>
        </w:rPr>
      </w:pPr>
      <w:r w:rsidRPr="007B266B">
        <w:rPr>
          <w:rFonts w:ascii="Georgia" w:hAnsi="Georgia"/>
          <w:sz w:val="21"/>
          <w:szCs w:val="21"/>
        </w:rPr>
        <w:t xml:space="preserve">1.7.4. Any attempt of a candidate or a tenderer to obtain confidential information, to proceed to illicit arrangements with competitors or to influence the evaluation committee or the contracting authority during the investigation, clarification, evaluation and comparison of tenders and </w:t>
      </w:r>
      <w:proofErr w:type="gramStart"/>
      <w:r w:rsidRPr="007B266B">
        <w:rPr>
          <w:rFonts w:ascii="Georgia" w:hAnsi="Georgia"/>
          <w:sz w:val="21"/>
          <w:szCs w:val="21"/>
        </w:rPr>
        <w:t>candidates</w:t>
      </w:r>
      <w:proofErr w:type="gramEnd"/>
      <w:r w:rsidRPr="007B266B">
        <w:rPr>
          <w:rFonts w:ascii="Georgia" w:hAnsi="Georgia"/>
          <w:sz w:val="21"/>
          <w:szCs w:val="21"/>
        </w:rPr>
        <w:t xml:space="preserve"> procedure will lead to the rejection of the application or the tender.</w:t>
      </w:r>
    </w:p>
    <w:p w14:paraId="2CBA1814" w14:textId="77777777" w:rsidR="004F07DF" w:rsidRPr="007B266B" w:rsidRDefault="004F07DF" w:rsidP="004F07DF">
      <w:pPr>
        <w:pStyle w:val="BodyText"/>
        <w:rPr>
          <w:rFonts w:ascii="Georgia" w:eastAsia="Calibri" w:hAnsi="Georgia" w:cs="Times New Roman"/>
          <w:kern w:val="0"/>
          <w:sz w:val="21"/>
          <w:szCs w:val="21"/>
        </w:rPr>
      </w:pPr>
      <w:r w:rsidRPr="007B266B">
        <w:rPr>
          <w:rFonts w:ascii="Georgia" w:hAnsi="Georgia"/>
          <w:sz w:val="21"/>
          <w:szCs w:val="21"/>
        </w:rPr>
        <w:t>1.7.5. Moreover, in order to avoid any impression of risk of partiality or connivance in the follow-up and control of the performance of the procurement contract, it is strictly forbidden to the contractor to offer, directly or indirectly, gifts, meals or any other material or immaterial advantage, of whatever value, to agents of the contracting authority who are concerned, directly or indirectly, by the follow-up and/or control of the performance of the procurement contract, regardless of their hierarchical rank.</w:t>
      </w:r>
    </w:p>
    <w:p w14:paraId="7A3A954C" w14:textId="77777777" w:rsidR="004F07DF" w:rsidRPr="007B266B" w:rsidRDefault="004F07DF" w:rsidP="004F07DF">
      <w:pPr>
        <w:pStyle w:val="BodyText"/>
        <w:rPr>
          <w:rFonts w:ascii="Georgia" w:eastAsia="Calibri" w:hAnsi="Georgia" w:cs="Times New Roman"/>
          <w:kern w:val="0"/>
          <w:sz w:val="21"/>
          <w:szCs w:val="21"/>
        </w:rPr>
      </w:pPr>
      <w:r w:rsidRPr="007B266B">
        <w:rPr>
          <w:rFonts w:ascii="Georgia" w:hAnsi="Georgia"/>
          <w:sz w:val="21"/>
          <w:szCs w:val="21"/>
        </w:rPr>
        <w:t>1.7.6. The contractor of the procurement contract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Depending on the gravity of the facts observed, the contractor having paid unusual commercial expenditure is liable to have its contract cancelled or to be permanently excluded from receiving funds.</w:t>
      </w:r>
    </w:p>
    <w:p w14:paraId="347E833D" w14:textId="77777777" w:rsidR="004F07DF" w:rsidRPr="003658B5" w:rsidRDefault="004F07DF" w:rsidP="004F07DF">
      <w:r w:rsidRPr="007B266B">
        <w:rPr>
          <w:color w:val="auto"/>
        </w:rPr>
        <w:t xml:space="preserve">1.7.7. In accordance with Enabel’s Policy regarding sexual exploitation and abuse of June 2019 and Enabel’s Policy regarding fraud and corruption risk management complaints relating to issues of integrity (fraud, corruption, etc.) must be sent to the Integrity desk through the </w:t>
      </w:r>
      <w:hyperlink r:id="rId19">
        <w:r w:rsidRPr="6EA30113">
          <w:rPr>
            <w:rStyle w:val="Hyperlink"/>
          </w:rPr>
          <w:t>https://www.enabelintegrity.be</w:t>
        </w:r>
      </w:hyperlink>
      <w:r w:rsidRPr="6EA30113">
        <w:t xml:space="preserve"> website.</w:t>
      </w:r>
    </w:p>
    <w:p w14:paraId="747D9419" w14:textId="77777777" w:rsidR="004F07DF" w:rsidRPr="003658B5" w:rsidRDefault="004F07DF" w:rsidP="004F07DF">
      <w:pPr>
        <w:pStyle w:val="Heading2"/>
      </w:pPr>
      <w:bookmarkStart w:id="27" w:name="_Ref228951536"/>
      <w:bookmarkStart w:id="28" w:name="_Toc257039818"/>
      <w:bookmarkStart w:id="29" w:name="_Toc366161151"/>
      <w:bookmarkStart w:id="30" w:name="_Toc117027460"/>
      <w:r>
        <w:t>Applicable law and competent courts</w:t>
      </w:r>
      <w:bookmarkEnd w:id="27"/>
      <w:bookmarkEnd w:id="28"/>
      <w:bookmarkEnd w:id="29"/>
      <w:bookmarkEnd w:id="30"/>
    </w:p>
    <w:p w14:paraId="10A7743A" w14:textId="77777777" w:rsidR="004F07DF" w:rsidRPr="007B266B" w:rsidRDefault="004F07DF" w:rsidP="004F07DF">
      <w:pPr>
        <w:pStyle w:val="BodyText"/>
        <w:rPr>
          <w:rFonts w:ascii="Georgia" w:eastAsia="Calibri" w:hAnsi="Georgia" w:cs="Times New Roman"/>
          <w:kern w:val="0"/>
          <w:sz w:val="21"/>
          <w:szCs w:val="22"/>
        </w:rPr>
      </w:pPr>
      <w:r w:rsidRPr="007B266B">
        <w:rPr>
          <w:rFonts w:ascii="Georgia" w:hAnsi="Georgia"/>
          <w:sz w:val="21"/>
          <w:szCs w:val="22"/>
        </w:rPr>
        <w:t>The procurement contract must be performed and interpreted according to Belgian law.</w:t>
      </w:r>
    </w:p>
    <w:p w14:paraId="03229357" w14:textId="77777777" w:rsidR="004F07DF" w:rsidRPr="007B266B" w:rsidRDefault="004F07DF" w:rsidP="004F07DF">
      <w:pPr>
        <w:pStyle w:val="BodyText"/>
        <w:rPr>
          <w:rFonts w:ascii="Georgia" w:eastAsia="Calibri" w:hAnsi="Georgia" w:cs="Times New Roman"/>
          <w:kern w:val="0"/>
          <w:sz w:val="21"/>
          <w:szCs w:val="22"/>
        </w:rPr>
      </w:pPr>
      <w:r w:rsidRPr="007B266B">
        <w:rPr>
          <w:rFonts w:ascii="Georgia" w:hAnsi="Georgia"/>
          <w:sz w:val="21"/>
          <w:szCs w:val="22"/>
        </w:rPr>
        <w:t>The parties commit to sincerely perform their engagements to ensure the good performance of this procurement contract.</w:t>
      </w:r>
    </w:p>
    <w:p w14:paraId="607B21E8" w14:textId="77777777" w:rsidR="004F07DF" w:rsidRDefault="004F07DF" w:rsidP="004F07DF">
      <w:pPr>
        <w:pStyle w:val="BodyText"/>
        <w:rPr>
          <w:rFonts w:ascii="Georgia" w:eastAsia="Calibri" w:hAnsi="Georgia" w:cs="Times New Roman"/>
          <w:kern w:val="0"/>
          <w:sz w:val="21"/>
          <w:szCs w:val="22"/>
        </w:rPr>
      </w:pPr>
      <w:r w:rsidRPr="007B266B">
        <w:rPr>
          <w:rFonts w:ascii="Georgia" w:hAnsi="Georgia"/>
          <w:sz w:val="21"/>
          <w:szCs w:val="22"/>
        </w:rPr>
        <w:t>In case of litigation or divergence of opinion between the contracting authority and the contractor, the parties will consult each other to find a solution.</w:t>
      </w:r>
      <w:r w:rsidRPr="007B266B">
        <w:rPr>
          <w:rFonts w:ascii="Georgia" w:eastAsia="Calibri" w:hAnsi="Georgia" w:cs="Times New Roman"/>
          <w:kern w:val="0"/>
          <w:sz w:val="21"/>
          <w:szCs w:val="22"/>
        </w:rPr>
        <w:t xml:space="preserve"> </w:t>
      </w:r>
    </w:p>
    <w:p w14:paraId="6ED0AF0D" w14:textId="77777777" w:rsidR="004F07DF" w:rsidRDefault="004F07DF" w:rsidP="004F07DF">
      <w:pPr>
        <w:pStyle w:val="BodyText"/>
        <w:rPr>
          <w:rFonts w:ascii="Georgia" w:hAnsi="Georgia"/>
          <w:sz w:val="21"/>
          <w:szCs w:val="22"/>
        </w:rPr>
        <w:sectPr w:rsidR="004F07DF" w:rsidSect="004223E4">
          <w:footerReference w:type="first" r:id="rId20"/>
          <w:pgSz w:w="11906" w:h="16838"/>
          <w:pgMar w:top="851" w:right="1133" w:bottom="851" w:left="1871" w:header="709" w:footer="709" w:gutter="0"/>
          <w:cols w:space="708"/>
          <w:titlePg/>
          <w:docGrid w:linePitch="360"/>
        </w:sectPr>
      </w:pPr>
      <w:r w:rsidRPr="007B266B">
        <w:rPr>
          <w:rFonts w:ascii="Georgia" w:hAnsi="Georgia"/>
          <w:sz w:val="21"/>
          <w:szCs w:val="22"/>
        </w:rPr>
        <w:t>If agreement is lacking, the Brussels courts are the only courts competent to resolve the matter.</w:t>
      </w:r>
    </w:p>
    <w:p w14:paraId="56D87A89" w14:textId="77777777" w:rsidR="004F07DF" w:rsidRPr="006C5FEF" w:rsidRDefault="004F07DF" w:rsidP="004F07DF">
      <w:pPr>
        <w:pStyle w:val="Heading1"/>
        <w:numPr>
          <w:ilvl w:val="0"/>
          <w:numId w:val="5"/>
        </w:numPr>
      </w:pPr>
      <w:bookmarkStart w:id="31" w:name="_Toc117027461"/>
      <w:r w:rsidRPr="003658B5">
        <w:lastRenderedPageBreak/>
        <w:t>Subject-matter and scope of the procurement contract</w:t>
      </w:r>
      <w:bookmarkEnd w:id="31"/>
    </w:p>
    <w:p w14:paraId="49E1BA80" w14:textId="77777777" w:rsidR="004F07DF" w:rsidRPr="003658B5" w:rsidRDefault="004F07DF" w:rsidP="004F07DF">
      <w:pPr>
        <w:pStyle w:val="Heading2"/>
        <w:keepLines w:val="0"/>
        <w:widowControl w:val="0"/>
        <w:tabs>
          <w:tab w:val="num" w:pos="576"/>
        </w:tabs>
        <w:suppressAutoHyphens/>
        <w:spacing w:after="240"/>
        <w:ind w:left="578" w:hanging="578"/>
      </w:pPr>
      <w:bookmarkStart w:id="32" w:name="_Toc117027462"/>
      <w:r>
        <w:t>Type of procurement contract</w:t>
      </w:r>
      <w:bookmarkEnd w:id="32"/>
    </w:p>
    <w:p w14:paraId="73BCAD71" w14:textId="77777777" w:rsidR="004F07DF" w:rsidRPr="003658B5" w:rsidRDefault="004F07DF" w:rsidP="004F07DF">
      <w:pPr>
        <w:pStyle w:val="BodyText"/>
        <w:rPr>
          <w:rFonts w:ascii="Georgia" w:eastAsia="Calibri" w:hAnsi="Georgia" w:cs="Times New Roman"/>
          <w:color w:val="585756"/>
          <w:kern w:val="0"/>
          <w:sz w:val="21"/>
          <w:szCs w:val="22"/>
        </w:rPr>
      </w:pPr>
      <w:r w:rsidRPr="003658B5">
        <w:rPr>
          <w:rFonts w:ascii="Georgia" w:hAnsi="Georgia"/>
          <w:color w:val="585756"/>
          <w:sz w:val="21"/>
          <w:szCs w:val="22"/>
        </w:rPr>
        <w:t>This procurement contract is a services procurement contract.</w:t>
      </w:r>
    </w:p>
    <w:p w14:paraId="2856CC4D" w14:textId="4D806711" w:rsidR="004F07DF" w:rsidRDefault="004F07DF" w:rsidP="004F07DF">
      <w:pPr>
        <w:pStyle w:val="Heading2"/>
        <w:keepLines w:val="0"/>
        <w:widowControl w:val="0"/>
        <w:tabs>
          <w:tab w:val="num" w:pos="576"/>
        </w:tabs>
        <w:suppressAutoHyphens/>
        <w:spacing w:after="240"/>
        <w:ind w:left="578" w:hanging="578"/>
      </w:pPr>
      <w:bookmarkStart w:id="33" w:name="_Toc117027463"/>
      <w:r>
        <w:t>Subject-matter of the procurement contract</w:t>
      </w:r>
      <w:bookmarkEnd w:id="33"/>
    </w:p>
    <w:p w14:paraId="1FE7C7EA" w14:textId="77777777" w:rsidR="004F093B" w:rsidRDefault="004F07DF" w:rsidP="00944105">
      <w:pPr>
        <w:pStyle w:val="Titrecouverture"/>
        <w:spacing w:before="120" w:after="0"/>
        <w:jc w:val="both"/>
        <w:rPr>
          <w:rFonts w:ascii="Georgia" w:hAnsi="Georgia"/>
          <w:sz w:val="21"/>
          <w:szCs w:val="21"/>
        </w:rPr>
      </w:pPr>
      <w:r w:rsidRPr="00994D44">
        <w:rPr>
          <w:rFonts w:ascii="Georgia" w:hAnsi="Georgia"/>
          <w:sz w:val="21"/>
          <w:szCs w:val="21"/>
        </w:rPr>
        <w:t xml:space="preserve">This services procurement contract consists in the performance of </w:t>
      </w:r>
    </w:p>
    <w:p w14:paraId="6395F1BC" w14:textId="36F63F51" w:rsidR="004F093B" w:rsidRPr="004F093B" w:rsidRDefault="004F093B" w:rsidP="004F093B">
      <w:pPr>
        <w:pStyle w:val="Titrecouverture"/>
        <w:spacing w:after="0"/>
        <w:jc w:val="both"/>
        <w:rPr>
          <w:b/>
          <w:bCs/>
          <w:sz w:val="24"/>
          <w:szCs w:val="24"/>
          <w:highlight w:val="cyan"/>
        </w:rPr>
      </w:pPr>
      <w:r w:rsidRPr="004F093B">
        <w:rPr>
          <w:b/>
          <w:bCs/>
          <w:sz w:val="24"/>
          <w:szCs w:val="24"/>
          <w:highlight w:val="cyan"/>
        </w:rPr>
        <w:t>“Induce behavioural and social changes among the community regarding the MNASRH by</w:t>
      </w:r>
    </w:p>
    <w:p w14:paraId="0A6798AF" w14:textId="77777777" w:rsidR="004F093B" w:rsidRPr="004F093B" w:rsidRDefault="004F093B" w:rsidP="004F093B">
      <w:pPr>
        <w:pStyle w:val="Titrecouverture"/>
        <w:spacing w:after="0"/>
        <w:jc w:val="both"/>
        <w:rPr>
          <w:b/>
          <w:bCs/>
          <w:sz w:val="24"/>
          <w:szCs w:val="24"/>
          <w:highlight w:val="cyan"/>
        </w:rPr>
      </w:pPr>
      <w:r w:rsidRPr="004F093B">
        <w:rPr>
          <w:b/>
          <w:bCs/>
          <w:sz w:val="24"/>
          <w:szCs w:val="24"/>
          <w:highlight w:val="cyan"/>
        </w:rPr>
        <w:t xml:space="preserve">1. Developing communication materials </w:t>
      </w:r>
    </w:p>
    <w:p w14:paraId="43592DD1" w14:textId="77777777" w:rsidR="004F093B" w:rsidRPr="004F093B" w:rsidRDefault="004F093B" w:rsidP="004F093B">
      <w:pPr>
        <w:pStyle w:val="Titrecouverture"/>
        <w:spacing w:after="0"/>
        <w:jc w:val="both"/>
        <w:rPr>
          <w:b/>
          <w:bCs/>
          <w:sz w:val="24"/>
          <w:szCs w:val="24"/>
          <w:highlight w:val="cyan"/>
        </w:rPr>
      </w:pPr>
      <w:r w:rsidRPr="004F093B">
        <w:rPr>
          <w:b/>
          <w:bCs/>
          <w:sz w:val="24"/>
          <w:szCs w:val="24"/>
          <w:highlight w:val="cyan"/>
        </w:rPr>
        <w:t>2. Optimising the mechanisms of accountability by:</w:t>
      </w:r>
    </w:p>
    <w:p w14:paraId="4F3F8643" w14:textId="77777777" w:rsidR="004F093B" w:rsidRPr="004F093B" w:rsidRDefault="004F093B" w:rsidP="00A41CAE">
      <w:pPr>
        <w:pStyle w:val="Titrecouverture"/>
        <w:numPr>
          <w:ilvl w:val="1"/>
          <w:numId w:val="64"/>
        </w:numPr>
        <w:spacing w:after="0"/>
        <w:ind w:hanging="91"/>
        <w:jc w:val="both"/>
        <w:rPr>
          <w:b/>
          <w:bCs/>
          <w:sz w:val="24"/>
          <w:szCs w:val="24"/>
          <w:highlight w:val="cyan"/>
        </w:rPr>
      </w:pPr>
      <w:r w:rsidRPr="004F093B">
        <w:rPr>
          <w:b/>
          <w:bCs/>
          <w:sz w:val="24"/>
          <w:szCs w:val="24"/>
          <w:highlight w:val="cyan"/>
        </w:rPr>
        <w:t>Making health information data available and comprehensible for the community</w:t>
      </w:r>
    </w:p>
    <w:p w14:paraId="54075A91" w14:textId="77777777" w:rsidR="00322E70" w:rsidRDefault="004F093B" w:rsidP="00A41CAE">
      <w:pPr>
        <w:pStyle w:val="Titrecouverture"/>
        <w:numPr>
          <w:ilvl w:val="1"/>
          <w:numId w:val="64"/>
        </w:numPr>
        <w:spacing w:after="0"/>
        <w:ind w:hanging="91"/>
        <w:jc w:val="both"/>
        <w:rPr>
          <w:b/>
          <w:bCs/>
          <w:sz w:val="24"/>
          <w:szCs w:val="24"/>
          <w:highlight w:val="cyan"/>
        </w:rPr>
      </w:pPr>
      <w:r w:rsidRPr="004F093B">
        <w:rPr>
          <w:b/>
          <w:bCs/>
          <w:sz w:val="24"/>
          <w:szCs w:val="24"/>
          <w:highlight w:val="cyan"/>
        </w:rPr>
        <w:t>Strengthen the Patient voice program</w:t>
      </w:r>
    </w:p>
    <w:p w14:paraId="530EA24A" w14:textId="70466CEE" w:rsidR="004F093B" w:rsidRPr="004F093B" w:rsidRDefault="00322E70" w:rsidP="00322E70">
      <w:pPr>
        <w:pStyle w:val="Titrecouverture"/>
        <w:jc w:val="both"/>
        <w:rPr>
          <w:b/>
          <w:bCs/>
          <w:sz w:val="24"/>
          <w:szCs w:val="24"/>
          <w:highlight w:val="cyan"/>
        </w:rPr>
      </w:pPr>
      <w:r>
        <w:rPr>
          <w:b/>
          <w:bCs/>
          <w:sz w:val="24"/>
          <w:szCs w:val="24"/>
          <w:highlight w:val="cyan"/>
        </w:rPr>
        <w:t>In seven districts in Rwanda</w:t>
      </w:r>
      <w:r w:rsidR="004F093B" w:rsidRPr="004F093B">
        <w:rPr>
          <w:b/>
          <w:bCs/>
          <w:sz w:val="24"/>
          <w:szCs w:val="24"/>
          <w:highlight w:val="cyan"/>
        </w:rPr>
        <w:t xml:space="preserve">” </w:t>
      </w:r>
    </w:p>
    <w:p w14:paraId="24E87061" w14:textId="7374C493" w:rsidR="004F07DF" w:rsidRPr="00994D44" w:rsidRDefault="004F07DF" w:rsidP="004F07DF">
      <w:pPr>
        <w:pStyle w:val="BodyText"/>
        <w:rPr>
          <w:rFonts w:ascii="Georgia" w:eastAsia="Calibri" w:hAnsi="Georgia" w:cs="Times New Roman"/>
          <w:color w:val="585756"/>
          <w:kern w:val="0"/>
          <w:sz w:val="21"/>
          <w:szCs w:val="21"/>
        </w:rPr>
      </w:pPr>
      <w:r w:rsidRPr="00944105">
        <w:rPr>
          <w:rFonts w:ascii="Georgia" w:hAnsi="Georgia"/>
          <w:color w:val="585756"/>
          <w:sz w:val="21"/>
          <w:szCs w:val="21"/>
        </w:rPr>
        <w:t>in conformity with the conditions of these Tender Specifications.</w:t>
      </w:r>
    </w:p>
    <w:p w14:paraId="042BFAE1" w14:textId="77777777" w:rsidR="004F07DF" w:rsidRPr="003658B5" w:rsidRDefault="004F07DF" w:rsidP="004F07DF">
      <w:pPr>
        <w:pStyle w:val="Heading2"/>
        <w:keepLines w:val="0"/>
        <w:widowControl w:val="0"/>
        <w:tabs>
          <w:tab w:val="num" w:pos="576"/>
        </w:tabs>
        <w:suppressAutoHyphens/>
        <w:spacing w:after="240"/>
        <w:ind w:left="578" w:hanging="578"/>
      </w:pPr>
      <w:bookmarkStart w:id="34" w:name="_Toc117027464"/>
      <w:r w:rsidRPr="003658B5">
        <w:t>Lots</w:t>
      </w:r>
      <w:r w:rsidRPr="003658B5">
        <w:rPr>
          <w:rStyle w:val="FootnoteReference"/>
        </w:rPr>
        <w:footnoteReference w:id="9"/>
      </w:r>
      <w:bookmarkEnd w:id="34"/>
    </w:p>
    <w:p w14:paraId="264441B6" w14:textId="77777777" w:rsidR="004F07DF" w:rsidRPr="000D5519" w:rsidRDefault="004F07DF" w:rsidP="004F07DF">
      <w:pPr>
        <w:pStyle w:val="BodyText"/>
        <w:rPr>
          <w:rFonts w:ascii="Georgia" w:hAnsi="Georgia"/>
          <w:i/>
          <w:color w:val="404040"/>
          <w:sz w:val="21"/>
          <w:szCs w:val="21"/>
        </w:rPr>
      </w:pPr>
      <w:r w:rsidRPr="000D5519">
        <w:rPr>
          <w:rFonts w:ascii="Georgia" w:hAnsi="Georgia"/>
          <w:color w:val="404040"/>
          <w:sz w:val="21"/>
          <w:szCs w:val="21"/>
        </w:rPr>
        <w:t xml:space="preserve"> </w:t>
      </w:r>
      <w:r w:rsidRPr="00C44D66">
        <w:rPr>
          <w:rFonts w:ascii="Georgia" w:hAnsi="Georgia"/>
          <w:i/>
          <w:color w:val="404040"/>
          <w:sz w:val="21"/>
          <w:szCs w:val="21"/>
          <w:highlight w:val="lightGray"/>
        </w:rPr>
        <w:t>(Articles 2, 52° and 58 of the Law and Articles 49 and 50 of the Royal Decree Award)</w:t>
      </w:r>
    </w:p>
    <w:p w14:paraId="2399B0E5" w14:textId="77777777" w:rsidR="004F07DF" w:rsidRPr="003658B5" w:rsidRDefault="004F07DF" w:rsidP="004F07DF">
      <w:pPr>
        <w:pStyle w:val="BodyText"/>
        <w:rPr>
          <w:rFonts w:ascii="Georgia" w:eastAsia="Calibri" w:hAnsi="Georgia" w:cs="Times New Roman"/>
          <w:color w:val="585756"/>
          <w:kern w:val="0"/>
          <w:sz w:val="21"/>
          <w:szCs w:val="22"/>
        </w:rPr>
      </w:pPr>
      <w:r>
        <w:rPr>
          <w:rFonts w:ascii="Georgia" w:hAnsi="Georgia"/>
          <w:color w:val="585756"/>
          <w:sz w:val="21"/>
          <w:szCs w:val="22"/>
        </w:rPr>
        <w:t>T</w:t>
      </w:r>
      <w:r w:rsidRPr="003658B5">
        <w:rPr>
          <w:rFonts w:ascii="Georgia" w:hAnsi="Georgia"/>
          <w:color w:val="585756"/>
          <w:sz w:val="21"/>
          <w:szCs w:val="22"/>
        </w:rPr>
        <w:t xml:space="preserve">he procurement contract has </w:t>
      </w:r>
      <w:r>
        <w:rPr>
          <w:rFonts w:ascii="Georgia" w:hAnsi="Georgia"/>
          <w:color w:val="585756"/>
          <w:sz w:val="21"/>
          <w:szCs w:val="22"/>
        </w:rPr>
        <w:t xml:space="preserve">one single Lot </w:t>
      </w:r>
      <w:r w:rsidRPr="003658B5">
        <w:rPr>
          <w:rFonts w:ascii="Georgia" w:hAnsi="Georgia"/>
          <w:color w:val="585756"/>
          <w:sz w:val="21"/>
          <w:szCs w:val="22"/>
        </w:rPr>
        <w:t>which is indivisible. A tender for part of a lot is inadmissible.</w:t>
      </w:r>
    </w:p>
    <w:p w14:paraId="5A24097F" w14:textId="77777777" w:rsidR="004F07DF" w:rsidRPr="003658B5" w:rsidRDefault="004F07DF" w:rsidP="004F07DF">
      <w:pPr>
        <w:pStyle w:val="Heading2"/>
        <w:keepLines w:val="0"/>
        <w:widowControl w:val="0"/>
        <w:tabs>
          <w:tab w:val="num" w:pos="576"/>
        </w:tabs>
        <w:suppressAutoHyphens/>
        <w:spacing w:after="240"/>
        <w:ind w:left="578" w:hanging="578"/>
      </w:pPr>
      <w:bookmarkStart w:id="35" w:name="_Toc117027465"/>
      <w:r>
        <w:t>Items</w:t>
      </w:r>
      <w:bookmarkEnd w:id="35"/>
    </w:p>
    <w:p w14:paraId="338D31D7" w14:textId="77777777" w:rsidR="004F07DF" w:rsidRPr="003658B5" w:rsidRDefault="004F07DF" w:rsidP="004F07DF">
      <w:pPr>
        <w:pStyle w:val="BodyText"/>
        <w:rPr>
          <w:rFonts w:ascii="Georgia" w:eastAsia="Calibri" w:hAnsi="Georgia" w:cs="Times New Roman"/>
          <w:color w:val="585756"/>
          <w:kern w:val="0"/>
          <w:sz w:val="21"/>
          <w:szCs w:val="22"/>
        </w:rPr>
      </w:pPr>
      <w:r>
        <w:rPr>
          <w:rFonts w:ascii="Georgia" w:hAnsi="Georgia"/>
          <w:color w:val="585756"/>
          <w:sz w:val="21"/>
          <w:szCs w:val="22"/>
        </w:rPr>
        <w:t xml:space="preserve">The procurement contract </w:t>
      </w:r>
      <w:r w:rsidRPr="003658B5">
        <w:rPr>
          <w:rFonts w:ascii="Georgia" w:hAnsi="Georgia"/>
          <w:color w:val="585756"/>
          <w:sz w:val="21"/>
          <w:szCs w:val="22"/>
        </w:rPr>
        <w:t xml:space="preserve">consists of </w:t>
      </w:r>
      <w:r>
        <w:rPr>
          <w:rFonts w:ascii="Georgia" w:hAnsi="Georgia"/>
          <w:color w:val="585756"/>
          <w:sz w:val="21"/>
          <w:szCs w:val="22"/>
        </w:rPr>
        <w:t>One item (</w:t>
      </w:r>
      <w:r w:rsidRPr="00D110CB">
        <w:rPr>
          <w:rFonts w:ascii="Georgia" w:hAnsi="Georgia"/>
          <w:color w:val="585756"/>
          <w:sz w:val="21"/>
          <w:szCs w:val="22"/>
        </w:rPr>
        <w:t>1)</w:t>
      </w:r>
      <w:r>
        <w:rPr>
          <w:rFonts w:ascii="Georgia" w:hAnsi="Georgia"/>
          <w:color w:val="585756"/>
          <w:sz w:val="21"/>
          <w:szCs w:val="22"/>
        </w:rPr>
        <w:t xml:space="preserve"> </w:t>
      </w:r>
      <w:r w:rsidRPr="00D110CB">
        <w:rPr>
          <w:rFonts w:ascii="Georgia" w:hAnsi="Georgia"/>
          <w:color w:val="585756"/>
          <w:sz w:val="21"/>
          <w:szCs w:val="22"/>
        </w:rPr>
        <w:t>with tasks described in ToRs below</w:t>
      </w:r>
      <w:r>
        <w:rPr>
          <w:rFonts w:ascii="Georgia" w:hAnsi="Georgia"/>
          <w:color w:val="585756"/>
          <w:sz w:val="21"/>
          <w:szCs w:val="22"/>
        </w:rPr>
        <w:t xml:space="preserve"> </w:t>
      </w:r>
      <w:r w:rsidRPr="00280334">
        <w:rPr>
          <w:rFonts w:ascii="Georgia" w:hAnsi="Georgia"/>
          <w:color w:val="585756"/>
          <w:sz w:val="21"/>
          <w:szCs w:val="22"/>
        </w:rPr>
        <w:t>(See also point 5 of the tender specification)</w:t>
      </w:r>
    </w:p>
    <w:p w14:paraId="4ABDE3BD" w14:textId="77777777" w:rsidR="004F07DF" w:rsidRPr="003658B5" w:rsidRDefault="004F07DF" w:rsidP="004F07DF">
      <w:pPr>
        <w:pStyle w:val="BodyText"/>
        <w:rPr>
          <w:rFonts w:ascii="Georgia" w:eastAsia="Calibri" w:hAnsi="Georgia" w:cs="Times New Roman"/>
          <w:color w:val="585756"/>
          <w:kern w:val="0"/>
          <w:sz w:val="21"/>
          <w:szCs w:val="22"/>
        </w:rPr>
      </w:pPr>
      <w:r w:rsidRPr="003658B5">
        <w:rPr>
          <w:rFonts w:ascii="Georgia" w:hAnsi="Georgia"/>
          <w:color w:val="585756"/>
          <w:sz w:val="21"/>
          <w:szCs w:val="22"/>
        </w:rPr>
        <w:t xml:space="preserve">These </w:t>
      </w:r>
      <w:r>
        <w:rPr>
          <w:rFonts w:ascii="Georgia" w:hAnsi="Georgia"/>
          <w:color w:val="585756"/>
          <w:sz w:val="21"/>
          <w:szCs w:val="22"/>
        </w:rPr>
        <w:t>tasks</w:t>
      </w:r>
      <w:r w:rsidRPr="003658B5">
        <w:rPr>
          <w:rFonts w:ascii="Georgia" w:hAnsi="Georgia"/>
          <w:color w:val="585756"/>
          <w:sz w:val="21"/>
          <w:szCs w:val="22"/>
        </w:rPr>
        <w:t xml:space="preserve"> are pooled and form one single procurement contract. </w:t>
      </w:r>
    </w:p>
    <w:p w14:paraId="71D6B34E" w14:textId="77777777" w:rsidR="004F07DF" w:rsidRPr="003658B5" w:rsidRDefault="004F07DF" w:rsidP="004F07DF">
      <w:pPr>
        <w:pStyle w:val="Heading2"/>
        <w:keepLines w:val="0"/>
        <w:widowControl w:val="0"/>
        <w:tabs>
          <w:tab w:val="num" w:pos="576"/>
        </w:tabs>
        <w:suppressAutoHyphens/>
        <w:spacing w:after="240"/>
        <w:ind w:left="578" w:hanging="578"/>
      </w:pPr>
      <w:bookmarkStart w:id="36" w:name="_Toc364253069"/>
      <w:bookmarkStart w:id="37" w:name="_Toc117027466"/>
      <w:r w:rsidRPr="003658B5">
        <w:t>Term of the procurement contract</w:t>
      </w:r>
      <w:bookmarkEnd w:id="36"/>
      <w:r w:rsidRPr="003658B5">
        <w:rPr>
          <w:rStyle w:val="FootnoteReference"/>
        </w:rPr>
        <w:footnoteReference w:id="10"/>
      </w:r>
      <w:bookmarkEnd w:id="37"/>
    </w:p>
    <w:p w14:paraId="54A9BBE2" w14:textId="77777777" w:rsidR="004F07DF" w:rsidRPr="00C44D66" w:rsidRDefault="004F07DF" w:rsidP="004F07DF">
      <w:pPr>
        <w:spacing w:line="259" w:lineRule="auto"/>
        <w:jc w:val="both"/>
        <w:rPr>
          <w:rFonts w:cs="Arial"/>
        </w:rPr>
      </w:pPr>
      <w:r w:rsidRPr="00C44D66">
        <w:rPr>
          <w:rFonts w:cs="Arial"/>
        </w:rPr>
        <w:t xml:space="preserve">The contract begins upon award notification and has an overall duration of maximum of </w:t>
      </w:r>
      <w:r>
        <w:rPr>
          <w:rFonts w:cs="Arial"/>
        </w:rPr>
        <w:t>sixty days (60</w:t>
      </w:r>
      <w:r w:rsidRPr="00C44D66">
        <w:rPr>
          <w:rFonts w:cs="Arial"/>
        </w:rPr>
        <w:t xml:space="preserve">) starting form </w:t>
      </w:r>
      <w:r w:rsidRPr="003056B0">
        <w:rPr>
          <w:rFonts w:cs="Calibri"/>
          <w:bCs/>
          <w:lang w:val="en-US"/>
        </w:rPr>
        <w:t>from the date of receiving notification award</w:t>
      </w:r>
      <w:r w:rsidRPr="00C44D66">
        <w:rPr>
          <w:rFonts w:cs="Arial"/>
        </w:rPr>
        <w:t xml:space="preserve">. </w:t>
      </w:r>
    </w:p>
    <w:p w14:paraId="0E99B362" w14:textId="77777777" w:rsidR="004F07DF" w:rsidRPr="003658B5" w:rsidRDefault="004F07DF" w:rsidP="004F07DF">
      <w:pPr>
        <w:pStyle w:val="Heading2"/>
        <w:keepLines w:val="0"/>
        <w:widowControl w:val="0"/>
        <w:tabs>
          <w:tab w:val="num" w:pos="576"/>
        </w:tabs>
        <w:suppressAutoHyphens/>
        <w:spacing w:after="240"/>
        <w:ind w:left="578" w:hanging="578"/>
      </w:pPr>
      <w:bookmarkStart w:id="38" w:name="_Toc117027467"/>
      <w:bookmarkStart w:id="39" w:name="_Toc257039826"/>
      <w:bookmarkStart w:id="40" w:name="_Toc366161158"/>
      <w:r>
        <w:t>Variants</w:t>
      </w:r>
      <w:bookmarkEnd w:id="38"/>
      <w:r>
        <w:t xml:space="preserve"> </w:t>
      </w:r>
      <w:bookmarkEnd w:id="39"/>
      <w:bookmarkEnd w:id="40"/>
    </w:p>
    <w:p w14:paraId="398367C1" w14:textId="77777777" w:rsidR="004F07DF" w:rsidRPr="003658B5" w:rsidRDefault="004F07DF" w:rsidP="004F07DF">
      <w:pPr>
        <w:pStyle w:val="BodyText"/>
        <w:rPr>
          <w:rFonts w:ascii="Georgia" w:eastAsia="Calibri" w:hAnsi="Georgia" w:cs="Times New Roman"/>
          <w:color w:val="585756"/>
          <w:kern w:val="0"/>
          <w:sz w:val="21"/>
          <w:szCs w:val="22"/>
        </w:rPr>
      </w:pPr>
      <w:r w:rsidRPr="003658B5">
        <w:rPr>
          <w:rFonts w:ascii="Georgia" w:hAnsi="Georgia"/>
          <w:color w:val="585756"/>
          <w:sz w:val="21"/>
          <w:szCs w:val="22"/>
        </w:rPr>
        <w:t>Variants are not permitted.</w:t>
      </w:r>
    </w:p>
    <w:p w14:paraId="013036F3" w14:textId="77777777" w:rsidR="004F07DF" w:rsidRPr="003658B5" w:rsidRDefault="004F07DF" w:rsidP="004F07DF">
      <w:pPr>
        <w:pStyle w:val="BodyText"/>
        <w:rPr>
          <w:rFonts w:ascii="Georgia" w:eastAsia="Calibri" w:hAnsi="Georgia" w:cs="Times New Roman"/>
          <w:color w:val="585756"/>
          <w:kern w:val="0"/>
          <w:sz w:val="21"/>
          <w:szCs w:val="22"/>
        </w:rPr>
      </w:pPr>
      <w:r w:rsidRPr="003658B5">
        <w:rPr>
          <w:rFonts w:ascii="Georgia" w:hAnsi="Georgia"/>
          <w:color w:val="585756"/>
          <w:sz w:val="21"/>
          <w:szCs w:val="22"/>
        </w:rPr>
        <w:t>Each tenderer may submit only one t</w:t>
      </w:r>
      <w:r>
        <w:rPr>
          <w:rFonts w:ascii="Georgia" w:hAnsi="Georgia"/>
          <w:color w:val="585756"/>
          <w:sz w:val="21"/>
          <w:szCs w:val="22"/>
        </w:rPr>
        <w:t>ender.</w:t>
      </w:r>
    </w:p>
    <w:p w14:paraId="31B8C7F8" w14:textId="77777777" w:rsidR="004F07DF" w:rsidRPr="003658B5" w:rsidRDefault="004F07DF" w:rsidP="004F07DF">
      <w:pPr>
        <w:pStyle w:val="Heading2"/>
        <w:keepLines w:val="0"/>
        <w:widowControl w:val="0"/>
        <w:tabs>
          <w:tab w:val="num" w:pos="576"/>
        </w:tabs>
        <w:suppressAutoHyphens/>
        <w:spacing w:after="240"/>
        <w:ind w:left="578" w:hanging="578"/>
      </w:pPr>
      <w:bookmarkStart w:id="41" w:name="_Ref264270773"/>
      <w:bookmarkStart w:id="42" w:name="_Toc364253071"/>
      <w:bookmarkStart w:id="43" w:name="_Toc117027468"/>
      <w:r>
        <w:t>Option</w:t>
      </w:r>
      <w:bookmarkEnd w:id="41"/>
      <w:bookmarkEnd w:id="42"/>
      <w:bookmarkEnd w:id="43"/>
    </w:p>
    <w:p w14:paraId="18DC37B5" w14:textId="77777777" w:rsidR="004F07DF" w:rsidRPr="00211A79" w:rsidRDefault="004F07DF" w:rsidP="004F07DF">
      <w:pPr>
        <w:pStyle w:val="BodyText"/>
        <w:rPr>
          <w:rFonts w:ascii="Georgia" w:eastAsia="Calibri" w:hAnsi="Georgia" w:cs="Times New Roman"/>
          <w:color w:val="585756"/>
          <w:kern w:val="0"/>
          <w:sz w:val="21"/>
          <w:szCs w:val="22"/>
        </w:rPr>
      </w:pPr>
      <w:r>
        <w:rPr>
          <w:rFonts w:ascii="Georgia" w:hAnsi="Georgia"/>
          <w:color w:val="585756"/>
          <w:sz w:val="21"/>
          <w:szCs w:val="22"/>
        </w:rPr>
        <w:t>Options are</w:t>
      </w:r>
      <w:r w:rsidRPr="001D0900">
        <w:rPr>
          <w:rFonts w:ascii="Georgia" w:hAnsi="Georgia"/>
          <w:color w:val="585756"/>
          <w:sz w:val="21"/>
          <w:szCs w:val="22"/>
        </w:rPr>
        <w:t xml:space="preserve"> not permitted</w:t>
      </w:r>
      <w:r>
        <w:rPr>
          <w:rFonts w:ascii="Georgia" w:hAnsi="Georgia"/>
          <w:color w:val="585756"/>
          <w:sz w:val="21"/>
          <w:szCs w:val="22"/>
        </w:rPr>
        <w:t>.</w:t>
      </w:r>
    </w:p>
    <w:p w14:paraId="5351EC16" w14:textId="77777777" w:rsidR="004F07DF" w:rsidRPr="003658B5" w:rsidRDefault="004F07DF" w:rsidP="004F07DF">
      <w:pPr>
        <w:pStyle w:val="Heading2"/>
        <w:keepLines w:val="0"/>
        <w:widowControl w:val="0"/>
        <w:tabs>
          <w:tab w:val="num" w:pos="576"/>
        </w:tabs>
        <w:suppressAutoHyphens/>
        <w:spacing w:after="240"/>
        <w:ind w:left="578" w:hanging="578"/>
      </w:pPr>
      <w:bookmarkStart w:id="44" w:name="_Toc364253072"/>
      <w:bookmarkStart w:id="45" w:name="_Toc117027469"/>
      <w:r>
        <w:t>Quantity</w:t>
      </w:r>
      <w:bookmarkEnd w:id="44"/>
      <w:bookmarkEnd w:id="45"/>
    </w:p>
    <w:p w14:paraId="08DAFB93" w14:textId="77777777" w:rsidR="004F07DF" w:rsidRPr="00CE724A" w:rsidRDefault="004F07DF" w:rsidP="004F07DF">
      <w:pPr>
        <w:pStyle w:val="BodyText"/>
        <w:rPr>
          <w:rFonts w:ascii="Georgia" w:hAnsi="Georgia"/>
          <w:i/>
          <w:sz w:val="21"/>
          <w:szCs w:val="21"/>
        </w:rPr>
      </w:pPr>
      <w:r w:rsidRPr="00C44D66">
        <w:rPr>
          <w:rFonts w:ascii="Georgia" w:hAnsi="Georgia"/>
          <w:i/>
          <w:sz w:val="21"/>
          <w:szCs w:val="21"/>
          <w:highlight w:val="lightGray"/>
        </w:rPr>
        <w:t>(Art. 57 of the Law)</w:t>
      </w:r>
    </w:p>
    <w:p w14:paraId="53F1DDAA" w14:textId="77777777" w:rsidR="004F07DF" w:rsidRDefault="004F07DF" w:rsidP="004F07DF">
      <w:pPr>
        <w:pStyle w:val="BodyText"/>
        <w:rPr>
          <w:rFonts w:ascii="Georgia" w:hAnsi="Georgia"/>
          <w:color w:val="585756"/>
          <w:sz w:val="21"/>
          <w:szCs w:val="22"/>
        </w:rPr>
      </w:pPr>
      <w:r w:rsidRPr="00CE724A">
        <w:rPr>
          <w:rFonts w:ascii="Georgia" w:hAnsi="Georgia"/>
          <w:color w:val="585756"/>
          <w:sz w:val="21"/>
          <w:szCs w:val="22"/>
        </w:rPr>
        <w:t>Quantities are determined in the ToRs (see point 5 of the tender specifications)</w:t>
      </w:r>
    </w:p>
    <w:p w14:paraId="00D1A37F" w14:textId="77777777" w:rsidR="004F07DF" w:rsidRPr="00C44D66" w:rsidRDefault="004F07DF" w:rsidP="004F07DF">
      <w:pPr>
        <w:pStyle w:val="BodyText"/>
        <w:rPr>
          <w:rFonts w:ascii="Georgia" w:hAnsi="Georgia"/>
          <w:i/>
          <w:sz w:val="21"/>
          <w:szCs w:val="21"/>
          <w:highlight w:val="lightGray"/>
        </w:rPr>
        <w:sectPr w:rsidR="004F07DF" w:rsidRPr="00C44D66" w:rsidSect="004223E4">
          <w:pgSz w:w="11906" w:h="16838"/>
          <w:pgMar w:top="851" w:right="1133" w:bottom="851" w:left="1871" w:header="709" w:footer="709" w:gutter="0"/>
          <w:cols w:space="708"/>
          <w:titlePg/>
          <w:docGrid w:linePitch="360"/>
        </w:sectPr>
      </w:pPr>
    </w:p>
    <w:p w14:paraId="0579DF5C" w14:textId="77777777" w:rsidR="004F07DF" w:rsidRPr="003A3FB7" w:rsidRDefault="004F07DF" w:rsidP="004F07DF">
      <w:pPr>
        <w:pStyle w:val="Heading1"/>
        <w:numPr>
          <w:ilvl w:val="0"/>
          <w:numId w:val="5"/>
        </w:numPr>
      </w:pPr>
      <w:bookmarkStart w:id="46" w:name="_Toc117027470"/>
      <w:r>
        <w:lastRenderedPageBreak/>
        <w:t>Procedures for</w:t>
      </w:r>
      <w:r w:rsidRPr="003658B5">
        <w:t xml:space="preserve"> the procurement contract</w:t>
      </w:r>
      <w:bookmarkEnd w:id="46"/>
    </w:p>
    <w:p w14:paraId="2F7A83F2" w14:textId="77777777" w:rsidR="004F07DF" w:rsidRPr="003658B5" w:rsidRDefault="004F07DF" w:rsidP="004F07DF">
      <w:pPr>
        <w:pStyle w:val="Heading2"/>
      </w:pPr>
      <w:bookmarkStart w:id="47" w:name="_Toc364253074"/>
      <w:bookmarkStart w:id="48" w:name="_Toc117027471"/>
      <w:bookmarkStart w:id="49" w:name="_Ref224472424"/>
      <w:bookmarkStart w:id="50" w:name="_Ref224472425"/>
      <w:bookmarkStart w:id="51" w:name="_Toc257380481"/>
      <w:bookmarkStart w:id="52" w:name="_Toc260134198"/>
      <w:r>
        <w:t>Award procedure</w:t>
      </w:r>
      <w:bookmarkEnd w:id="47"/>
      <w:bookmarkEnd w:id="48"/>
    </w:p>
    <w:p w14:paraId="0A24B0BE" w14:textId="77777777" w:rsidR="004F07DF" w:rsidRPr="003658B5" w:rsidRDefault="004F07DF" w:rsidP="004F07DF">
      <w:pPr>
        <w:pStyle w:val="BodyText"/>
        <w:rPr>
          <w:rFonts w:ascii="Georgia" w:eastAsia="Calibri" w:hAnsi="Georgia" w:cs="Times New Roman"/>
          <w:color w:val="585756"/>
          <w:kern w:val="0"/>
          <w:sz w:val="21"/>
          <w:szCs w:val="22"/>
        </w:rPr>
      </w:pPr>
      <w:r w:rsidRPr="00862FD3">
        <w:rPr>
          <w:rFonts w:ascii="Georgia" w:hAnsi="Georgia"/>
          <w:color w:val="585756"/>
          <w:sz w:val="21"/>
          <w:szCs w:val="22"/>
          <w:highlight w:val="yellow"/>
        </w:rPr>
        <w:t>Negotiated Procedure without Prior Publication in application of Article 42 of the Law of 17 June 2016.</w:t>
      </w:r>
    </w:p>
    <w:p w14:paraId="3C9D2AB3" w14:textId="77777777" w:rsidR="004F07DF" w:rsidRPr="003658B5" w:rsidRDefault="004F07DF" w:rsidP="004F07DF">
      <w:pPr>
        <w:pStyle w:val="Heading2"/>
        <w:keepLines w:val="0"/>
        <w:widowControl w:val="0"/>
        <w:numPr>
          <w:ilvl w:val="1"/>
          <w:numId w:val="5"/>
        </w:numPr>
        <w:tabs>
          <w:tab w:val="num" w:pos="576"/>
        </w:tabs>
        <w:suppressAutoHyphens/>
        <w:spacing w:after="240"/>
      </w:pPr>
      <w:bookmarkStart w:id="53" w:name="_Toc364253075"/>
      <w:bookmarkStart w:id="54" w:name="_Toc117027472"/>
      <w:r w:rsidRPr="003658B5">
        <w:t>Semi-official notification</w:t>
      </w:r>
      <w:bookmarkEnd w:id="53"/>
      <w:bookmarkEnd w:id="54"/>
    </w:p>
    <w:p w14:paraId="747BE3A9" w14:textId="77777777" w:rsidR="004F07DF" w:rsidRPr="003658B5" w:rsidRDefault="004F07DF" w:rsidP="004F07DF">
      <w:pPr>
        <w:pStyle w:val="Heading3"/>
        <w:keepNext/>
        <w:widowControl w:val="0"/>
        <w:numPr>
          <w:ilvl w:val="2"/>
          <w:numId w:val="5"/>
        </w:numPr>
        <w:tabs>
          <w:tab w:val="num" w:pos="720"/>
        </w:tabs>
        <w:suppressAutoHyphens/>
        <w:autoSpaceDE/>
        <w:autoSpaceDN/>
        <w:adjustRightInd/>
        <w:spacing w:before="180" w:after="180"/>
        <w:contextualSpacing w:val="0"/>
      </w:pPr>
      <w:bookmarkStart w:id="55" w:name="_Toc117027473"/>
      <w:r w:rsidRPr="003658B5">
        <w:t>Enabel publication</w:t>
      </w:r>
      <w:bookmarkEnd w:id="55"/>
      <w:r w:rsidRPr="003658B5">
        <w:t xml:space="preserve"> </w:t>
      </w:r>
    </w:p>
    <w:p w14:paraId="4FD9CF9E" w14:textId="0886DDA2" w:rsidR="004F07DF" w:rsidRPr="003658B5" w:rsidRDefault="004F07DF" w:rsidP="004F07DF">
      <w:pPr>
        <w:pStyle w:val="BodyText"/>
        <w:rPr>
          <w:rFonts w:ascii="Georgia" w:hAnsi="Georgia"/>
          <w:sz w:val="21"/>
          <w:szCs w:val="21"/>
        </w:rPr>
      </w:pPr>
      <w:r w:rsidRPr="003658B5">
        <w:rPr>
          <w:rFonts w:ascii="Georgia" w:hAnsi="Georgia"/>
          <w:color w:val="585756"/>
          <w:sz w:val="21"/>
          <w:szCs w:val="22"/>
        </w:rPr>
        <w:t xml:space="preserve">This procurement contract is published on the Enabel website (www.enabel.be) </w:t>
      </w:r>
      <w:r w:rsidRPr="00B54AB2">
        <w:rPr>
          <w:rFonts w:ascii="Georgia" w:hAnsi="Georgia"/>
          <w:b/>
          <w:color w:val="585756"/>
          <w:sz w:val="21"/>
          <w:szCs w:val="22"/>
          <w:highlight w:val="yellow"/>
        </w:rPr>
        <w:t xml:space="preserve">Up to </w:t>
      </w:r>
      <w:r w:rsidR="00D31701">
        <w:rPr>
          <w:rFonts w:ascii="Georgia" w:hAnsi="Georgia"/>
          <w:b/>
          <w:color w:val="585756"/>
          <w:sz w:val="21"/>
          <w:szCs w:val="22"/>
          <w:highlight w:val="yellow"/>
        </w:rPr>
        <w:t>30</w:t>
      </w:r>
      <w:r w:rsidR="00317D01">
        <w:rPr>
          <w:rFonts w:ascii="Georgia" w:hAnsi="Georgia"/>
          <w:b/>
          <w:color w:val="585756"/>
          <w:sz w:val="21"/>
          <w:szCs w:val="22"/>
          <w:highlight w:val="yellow"/>
        </w:rPr>
        <w:t>/</w:t>
      </w:r>
      <w:r w:rsidR="000A350A">
        <w:rPr>
          <w:rFonts w:ascii="Georgia" w:hAnsi="Georgia"/>
          <w:b/>
          <w:color w:val="585756"/>
          <w:sz w:val="21"/>
          <w:szCs w:val="22"/>
          <w:highlight w:val="yellow"/>
        </w:rPr>
        <w:t>1</w:t>
      </w:r>
      <w:r w:rsidR="00862FD3">
        <w:rPr>
          <w:rFonts w:ascii="Georgia" w:hAnsi="Georgia"/>
          <w:b/>
          <w:color w:val="585756"/>
          <w:sz w:val="21"/>
          <w:szCs w:val="22"/>
          <w:highlight w:val="yellow"/>
        </w:rPr>
        <w:t>1</w:t>
      </w:r>
      <w:r>
        <w:rPr>
          <w:rFonts w:ascii="Georgia" w:hAnsi="Georgia"/>
          <w:b/>
          <w:color w:val="585756"/>
          <w:sz w:val="21"/>
          <w:szCs w:val="22"/>
          <w:highlight w:val="yellow"/>
        </w:rPr>
        <w:t>/2022</w:t>
      </w:r>
      <w:r w:rsidRPr="00B54AB2">
        <w:rPr>
          <w:rFonts w:ascii="Georgia" w:hAnsi="Georgia"/>
          <w:color w:val="585756"/>
          <w:sz w:val="21"/>
          <w:szCs w:val="22"/>
          <w:highlight w:val="yellow"/>
        </w:rPr>
        <w:t>.</w:t>
      </w:r>
    </w:p>
    <w:p w14:paraId="71FEB8BC" w14:textId="77777777" w:rsidR="004F07DF" w:rsidRPr="003658B5" w:rsidRDefault="004F07DF" w:rsidP="004F07DF">
      <w:pPr>
        <w:pStyle w:val="Heading2"/>
        <w:keepLines w:val="0"/>
        <w:widowControl w:val="0"/>
        <w:numPr>
          <w:ilvl w:val="1"/>
          <w:numId w:val="5"/>
        </w:numPr>
        <w:tabs>
          <w:tab w:val="num" w:pos="576"/>
        </w:tabs>
        <w:suppressAutoHyphens/>
        <w:spacing w:after="240"/>
      </w:pPr>
      <w:bookmarkStart w:id="56" w:name="_Toc364253076"/>
      <w:bookmarkStart w:id="57" w:name="_Toc117027474"/>
      <w:r w:rsidRPr="003658B5">
        <w:t>Information</w:t>
      </w:r>
      <w:bookmarkEnd w:id="49"/>
      <w:bookmarkEnd w:id="50"/>
      <w:bookmarkEnd w:id="51"/>
      <w:bookmarkEnd w:id="52"/>
      <w:bookmarkEnd w:id="56"/>
      <w:bookmarkEnd w:id="57"/>
    </w:p>
    <w:p w14:paraId="54020A6B" w14:textId="77777777" w:rsidR="004F07DF" w:rsidRPr="00210059" w:rsidRDefault="004F07DF" w:rsidP="004F07DF">
      <w:pPr>
        <w:pStyle w:val="BTCtextCTB"/>
        <w:rPr>
          <w:rFonts w:ascii="Georgia" w:hAnsi="Georgia"/>
          <w:sz w:val="21"/>
          <w:szCs w:val="22"/>
        </w:rPr>
      </w:pPr>
      <w:r w:rsidRPr="00210059">
        <w:rPr>
          <w:rFonts w:ascii="Georgia" w:hAnsi="Georgia"/>
          <w:sz w:val="21"/>
          <w:szCs w:val="22"/>
        </w:rPr>
        <w:t xml:space="preserve">The awarding of this procurement contract is coordinated by </w:t>
      </w:r>
      <w:r w:rsidRPr="00210059">
        <w:rPr>
          <w:rFonts w:ascii="Georgia" w:hAnsi="Georgia"/>
          <w:b/>
          <w:sz w:val="21"/>
          <w:szCs w:val="22"/>
        </w:rPr>
        <w:t xml:space="preserve">Mrs. Françoise MUSHIMIYIMANA, National Expert in </w:t>
      </w:r>
      <w:proofErr w:type="spellStart"/>
      <w:r w:rsidRPr="00210059">
        <w:rPr>
          <w:rFonts w:ascii="Georgia" w:hAnsi="Georgia"/>
          <w:b/>
          <w:sz w:val="21"/>
          <w:szCs w:val="22"/>
        </w:rPr>
        <w:t>Contractualization</w:t>
      </w:r>
      <w:proofErr w:type="spellEnd"/>
      <w:r w:rsidRPr="00210059">
        <w:rPr>
          <w:rFonts w:ascii="Georgia" w:hAnsi="Georgia"/>
          <w:b/>
          <w:sz w:val="21"/>
          <w:szCs w:val="22"/>
        </w:rPr>
        <w:t xml:space="preserve"> and Administration at Enabel Rwanda </w:t>
      </w:r>
      <w:r w:rsidRPr="00210059">
        <w:rPr>
          <w:rFonts w:ascii="Georgia" w:hAnsi="Georgia"/>
          <w:sz w:val="21"/>
          <w:szCs w:val="22"/>
        </w:rPr>
        <w:t xml:space="preserve">– </w:t>
      </w:r>
      <w:hyperlink r:id="rId21" w:history="1">
        <w:r w:rsidRPr="00210059">
          <w:rPr>
            <w:rStyle w:val="Hyperlink"/>
            <w:rFonts w:ascii="Georgia" w:hAnsi="Georgia"/>
            <w:color w:val="auto"/>
            <w:sz w:val="21"/>
            <w:szCs w:val="22"/>
          </w:rPr>
          <w:t>francoise.mushimiyimana@enabel.be</w:t>
        </w:r>
      </w:hyperlink>
      <w:r>
        <w:rPr>
          <w:rStyle w:val="Hyperlink"/>
          <w:rFonts w:ascii="Georgia" w:hAnsi="Georgia"/>
          <w:color w:val="auto"/>
          <w:sz w:val="21"/>
          <w:szCs w:val="22"/>
        </w:rPr>
        <w:t xml:space="preserve"> </w:t>
      </w:r>
    </w:p>
    <w:p w14:paraId="6D568A1A"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Throughout this procedure all contacts between the contracting authority and the (prospective) tenderers about this procurement contract will exclusively pass through this this person. (Prospective) tenderers are prohibited to contact the contracting authority in any other way with regards to this contract, unless otherwise stipulated in these Tender Specifications.</w:t>
      </w:r>
    </w:p>
    <w:p w14:paraId="2BFD027B" w14:textId="1D4021B4" w:rsidR="004F07DF" w:rsidRPr="00210059" w:rsidRDefault="004F07DF" w:rsidP="004F07DF">
      <w:pPr>
        <w:pStyle w:val="BTCtextCTB"/>
        <w:rPr>
          <w:rFonts w:ascii="Georgia" w:hAnsi="Georgia"/>
          <w:sz w:val="21"/>
          <w:szCs w:val="22"/>
        </w:rPr>
      </w:pPr>
      <w:r w:rsidRPr="00210059">
        <w:rPr>
          <w:rFonts w:ascii="Georgia" w:hAnsi="Georgia"/>
          <w:sz w:val="21"/>
          <w:szCs w:val="22"/>
        </w:rPr>
        <w:t xml:space="preserve">Until </w:t>
      </w:r>
      <w:r w:rsidR="00E71B84" w:rsidRPr="00D31701">
        <w:rPr>
          <w:rFonts w:ascii="Georgia" w:hAnsi="Georgia"/>
          <w:b/>
          <w:bCs/>
          <w:sz w:val="21"/>
          <w:szCs w:val="22"/>
          <w:highlight w:val="yellow"/>
        </w:rPr>
        <w:t>15</w:t>
      </w:r>
      <w:r w:rsidRPr="00317D01">
        <w:rPr>
          <w:rFonts w:ascii="Georgia" w:hAnsi="Georgia"/>
          <w:b/>
          <w:sz w:val="21"/>
          <w:szCs w:val="22"/>
          <w:highlight w:val="yellow"/>
          <w:shd w:val="clear" w:color="auto" w:fill="FFFF00"/>
        </w:rPr>
        <w:t>/</w:t>
      </w:r>
      <w:r w:rsidR="000A350A">
        <w:rPr>
          <w:rFonts w:ascii="Georgia" w:hAnsi="Georgia"/>
          <w:b/>
          <w:sz w:val="21"/>
          <w:szCs w:val="22"/>
          <w:highlight w:val="yellow"/>
          <w:shd w:val="clear" w:color="auto" w:fill="FFFF00"/>
        </w:rPr>
        <w:t>1</w:t>
      </w:r>
      <w:r w:rsidR="00D31701">
        <w:rPr>
          <w:rFonts w:ascii="Georgia" w:hAnsi="Georgia"/>
          <w:b/>
          <w:sz w:val="21"/>
          <w:szCs w:val="22"/>
          <w:highlight w:val="yellow"/>
          <w:shd w:val="clear" w:color="auto" w:fill="FFFF00"/>
        </w:rPr>
        <w:t>1</w:t>
      </w:r>
      <w:r>
        <w:rPr>
          <w:rFonts w:ascii="Georgia" w:hAnsi="Georgia"/>
          <w:b/>
          <w:sz w:val="21"/>
          <w:szCs w:val="22"/>
          <w:highlight w:val="yellow"/>
        </w:rPr>
        <w:t>/2022</w:t>
      </w:r>
      <w:r w:rsidRPr="00210059">
        <w:rPr>
          <w:rFonts w:ascii="Georgia" w:hAnsi="Georgia"/>
          <w:b/>
          <w:sz w:val="21"/>
          <w:szCs w:val="22"/>
        </w:rPr>
        <w:t xml:space="preserve"> </w:t>
      </w:r>
      <w:r w:rsidRPr="00210059">
        <w:rPr>
          <w:rFonts w:ascii="Georgia" w:hAnsi="Georgia"/>
          <w:sz w:val="21"/>
          <w:szCs w:val="22"/>
        </w:rPr>
        <w:t>inclusive (</w:t>
      </w:r>
      <w:r>
        <w:rPr>
          <w:rFonts w:ascii="Georgia" w:hAnsi="Georgia"/>
          <w:sz w:val="21"/>
          <w:szCs w:val="22"/>
        </w:rPr>
        <w:t>15</w:t>
      </w:r>
      <w:r w:rsidRPr="00210059">
        <w:rPr>
          <w:rFonts w:ascii="Georgia" w:hAnsi="Georgia"/>
          <w:sz w:val="21"/>
          <w:szCs w:val="22"/>
        </w:rPr>
        <w:t xml:space="preserve"> days before the deadline for submission of bids), candidate/tenderers may ask questions about these Tender Specifications and the procurement contract. </w:t>
      </w:r>
    </w:p>
    <w:p w14:paraId="2454E60D" w14:textId="77777777" w:rsidR="004F07DF" w:rsidRPr="00210059" w:rsidRDefault="004F07DF" w:rsidP="004F07DF">
      <w:pPr>
        <w:pStyle w:val="BTCtextCTB"/>
        <w:rPr>
          <w:rFonts w:ascii="Georgia" w:hAnsi="Georgia"/>
          <w:sz w:val="21"/>
          <w:szCs w:val="22"/>
        </w:rPr>
      </w:pPr>
      <w:r w:rsidRPr="00210059">
        <w:rPr>
          <w:rFonts w:ascii="Georgia" w:hAnsi="Georgia"/>
          <w:sz w:val="21"/>
          <w:szCs w:val="22"/>
        </w:rPr>
        <w:t>Questions will be in writing to:</w:t>
      </w:r>
    </w:p>
    <w:p w14:paraId="680A517E" w14:textId="67F04754" w:rsidR="004F07DF" w:rsidRPr="00A42073" w:rsidRDefault="004F07DF" w:rsidP="004F07DF">
      <w:pPr>
        <w:pStyle w:val="BTCtextCTB"/>
        <w:jc w:val="center"/>
        <w:rPr>
          <w:rFonts w:ascii="Georgia" w:hAnsi="Georgia"/>
          <w:color w:val="585756"/>
          <w:sz w:val="21"/>
          <w:szCs w:val="22"/>
          <w:lang w:val="fr-BE"/>
        </w:rPr>
      </w:pPr>
      <w:r w:rsidRPr="00210059">
        <w:rPr>
          <w:rFonts w:ascii="Georgia" w:hAnsi="Georgia"/>
          <w:sz w:val="21"/>
          <w:szCs w:val="22"/>
          <w:lang w:val="fr-BE"/>
        </w:rPr>
        <w:t>Françoise MUSHIMIYIMANA</w:t>
      </w:r>
      <w:r w:rsidRPr="00A42073">
        <w:rPr>
          <w:rFonts w:ascii="Georgia" w:hAnsi="Georgia"/>
          <w:color w:val="585756"/>
          <w:sz w:val="21"/>
          <w:szCs w:val="22"/>
          <w:lang w:val="fr-BE"/>
        </w:rPr>
        <w:t>, (</w:t>
      </w:r>
      <w:r w:rsidR="00000000">
        <w:fldChar w:fldCharType="begin"/>
      </w:r>
      <w:r w:rsidR="00000000" w:rsidRPr="002570CD">
        <w:rPr>
          <w:lang w:val="fr-FR"/>
        </w:rPr>
        <w:instrText xml:space="preserve"> HYPERLINK "mailto:francoise.mushimiyimana@enabel.be" </w:instrText>
      </w:r>
      <w:r w:rsidR="00000000">
        <w:fldChar w:fldCharType="separate"/>
      </w:r>
      <w:r w:rsidRPr="00A42073">
        <w:rPr>
          <w:rStyle w:val="Hyperlink"/>
          <w:rFonts w:ascii="Georgia" w:hAnsi="Georgia"/>
          <w:sz w:val="21"/>
          <w:szCs w:val="22"/>
          <w:lang w:val="fr-BE"/>
        </w:rPr>
        <w:t>francoise.mushimiyimana@enabel.be</w:t>
      </w:r>
      <w:r w:rsidR="00000000">
        <w:rPr>
          <w:rStyle w:val="Hyperlink"/>
          <w:rFonts w:ascii="Georgia" w:hAnsi="Georgia"/>
          <w:sz w:val="21"/>
          <w:szCs w:val="22"/>
          <w:lang w:val="fr-BE"/>
        </w:rPr>
        <w:fldChar w:fldCharType="end"/>
      </w:r>
      <w:r w:rsidR="00452E40" w:rsidRPr="00452E40">
        <w:rPr>
          <w:rStyle w:val="Hyperlink"/>
          <w:rFonts w:ascii="Georgia" w:hAnsi="Georgia"/>
          <w:color w:val="auto"/>
          <w:sz w:val="21"/>
          <w:szCs w:val="22"/>
          <w:lang w:val="fr-BE"/>
        </w:rPr>
        <w:t>)</w:t>
      </w:r>
      <w:r w:rsidRPr="00A42073">
        <w:rPr>
          <w:rFonts w:ascii="Georgia" w:hAnsi="Georgia"/>
          <w:color w:val="585756"/>
          <w:sz w:val="21"/>
          <w:szCs w:val="22"/>
          <w:lang w:val="fr-BE"/>
        </w:rPr>
        <w:t xml:space="preserve">, </w:t>
      </w:r>
    </w:p>
    <w:p w14:paraId="6EE547A1" w14:textId="4DB09A79" w:rsidR="004F07DF" w:rsidRDefault="004F07DF" w:rsidP="004F07DF">
      <w:pPr>
        <w:pStyle w:val="BTCtextCTB"/>
        <w:jc w:val="center"/>
        <w:rPr>
          <w:rFonts w:ascii="Georgia" w:hAnsi="Georgia"/>
          <w:sz w:val="21"/>
          <w:szCs w:val="22"/>
        </w:rPr>
      </w:pPr>
      <w:r w:rsidRPr="00210059">
        <w:rPr>
          <w:rFonts w:ascii="Georgia" w:hAnsi="Georgia"/>
          <w:sz w:val="21"/>
          <w:szCs w:val="22"/>
        </w:rPr>
        <w:t>with copy to</w:t>
      </w:r>
    </w:p>
    <w:p w14:paraId="0B22E269" w14:textId="08F5E202" w:rsidR="00D31701" w:rsidRPr="008A398C" w:rsidRDefault="00D31701" w:rsidP="004F07DF">
      <w:pPr>
        <w:pStyle w:val="BTCtextCTB"/>
        <w:jc w:val="center"/>
        <w:rPr>
          <w:rFonts w:ascii="Georgia" w:hAnsi="Georgia"/>
          <w:sz w:val="21"/>
          <w:szCs w:val="22"/>
          <w:lang w:val="en-US"/>
        </w:rPr>
      </w:pPr>
      <w:r w:rsidRPr="008A398C">
        <w:rPr>
          <w:rFonts w:ascii="Georgia" w:hAnsi="Georgia"/>
          <w:sz w:val="21"/>
          <w:szCs w:val="22"/>
          <w:lang w:val="en-US"/>
        </w:rPr>
        <w:t>Véronique ZINNEN (</w:t>
      </w:r>
      <w:hyperlink r:id="rId22" w:history="1">
        <w:r w:rsidR="00452E40" w:rsidRPr="008A398C">
          <w:rPr>
            <w:rStyle w:val="Hyperlink"/>
            <w:rFonts w:ascii="Georgia" w:hAnsi="Georgia"/>
            <w:sz w:val="21"/>
            <w:szCs w:val="22"/>
            <w:lang w:val="en-US"/>
          </w:rPr>
          <w:t>veronique.zinnen@enabel.be</w:t>
        </w:r>
      </w:hyperlink>
      <w:r w:rsidR="00452E40" w:rsidRPr="008A398C">
        <w:rPr>
          <w:rFonts w:ascii="Georgia" w:hAnsi="Georgia"/>
          <w:sz w:val="21"/>
          <w:szCs w:val="22"/>
          <w:lang w:val="en-US"/>
        </w:rPr>
        <w:t>)</w:t>
      </w:r>
    </w:p>
    <w:p w14:paraId="6CF9EB2A" w14:textId="0ED24ABE" w:rsidR="004F07DF" w:rsidRPr="008A398C" w:rsidRDefault="00BB5963" w:rsidP="004F07DF">
      <w:pPr>
        <w:pStyle w:val="BTCtextCTB"/>
        <w:jc w:val="center"/>
        <w:rPr>
          <w:rFonts w:ascii="Georgia" w:hAnsi="Georgia"/>
          <w:sz w:val="21"/>
          <w:szCs w:val="22"/>
          <w:lang w:val="fr-BE"/>
        </w:rPr>
      </w:pPr>
      <w:r w:rsidRPr="008A398C">
        <w:rPr>
          <w:rFonts w:ascii="Georgia" w:hAnsi="Georgia"/>
          <w:sz w:val="21"/>
          <w:szCs w:val="22"/>
          <w:lang w:val="fr-BE"/>
        </w:rPr>
        <w:t>Bénédicte BRIOT</w:t>
      </w:r>
      <w:r w:rsidR="004F07DF" w:rsidRPr="008A398C">
        <w:rPr>
          <w:rFonts w:ascii="Georgia" w:hAnsi="Georgia"/>
          <w:sz w:val="21"/>
          <w:szCs w:val="22"/>
          <w:lang w:val="fr-BE"/>
        </w:rPr>
        <w:t xml:space="preserve"> (</w:t>
      </w:r>
      <w:r w:rsidR="00000000">
        <w:fldChar w:fldCharType="begin"/>
      </w:r>
      <w:r w:rsidR="00000000" w:rsidRPr="002570CD">
        <w:rPr>
          <w:lang w:val="fr-FR"/>
        </w:rPr>
        <w:instrText xml:space="preserve"> HYPERLINK "mailto:benedicte.briot@enabel.be" </w:instrText>
      </w:r>
      <w:r w:rsidR="00000000">
        <w:fldChar w:fldCharType="separate"/>
      </w:r>
      <w:r w:rsidRPr="008A398C">
        <w:rPr>
          <w:rStyle w:val="Hyperlink"/>
          <w:rFonts w:ascii="Georgia" w:hAnsi="Georgia"/>
          <w:sz w:val="21"/>
          <w:szCs w:val="22"/>
          <w:lang w:val="fr-BE"/>
        </w:rPr>
        <w:t>benedicte.briot@enabel.be</w:t>
      </w:r>
      <w:r w:rsidR="00000000">
        <w:rPr>
          <w:rStyle w:val="Hyperlink"/>
          <w:rFonts w:ascii="Georgia" w:hAnsi="Georgia"/>
          <w:sz w:val="21"/>
          <w:szCs w:val="22"/>
          <w:lang w:val="fr-BE"/>
        </w:rPr>
        <w:fldChar w:fldCharType="end"/>
      </w:r>
      <w:r w:rsidRPr="008A398C">
        <w:rPr>
          <w:rFonts w:ascii="Georgia" w:hAnsi="Georgia"/>
          <w:sz w:val="21"/>
          <w:szCs w:val="22"/>
          <w:lang w:val="fr-BE"/>
        </w:rPr>
        <w:t>)</w:t>
      </w:r>
    </w:p>
    <w:p w14:paraId="348A176B" w14:textId="2DECD3CB" w:rsidR="00452E40" w:rsidRPr="00452E40" w:rsidRDefault="00452E40" w:rsidP="004F07DF">
      <w:pPr>
        <w:pStyle w:val="BTCtextCTB"/>
        <w:jc w:val="center"/>
        <w:rPr>
          <w:rFonts w:ascii="Georgia" w:hAnsi="Georgia"/>
          <w:sz w:val="21"/>
          <w:szCs w:val="22"/>
          <w:lang w:val="fr-BE"/>
        </w:rPr>
      </w:pPr>
      <w:r w:rsidRPr="00452E40">
        <w:rPr>
          <w:rFonts w:ascii="Georgia" w:hAnsi="Georgia"/>
          <w:sz w:val="21"/>
          <w:szCs w:val="22"/>
          <w:lang w:val="fr-BE"/>
        </w:rPr>
        <w:t>Jean-Marie SINARI (</w:t>
      </w:r>
      <w:r w:rsidR="00000000">
        <w:fldChar w:fldCharType="begin"/>
      </w:r>
      <w:r w:rsidR="00000000" w:rsidRPr="002570CD">
        <w:rPr>
          <w:lang w:val="fr-FR"/>
        </w:rPr>
        <w:instrText xml:space="preserve"> HYPERLINK "mailto:jeanmarie.sinari@enabel.be" </w:instrText>
      </w:r>
      <w:r w:rsidR="00000000">
        <w:fldChar w:fldCharType="separate"/>
      </w:r>
      <w:r w:rsidRPr="009E0AD7">
        <w:rPr>
          <w:rStyle w:val="Hyperlink"/>
          <w:rFonts w:ascii="Georgia" w:hAnsi="Georgia"/>
          <w:sz w:val="21"/>
          <w:szCs w:val="22"/>
          <w:lang w:val="fr-BE"/>
        </w:rPr>
        <w:t>jeanmarie.sinari@enabel.be</w:t>
      </w:r>
      <w:r w:rsidR="00000000">
        <w:rPr>
          <w:rStyle w:val="Hyperlink"/>
          <w:rFonts w:ascii="Georgia" w:hAnsi="Georgia"/>
          <w:sz w:val="21"/>
          <w:szCs w:val="22"/>
          <w:lang w:val="fr-BE"/>
        </w:rPr>
        <w:fldChar w:fldCharType="end"/>
      </w:r>
      <w:r>
        <w:rPr>
          <w:rFonts w:ascii="Georgia" w:hAnsi="Georgia"/>
          <w:sz w:val="21"/>
          <w:szCs w:val="22"/>
          <w:lang w:val="fr-BE"/>
        </w:rPr>
        <w:t>)</w:t>
      </w:r>
    </w:p>
    <w:p w14:paraId="333262B0" w14:textId="243CD78B" w:rsidR="004F07DF" w:rsidRPr="00A42073" w:rsidRDefault="004F07DF" w:rsidP="004F07DF">
      <w:pPr>
        <w:pStyle w:val="BTCtextCTB"/>
        <w:jc w:val="center"/>
        <w:rPr>
          <w:rFonts w:ascii="Georgia" w:hAnsi="Georgia"/>
          <w:color w:val="585756"/>
          <w:sz w:val="21"/>
          <w:szCs w:val="22"/>
        </w:rPr>
      </w:pPr>
      <w:r w:rsidRPr="00210059">
        <w:rPr>
          <w:rFonts w:ascii="Georgia" w:hAnsi="Georgia"/>
          <w:sz w:val="21"/>
          <w:szCs w:val="22"/>
        </w:rPr>
        <w:t>Evariste SIBOMANA</w:t>
      </w:r>
      <w:r w:rsidRPr="00B46D41">
        <w:rPr>
          <w:rFonts w:ascii="Georgia" w:hAnsi="Georgia"/>
          <w:color w:val="585756"/>
          <w:sz w:val="21"/>
          <w:szCs w:val="22"/>
        </w:rPr>
        <w:t>, (</w:t>
      </w:r>
      <w:hyperlink r:id="rId23" w:history="1">
        <w:r w:rsidRPr="005A463B">
          <w:rPr>
            <w:rStyle w:val="Hyperlink"/>
            <w:rFonts w:ascii="Georgia" w:hAnsi="Georgia"/>
            <w:sz w:val="21"/>
            <w:szCs w:val="22"/>
          </w:rPr>
          <w:t>evariste.sibomana@enabel.be</w:t>
        </w:r>
      </w:hyperlink>
      <w:r w:rsidRPr="00B46D41">
        <w:rPr>
          <w:rFonts w:ascii="Georgia" w:hAnsi="Georgia"/>
          <w:color w:val="585756"/>
          <w:sz w:val="21"/>
          <w:szCs w:val="22"/>
        </w:rPr>
        <w:t xml:space="preserve">) </w:t>
      </w:r>
    </w:p>
    <w:p w14:paraId="2F00CC83" w14:textId="77777777" w:rsidR="004F07DF" w:rsidRPr="00210059" w:rsidRDefault="004F07DF" w:rsidP="004F07DF">
      <w:pPr>
        <w:autoSpaceDE w:val="0"/>
        <w:autoSpaceDN w:val="0"/>
        <w:adjustRightInd w:val="0"/>
        <w:jc w:val="both"/>
        <w:rPr>
          <w:color w:val="auto"/>
        </w:rPr>
      </w:pPr>
      <w:r w:rsidRPr="00210059">
        <w:rPr>
          <w:color w:val="auto"/>
        </w:rPr>
        <w:t xml:space="preserve">They will be answered in the order received. The complete overview of questions asked will be available at the address mentioned above </w:t>
      </w:r>
      <w:r w:rsidRPr="00210059">
        <w:rPr>
          <w:b/>
          <w:bCs/>
          <w:color w:val="auto"/>
        </w:rPr>
        <w:t xml:space="preserve">at the latest </w:t>
      </w:r>
      <w:r>
        <w:rPr>
          <w:b/>
          <w:bCs/>
          <w:color w:val="auto"/>
        </w:rPr>
        <w:t>10</w:t>
      </w:r>
      <w:r w:rsidRPr="00210059">
        <w:rPr>
          <w:b/>
          <w:bCs/>
          <w:color w:val="auto"/>
        </w:rPr>
        <w:t xml:space="preserve"> days before the deadline</w:t>
      </w:r>
      <w:r w:rsidRPr="00210059">
        <w:rPr>
          <w:color w:val="auto"/>
        </w:rPr>
        <w:t xml:space="preserve"> for submission of bids.</w:t>
      </w:r>
    </w:p>
    <w:p w14:paraId="4CB27782"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Until the notification of the award decision no information will be given about the evolution of the procedure.</w:t>
      </w:r>
    </w:p>
    <w:p w14:paraId="759F9FB9" w14:textId="77777777" w:rsidR="004F07DF" w:rsidRPr="00567129" w:rsidRDefault="004F07DF" w:rsidP="004F07DF">
      <w:pPr>
        <w:pStyle w:val="BTCtextCTB"/>
        <w:rPr>
          <w:rFonts w:ascii="Georgia" w:eastAsia="Calibri" w:hAnsi="Georgia"/>
          <w:color w:val="585756"/>
          <w:sz w:val="21"/>
          <w:szCs w:val="22"/>
        </w:rPr>
      </w:pPr>
      <w:r w:rsidRPr="00210059">
        <w:rPr>
          <w:rFonts w:ascii="Georgia" w:hAnsi="Georgia"/>
          <w:sz w:val="21"/>
          <w:szCs w:val="22"/>
        </w:rPr>
        <w:t xml:space="preserve">The procurement documents can be consulted free of charge at the following internet address:  </w:t>
      </w:r>
      <w:hyperlink r:id="rId24" w:history="1">
        <w:r w:rsidRPr="00807C54">
          <w:rPr>
            <w:rStyle w:val="Hyperlink"/>
            <w:rFonts w:ascii="Georgia" w:eastAsia="Calibri" w:hAnsi="Georgia"/>
            <w:sz w:val="21"/>
            <w:szCs w:val="22"/>
          </w:rPr>
          <w:t>www.enabel.be</w:t>
        </w:r>
      </w:hyperlink>
    </w:p>
    <w:p w14:paraId="07BF72D3" w14:textId="77777777" w:rsidR="004F07DF" w:rsidRPr="003658B5" w:rsidRDefault="004F07DF" w:rsidP="004F07DF">
      <w:pPr>
        <w:pStyle w:val="BTCtextCTB"/>
        <w:rPr>
          <w:rFonts w:ascii="Georgia" w:eastAsia="Calibri" w:hAnsi="Georgia"/>
          <w:color w:val="585756"/>
          <w:sz w:val="21"/>
          <w:szCs w:val="22"/>
        </w:rPr>
      </w:pPr>
      <w:r w:rsidRPr="00210059">
        <w:rPr>
          <w:rFonts w:ascii="Georgia" w:hAnsi="Georgia"/>
          <w:sz w:val="21"/>
          <w:szCs w:val="22"/>
        </w:rPr>
        <w:t>To be able to submit a tender in full knowledge of the facts, the tenderer may visit the website</w:t>
      </w:r>
      <w:r>
        <w:rPr>
          <w:rFonts w:ascii="Georgia" w:hAnsi="Georgia"/>
          <w:color w:val="585756"/>
          <w:sz w:val="21"/>
          <w:szCs w:val="22"/>
        </w:rPr>
        <w:t xml:space="preserve">. </w:t>
      </w:r>
      <w:hyperlink r:id="rId25" w:history="1">
        <w:r w:rsidRPr="00807C54">
          <w:rPr>
            <w:rStyle w:val="Hyperlink"/>
            <w:rFonts w:ascii="Georgia" w:eastAsia="Calibri" w:hAnsi="Georgia"/>
            <w:sz w:val="21"/>
            <w:szCs w:val="22"/>
          </w:rPr>
          <w:t>www.enabel.be</w:t>
        </w:r>
      </w:hyperlink>
      <w:r>
        <w:rPr>
          <w:rFonts w:ascii="Georgia" w:eastAsia="Calibri" w:hAnsi="Georgia"/>
          <w:color w:val="585756"/>
          <w:sz w:val="21"/>
          <w:szCs w:val="22"/>
        </w:rPr>
        <w:t xml:space="preserve"> </w:t>
      </w:r>
      <w:r w:rsidRPr="003658B5">
        <w:rPr>
          <w:rFonts w:ascii="Georgia" w:hAnsi="Georgia"/>
          <w:color w:val="585756"/>
          <w:sz w:val="21"/>
          <w:szCs w:val="22"/>
        </w:rPr>
        <w:t xml:space="preserve">. </w:t>
      </w:r>
    </w:p>
    <w:p w14:paraId="56A4AA72"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 xml:space="preserve">The tenderer is supposed to submit his tender after reading and </w:t>
      </w:r>
      <w:proofErr w:type="gramStart"/>
      <w:r w:rsidRPr="00210059">
        <w:rPr>
          <w:rFonts w:ascii="Georgia" w:hAnsi="Georgia"/>
          <w:sz w:val="21"/>
          <w:szCs w:val="22"/>
        </w:rPr>
        <w:t>taking into account</w:t>
      </w:r>
      <w:proofErr w:type="gramEnd"/>
      <w:r w:rsidRPr="00210059">
        <w:rPr>
          <w:rFonts w:ascii="Georgia" w:hAnsi="Georgia"/>
          <w:sz w:val="21"/>
          <w:szCs w:val="22"/>
        </w:rPr>
        <w:t xml:space="preserve"> any corrections made to the Tender Specifications that are published on the Enabel website or that are sent to him by e-mail. To do so, when the tenderer has downloaded the Tender Specifications, it is strongly advised that he gives his coordinates to the public procurement administrator mentioned above and requests information on any modifications or additional information.</w:t>
      </w:r>
    </w:p>
    <w:p w14:paraId="062BAE2F"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The tenderer is required to report immediately any gap, error or omission in the procurement documents that precludes him from establishing his price or compare tenders, within ten days at the latest before the deadline for receipt of tenders.</w:t>
      </w:r>
    </w:p>
    <w:p w14:paraId="54C60196" w14:textId="77777777" w:rsidR="004F07DF" w:rsidRPr="003658B5" w:rsidRDefault="004F07DF" w:rsidP="004F07DF">
      <w:pPr>
        <w:pStyle w:val="Heading2"/>
        <w:keepLines w:val="0"/>
        <w:widowControl w:val="0"/>
        <w:numPr>
          <w:ilvl w:val="1"/>
          <w:numId w:val="5"/>
        </w:numPr>
        <w:tabs>
          <w:tab w:val="num" w:pos="576"/>
        </w:tabs>
        <w:suppressAutoHyphens/>
        <w:spacing w:after="240"/>
      </w:pPr>
      <w:bookmarkStart w:id="58" w:name="_Toc260134199"/>
      <w:bookmarkStart w:id="59" w:name="_Toc364253077"/>
      <w:bookmarkStart w:id="60" w:name="_Toc117027475"/>
      <w:r w:rsidRPr="003658B5">
        <w:lastRenderedPageBreak/>
        <w:t>Tender</w:t>
      </w:r>
      <w:bookmarkEnd w:id="58"/>
      <w:bookmarkEnd w:id="59"/>
      <w:bookmarkEnd w:id="60"/>
    </w:p>
    <w:p w14:paraId="4B37C064" w14:textId="77777777" w:rsidR="004F07DF" w:rsidRPr="00210059" w:rsidRDefault="004F07DF" w:rsidP="004F07DF">
      <w:pPr>
        <w:pStyle w:val="Heading3"/>
        <w:keepNext/>
        <w:widowControl w:val="0"/>
        <w:numPr>
          <w:ilvl w:val="2"/>
          <w:numId w:val="5"/>
        </w:numPr>
        <w:tabs>
          <w:tab w:val="num" w:pos="720"/>
        </w:tabs>
        <w:suppressAutoHyphens/>
        <w:autoSpaceDE/>
        <w:autoSpaceDN/>
        <w:adjustRightInd/>
        <w:spacing w:before="180" w:after="180"/>
        <w:contextualSpacing w:val="0"/>
        <w:rPr>
          <w:color w:val="auto"/>
        </w:rPr>
      </w:pPr>
      <w:bookmarkStart w:id="61" w:name="_Toc117027476"/>
      <w:bookmarkStart w:id="62" w:name="_Toc257380483"/>
      <w:bookmarkStart w:id="63" w:name="_Toc260134200"/>
      <w:r w:rsidRPr="003658B5">
        <w:t>D</w:t>
      </w:r>
      <w:r w:rsidRPr="00210059">
        <w:rPr>
          <w:color w:val="auto"/>
        </w:rPr>
        <w:t>ata to be included in the tender</w:t>
      </w:r>
      <w:bookmarkEnd w:id="61"/>
    </w:p>
    <w:p w14:paraId="34DCA18F"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 xml:space="preserve">The tenderer must use the tender form in annexe </w:t>
      </w:r>
      <w:r w:rsidRPr="00CE724A">
        <w:rPr>
          <w:rFonts w:ascii="Georgia" w:hAnsi="Georgia"/>
          <w:sz w:val="21"/>
          <w:szCs w:val="22"/>
        </w:rPr>
        <w:t>(see point 6 “Forms”).</w:t>
      </w:r>
      <w:r w:rsidRPr="00210059">
        <w:rPr>
          <w:rFonts w:ascii="Georgia" w:hAnsi="Georgia"/>
          <w:sz w:val="21"/>
          <w:szCs w:val="22"/>
        </w:rPr>
        <w:t xml:space="preserve"> In case he does not use these forms, he is fully responsible for the perfect concordance between the documents he has used and the form. </w:t>
      </w:r>
    </w:p>
    <w:p w14:paraId="0F2EADA4"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The tender and the annexes to the tender form are drawn up in English.</w:t>
      </w:r>
    </w:p>
    <w:p w14:paraId="0CC81305"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By submitting a tender, the tenderer automatically renounces to his own general or specific sales conditions, even if these are mentioned in any of the annexes to his tender.</w:t>
      </w:r>
    </w:p>
    <w:p w14:paraId="728E6142"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 xml:space="preserve">The tenderer clearly designates in his tender which information is confidential and/or relates to technical or business secrets and may therefore not be divulged by the contracting authority. </w:t>
      </w:r>
    </w:p>
    <w:p w14:paraId="5B3614E4" w14:textId="77777777" w:rsidR="004F07DF" w:rsidRPr="00210059" w:rsidRDefault="004F07DF" w:rsidP="004F07DF">
      <w:pPr>
        <w:pStyle w:val="Heading3"/>
        <w:keepNext/>
        <w:widowControl w:val="0"/>
        <w:numPr>
          <w:ilvl w:val="2"/>
          <w:numId w:val="5"/>
        </w:numPr>
        <w:tabs>
          <w:tab w:val="num" w:pos="720"/>
        </w:tabs>
        <w:suppressAutoHyphens/>
        <w:autoSpaceDE/>
        <w:autoSpaceDN/>
        <w:adjustRightInd/>
        <w:spacing w:before="180" w:after="180"/>
        <w:contextualSpacing w:val="0"/>
        <w:rPr>
          <w:color w:val="auto"/>
        </w:rPr>
      </w:pPr>
      <w:bookmarkStart w:id="64" w:name="_Toc117027477"/>
      <w:r w:rsidRPr="00210059">
        <w:rPr>
          <w:color w:val="auto"/>
        </w:rPr>
        <w:t>Period the tender is valid</w:t>
      </w:r>
      <w:bookmarkEnd w:id="64"/>
    </w:p>
    <w:p w14:paraId="44CC48AB"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 xml:space="preserve">The tenderers are bound by their tender for a period of 120 calendar days from the reception deadline date. </w:t>
      </w:r>
    </w:p>
    <w:p w14:paraId="6C0C99CA"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 xml:space="preserve">The validity of the tender will be </w:t>
      </w:r>
      <w:proofErr w:type="gramStart"/>
      <w:r w:rsidRPr="00210059">
        <w:rPr>
          <w:rFonts w:ascii="Georgia" w:hAnsi="Georgia"/>
          <w:sz w:val="21"/>
          <w:szCs w:val="22"/>
        </w:rPr>
        <w:t>negotiated, if</w:t>
      </w:r>
      <w:proofErr w:type="gramEnd"/>
      <w:r w:rsidRPr="00210059">
        <w:rPr>
          <w:rFonts w:ascii="Georgia" w:hAnsi="Georgia"/>
          <w:sz w:val="21"/>
          <w:szCs w:val="22"/>
        </w:rPr>
        <w:t xml:space="preserve"> the deadline stated above is overrun.</w:t>
      </w:r>
    </w:p>
    <w:p w14:paraId="3A74DA23" w14:textId="77777777" w:rsidR="004F07DF" w:rsidRPr="00210059" w:rsidRDefault="004F07DF" w:rsidP="004F07DF">
      <w:pPr>
        <w:pStyle w:val="Heading3"/>
        <w:keepNext/>
        <w:widowControl w:val="0"/>
        <w:numPr>
          <w:ilvl w:val="2"/>
          <w:numId w:val="5"/>
        </w:numPr>
        <w:tabs>
          <w:tab w:val="num" w:pos="720"/>
        </w:tabs>
        <w:suppressAutoHyphens/>
        <w:autoSpaceDE/>
        <w:autoSpaceDN/>
        <w:adjustRightInd/>
        <w:spacing w:before="180" w:after="180"/>
        <w:contextualSpacing w:val="0"/>
        <w:rPr>
          <w:color w:val="auto"/>
        </w:rPr>
      </w:pPr>
      <w:bookmarkStart w:id="65" w:name="_Toc257380485"/>
      <w:bookmarkStart w:id="66" w:name="_Toc260134204"/>
      <w:bookmarkStart w:id="67" w:name="_Toc117027478"/>
      <w:bookmarkEnd w:id="62"/>
      <w:bookmarkEnd w:id="63"/>
      <w:r w:rsidRPr="00210059">
        <w:rPr>
          <w:color w:val="auto"/>
        </w:rPr>
        <w:t>Determination of prices</w:t>
      </w:r>
      <w:bookmarkEnd w:id="65"/>
      <w:bookmarkEnd w:id="66"/>
      <w:bookmarkEnd w:id="67"/>
    </w:p>
    <w:p w14:paraId="2FE13F04" w14:textId="77777777" w:rsidR="004F07DF" w:rsidRPr="00210059" w:rsidRDefault="004F07DF" w:rsidP="004F07DF">
      <w:pPr>
        <w:pStyle w:val="BodyText"/>
        <w:rPr>
          <w:rFonts w:ascii="Georgia" w:eastAsia="Calibri" w:hAnsi="Georgia" w:cs="Times New Roman"/>
          <w:kern w:val="0"/>
          <w:sz w:val="21"/>
          <w:szCs w:val="22"/>
        </w:rPr>
      </w:pPr>
      <w:r w:rsidRPr="00FF768B">
        <w:rPr>
          <w:rFonts w:ascii="Georgia" w:hAnsi="Georgia"/>
          <w:sz w:val="21"/>
          <w:szCs w:val="22"/>
          <w:highlight w:val="yellow"/>
        </w:rPr>
        <w:t xml:space="preserve">All prices given in the tender form must obligatorily be quoted in EUROS, </w:t>
      </w:r>
      <w:r w:rsidRPr="00FF768B">
        <w:rPr>
          <w:rFonts w:ascii="Georgia" w:hAnsi="Georgia"/>
          <w:b/>
          <w:sz w:val="21"/>
          <w:szCs w:val="22"/>
          <w:highlight w:val="yellow"/>
        </w:rPr>
        <w:t>all taxes included (including VAT and the applicable WHT)</w:t>
      </w:r>
      <w:r w:rsidRPr="00FF768B">
        <w:rPr>
          <w:rFonts w:ascii="Georgia" w:hAnsi="Georgia"/>
          <w:sz w:val="21"/>
          <w:szCs w:val="22"/>
          <w:highlight w:val="yellow"/>
        </w:rPr>
        <w:t>.</w:t>
      </w:r>
    </w:p>
    <w:p w14:paraId="6F3B4F2C"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 xml:space="preserve">This procurement contract is a price-schedule contract, </w:t>
      </w:r>
      <w:proofErr w:type="gramStart"/>
      <w:r w:rsidRPr="00210059">
        <w:rPr>
          <w:rFonts w:ascii="Georgia" w:hAnsi="Georgia"/>
          <w:sz w:val="21"/>
          <w:szCs w:val="22"/>
        </w:rPr>
        <w:t>i.e.</w:t>
      </w:r>
      <w:proofErr w:type="gramEnd"/>
      <w:r w:rsidRPr="00210059">
        <w:rPr>
          <w:rFonts w:ascii="Georgia" w:hAnsi="Georgia"/>
          <w:sz w:val="21"/>
          <w:szCs w:val="22"/>
        </w:rPr>
        <w:t xml:space="preserve"> a contract in which only the unit prices are lump-sum prices. The price to be paid will be obtained by applying the unit prices mentioned in the inventory to the quantities </w:t>
      </w:r>
      <w:proofErr w:type="gramStart"/>
      <w:r w:rsidRPr="00210059">
        <w:rPr>
          <w:rFonts w:ascii="Georgia" w:hAnsi="Georgia"/>
          <w:sz w:val="21"/>
          <w:szCs w:val="22"/>
        </w:rPr>
        <w:t>actually performed</w:t>
      </w:r>
      <w:proofErr w:type="gramEnd"/>
      <w:r w:rsidRPr="00210059">
        <w:rPr>
          <w:rFonts w:ascii="Georgia" w:hAnsi="Georgia"/>
          <w:sz w:val="21"/>
          <w:szCs w:val="22"/>
        </w:rPr>
        <w:t>.</w:t>
      </w:r>
    </w:p>
    <w:p w14:paraId="51593934"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 xml:space="preserve">In accordance with Article 37 of the Royal Decree of 18 April 2017, the contracting authority may for the purpose of verifying the prices carry out an audit of </w:t>
      </w:r>
      <w:proofErr w:type="gramStart"/>
      <w:r w:rsidRPr="00210059">
        <w:rPr>
          <w:rFonts w:ascii="Georgia" w:hAnsi="Georgia"/>
          <w:sz w:val="21"/>
          <w:szCs w:val="22"/>
        </w:rPr>
        <w:t>any and all</w:t>
      </w:r>
      <w:proofErr w:type="gramEnd"/>
      <w:r w:rsidRPr="00210059">
        <w:rPr>
          <w:rFonts w:ascii="Georgia" w:hAnsi="Georgia"/>
          <w:sz w:val="21"/>
          <w:szCs w:val="22"/>
        </w:rPr>
        <w:t xml:space="preserve"> accounting documents and an on-site audit to check the correctness of the indications supplied.</w:t>
      </w:r>
    </w:p>
    <w:p w14:paraId="66F46138" w14:textId="77777777" w:rsidR="004F07DF" w:rsidRPr="00210059" w:rsidRDefault="004F07DF" w:rsidP="004F07DF">
      <w:pPr>
        <w:pStyle w:val="Heading4"/>
        <w:numPr>
          <w:ilvl w:val="3"/>
          <w:numId w:val="48"/>
        </w:numPr>
        <w:rPr>
          <w:color w:val="auto"/>
        </w:rPr>
      </w:pPr>
      <w:bookmarkStart w:id="68" w:name="_Toc117027479"/>
      <w:r w:rsidRPr="00210059">
        <w:rPr>
          <w:color w:val="auto"/>
        </w:rPr>
        <w:t>Elements included in the price</w:t>
      </w:r>
      <w:bookmarkEnd w:id="68"/>
    </w:p>
    <w:p w14:paraId="48429FAC" w14:textId="77777777" w:rsidR="004F07DF" w:rsidRPr="00C44D66" w:rsidRDefault="004F07DF" w:rsidP="004F07DF">
      <w:pPr>
        <w:pStyle w:val="BTCtextCTB"/>
        <w:rPr>
          <w:rFonts w:ascii="Arial" w:eastAsia="DejaVu Sans" w:hAnsi="Arial" w:cs="Tahoma"/>
          <w:i/>
          <w:kern w:val="18"/>
          <w:sz w:val="18"/>
          <w:szCs w:val="18"/>
          <w:highlight w:val="lightGray"/>
        </w:rPr>
      </w:pPr>
      <w:r w:rsidRPr="00C44D66">
        <w:rPr>
          <w:rFonts w:ascii="Arial" w:hAnsi="Arial"/>
          <w:i/>
          <w:sz w:val="18"/>
          <w:szCs w:val="18"/>
          <w:highlight w:val="lightGray"/>
        </w:rPr>
        <w:t>(Art. 32 §3 Royal Decree 18.04.2017)</w:t>
      </w:r>
    </w:p>
    <w:p w14:paraId="3EF46CC4"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 xml:space="preserve">The service provider is deemed to have included in his unit prices any charges and taxes generally applied to services, </w:t>
      </w:r>
      <w:r w:rsidRPr="00210059">
        <w:rPr>
          <w:rFonts w:ascii="Georgia" w:hAnsi="Georgia"/>
          <w:b/>
          <w:bCs/>
          <w:sz w:val="21"/>
          <w:szCs w:val="22"/>
        </w:rPr>
        <w:t>including value-added tax</w:t>
      </w:r>
      <w:r>
        <w:rPr>
          <w:rStyle w:val="FootnoteReference"/>
          <w:rFonts w:ascii="Georgia" w:hAnsi="Georgia"/>
          <w:b/>
          <w:bCs/>
          <w:sz w:val="21"/>
          <w:szCs w:val="22"/>
        </w:rPr>
        <w:footnoteReference w:id="11"/>
      </w:r>
      <w:r w:rsidRPr="00210059">
        <w:rPr>
          <w:rFonts w:ascii="Georgia" w:hAnsi="Georgia"/>
          <w:b/>
          <w:bCs/>
          <w:sz w:val="21"/>
          <w:szCs w:val="22"/>
        </w:rPr>
        <w:t>.</w:t>
      </w:r>
    </w:p>
    <w:p w14:paraId="41FD6888"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 xml:space="preserve">The following are </w:t>
      </w:r>
      <w:proofErr w:type="gramStart"/>
      <w:r w:rsidRPr="00210059">
        <w:rPr>
          <w:rFonts w:ascii="Georgia" w:hAnsi="Georgia"/>
          <w:sz w:val="21"/>
          <w:szCs w:val="22"/>
        </w:rPr>
        <w:t>in particular included</w:t>
      </w:r>
      <w:proofErr w:type="gramEnd"/>
      <w:r w:rsidRPr="00210059">
        <w:rPr>
          <w:rFonts w:ascii="Georgia" w:hAnsi="Georgia"/>
          <w:sz w:val="21"/>
          <w:szCs w:val="22"/>
        </w:rPr>
        <w:t xml:space="preserve"> in the prices:</w:t>
      </w:r>
    </w:p>
    <w:p w14:paraId="319FEE44" w14:textId="2BA77C8D" w:rsidR="004F07DF" w:rsidRPr="00C44D66" w:rsidRDefault="004F07DF" w:rsidP="004F07DF">
      <w:pPr>
        <w:numPr>
          <w:ilvl w:val="0"/>
          <w:numId w:val="49"/>
        </w:numPr>
        <w:spacing w:after="60" w:line="259" w:lineRule="auto"/>
        <w:ind w:left="714" w:hanging="357"/>
        <w:jc w:val="both"/>
        <w:rPr>
          <w:rFonts w:cs="Arial"/>
          <w:color w:val="auto"/>
        </w:rPr>
      </w:pPr>
      <w:r w:rsidRPr="00C44D66">
        <w:rPr>
          <w:rFonts w:cs="Arial"/>
          <w:b/>
          <w:bCs/>
          <w:color w:val="auto"/>
        </w:rPr>
        <w:t>Expert cost including</w:t>
      </w:r>
      <w:r w:rsidRPr="00C44D66">
        <w:rPr>
          <w:rFonts w:cs="Arial"/>
          <w:color w:val="auto"/>
        </w:rPr>
        <w:t xml:space="preserve">: fees, the per diems, accommodation costs, local transport costs, insurance costs, security costs, communication costs (including the internet), administrative and secretariat costs, photocopy and printing costs, costs for documentation of the services that can be required by the contracting authority, the production and delivery of documents or records linked to the performance of the services, the customs and excise duties for materials and products used, the packaging costs, the acceptance costs, all costs, </w:t>
      </w:r>
      <w:r w:rsidRPr="00EF7FC4">
        <w:rPr>
          <w:rFonts w:cs="Arial"/>
          <w:color w:val="auto"/>
          <w:highlight w:val="yellow"/>
        </w:rPr>
        <w:t xml:space="preserve">staff </w:t>
      </w:r>
      <w:r w:rsidR="00EF7FC4" w:rsidRPr="00EF7FC4">
        <w:rPr>
          <w:rFonts w:cs="Arial"/>
          <w:color w:val="auto"/>
          <w:highlight w:val="yellow"/>
        </w:rPr>
        <w:t>(including data collectors)</w:t>
      </w:r>
      <w:r w:rsidR="00EF7FC4">
        <w:rPr>
          <w:rFonts w:cs="Arial"/>
          <w:color w:val="auto"/>
        </w:rPr>
        <w:t xml:space="preserve"> </w:t>
      </w:r>
      <w:r w:rsidRPr="00C44D66">
        <w:rPr>
          <w:rFonts w:cs="Arial"/>
          <w:color w:val="auto"/>
        </w:rPr>
        <w:t xml:space="preserve">and material expenses needed to perform the present contract, the copyright fees, the purchase or leasing of third party services needed for the performance of the contract, Transport outside Kigali and the applicable </w:t>
      </w:r>
      <w:r w:rsidRPr="00C44D66">
        <w:rPr>
          <w:rFonts w:cs="Arial"/>
          <w:b/>
          <w:color w:val="auto"/>
        </w:rPr>
        <w:t>Withholding taxes</w:t>
      </w:r>
      <w:r w:rsidRPr="00C44D66">
        <w:rPr>
          <w:rFonts w:cs="Arial"/>
          <w:color w:val="auto"/>
        </w:rPr>
        <w:t>.</w:t>
      </w:r>
    </w:p>
    <w:p w14:paraId="5F847DC5" w14:textId="77777777" w:rsidR="004F07DF" w:rsidRPr="000D7462" w:rsidRDefault="004F07DF" w:rsidP="004F07DF">
      <w:pPr>
        <w:numPr>
          <w:ilvl w:val="0"/>
          <w:numId w:val="49"/>
        </w:numPr>
        <w:spacing w:after="60" w:line="259" w:lineRule="auto"/>
        <w:ind w:left="714" w:hanging="357"/>
        <w:jc w:val="both"/>
        <w:rPr>
          <w:b/>
          <w:bCs/>
        </w:rPr>
      </w:pPr>
      <w:r w:rsidRPr="00C44D66">
        <w:rPr>
          <w:rFonts w:cs="Arial"/>
          <w:color w:val="auto"/>
        </w:rPr>
        <w:lastRenderedPageBreak/>
        <w:t xml:space="preserve">Reimbursable (paid based upon presentation of justification documents, up to the maximum budget set and accepted in financial proposal): </w:t>
      </w:r>
      <w:r w:rsidRPr="000D7462">
        <w:rPr>
          <w:b/>
          <w:bCs/>
        </w:rPr>
        <w:t xml:space="preserve">only </w:t>
      </w:r>
      <w:proofErr w:type="gramStart"/>
      <w:r w:rsidRPr="000D7462">
        <w:rPr>
          <w:b/>
          <w:bCs/>
        </w:rPr>
        <w:t>International</w:t>
      </w:r>
      <w:proofErr w:type="gramEnd"/>
      <w:r w:rsidRPr="000D7462">
        <w:rPr>
          <w:b/>
          <w:bCs/>
        </w:rPr>
        <w:t xml:space="preserve"> travel costs and visa costs (if any), </w:t>
      </w:r>
    </w:p>
    <w:p w14:paraId="564BCB0E" w14:textId="28D48202" w:rsidR="004F07DF" w:rsidRPr="008A398C" w:rsidRDefault="004F07DF" w:rsidP="004F07DF">
      <w:pPr>
        <w:numPr>
          <w:ilvl w:val="0"/>
          <w:numId w:val="49"/>
        </w:numPr>
        <w:spacing w:after="60" w:line="259" w:lineRule="auto"/>
        <w:ind w:left="714" w:hanging="357"/>
        <w:jc w:val="both"/>
        <w:rPr>
          <w:rFonts w:cs="Arial"/>
          <w:color w:val="auto"/>
        </w:rPr>
      </w:pPr>
      <w:r w:rsidRPr="00C44D66">
        <w:rPr>
          <w:rFonts w:cs="Arial"/>
          <w:color w:val="auto"/>
        </w:rPr>
        <w:t>International travel days are not reimbursed by Enabel.</w:t>
      </w:r>
    </w:p>
    <w:p w14:paraId="34B9BED0" w14:textId="77777777" w:rsidR="004F07DF" w:rsidRPr="003658B5" w:rsidRDefault="004F07DF" w:rsidP="004F07DF">
      <w:pPr>
        <w:pStyle w:val="Heading3"/>
        <w:keepNext/>
        <w:widowControl w:val="0"/>
        <w:numPr>
          <w:ilvl w:val="2"/>
          <w:numId w:val="5"/>
        </w:numPr>
        <w:tabs>
          <w:tab w:val="num" w:pos="720"/>
        </w:tabs>
        <w:suppressAutoHyphens/>
        <w:autoSpaceDE/>
        <w:autoSpaceDN/>
        <w:adjustRightInd/>
        <w:spacing w:before="180" w:after="180"/>
        <w:contextualSpacing w:val="0"/>
      </w:pPr>
      <w:bookmarkStart w:id="69" w:name="_Toc257380488"/>
      <w:bookmarkStart w:id="70" w:name="_Toc260134207"/>
      <w:bookmarkStart w:id="71" w:name="_Toc117027480"/>
      <w:r w:rsidRPr="003658B5">
        <w:t>How to submit tenders?</w:t>
      </w:r>
      <w:bookmarkEnd w:id="69"/>
      <w:bookmarkEnd w:id="70"/>
      <w:bookmarkEnd w:id="71"/>
    </w:p>
    <w:p w14:paraId="54DA0C86"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 xml:space="preserve">Without prejudice to any variants, the tenderer may only submit one tender only per procurement contract. </w:t>
      </w:r>
    </w:p>
    <w:p w14:paraId="4C1F5E26" w14:textId="77777777" w:rsidR="004F07DF" w:rsidRPr="00210059" w:rsidRDefault="004F07DF" w:rsidP="004F07DF">
      <w:pPr>
        <w:pStyle w:val="BTCtextCTB"/>
        <w:rPr>
          <w:rFonts w:ascii="Georgia" w:hAnsi="Georgia"/>
          <w:sz w:val="21"/>
          <w:szCs w:val="22"/>
        </w:rPr>
      </w:pPr>
      <w:r w:rsidRPr="00210059">
        <w:rPr>
          <w:rFonts w:ascii="Georgia" w:hAnsi="Georgia"/>
          <w:sz w:val="21"/>
          <w:szCs w:val="22"/>
        </w:rPr>
        <w:t>The tenderer submits his tender as follows:</w:t>
      </w:r>
    </w:p>
    <w:p w14:paraId="6A6BC01A" w14:textId="77777777" w:rsidR="004F07DF" w:rsidRPr="00210059" w:rsidRDefault="004F07DF" w:rsidP="004F07DF">
      <w:pPr>
        <w:pStyle w:val="BTCtextCTB"/>
        <w:rPr>
          <w:rFonts w:ascii="Georgia" w:hAnsi="Georgia"/>
          <w:b/>
          <w:sz w:val="21"/>
          <w:szCs w:val="22"/>
        </w:rPr>
      </w:pPr>
      <w:r w:rsidRPr="00210059">
        <w:rPr>
          <w:rFonts w:ascii="Georgia" w:hAnsi="Georgia"/>
          <w:b/>
          <w:sz w:val="21"/>
          <w:szCs w:val="22"/>
        </w:rPr>
        <w:t xml:space="preserve">The tender will be drawn up in 3 copies, one of them being the original and two copies.  </w:t>
      </w:r>
    </w:p>
    <w:p w14:paraId="4CBAAD52" w14:textId="03820EDD" w:rsidR="004F07DF" w:rsidRPr="008A398C" w:rsidRDefault="00062CAD" w:rsidP="008A398C">
      <w:pPr>
        <w:pStyle w:val="BTCtextCTB"/>
        <w:rPr>
          <w:rFonts w:ascii="Georgia" w:hAnsi="Georgia"/>
          <w:b/>
          <w:sz w:val="21"/>
          <w:szCs w:val="22"/>
        </w:rPr>
      </w:pPr>
      <w:r>
        <w:rPr>
          <w:rFonts w:ascii="Georgia" w:hAnsi="Georgia"/>
          <w:b/>
          <w:sz w:val="21"/>
          <w:szCs w:val="22"/>
        </w:rPr>
        <w:t>A s</w:t>
      </w:r>
      <w:r w:rsidR="004F07DF" w:rsidRPr="00210059">
        <w:rPr>
          <w:rFonts w:ascii="Georgia" w:hAnsi="Georgia"/>
          <w:b/>
          <w:sz w:val="21"/>
          <w:szCs w:val="22"/>
        </w:rPr>
        <w:t xml:space="preserve">oft </w:t>
      </w:r>
      <w:r w:rsidR="00295F6E">
        <w:rPr>
          <w:rFonts w:ascii="Georgia" w:hAnsi="Georgia"/>
          <w:b/>
          <w:sz w:val="21"/>
          <w:szCs w:val="22"/>
        </w:rPr>
        <w:t>c</w:t>
      </w:r>
      <w:r w:rsidR="004F07DF" w:rsidRPr="00210059">
        <w:rPr>
          <w:rFonts w:ascii="Georgia" w:hAnsi="Georgia"/>
          <w:b/>
          <w:sz w:val="21"/>
          <w:szCs w:val="22"/>
        </w:rPr>
        <w:t>op</w:t>
      </w:r>
      <w:r>
        <w:rPr>
          <w:rFonts w:ascii="Georgia" w:hAnsi="Georgia"/>
          <w:b/>
          <w:sz w:val="21"/>
          <w:szCs w:val="22"/>
        </w:rPr>
        <w:t xml:space="preserve">y </w:t>
      </w:r>
      <w:r w:rsidR="004F07DF" w:rsidRPr="00210059">
        <w:rPr>
          <w:rFonts w:ascii="Georgia" w:hAnsi="Georgia"/>
          <w:b/>
          <w:sz w:val="21"/>
          <w:szCs w:val="22"/>
        </w:rPr>
        <w:t>(</w:t>
      </w:r>
      <w:proofErr w:type="gramStart"/>
      <w:r w:rsidR="004F07DF" w:rsidRPr="00210059">
        <w:rPr>
          <w:rFonts w:ascii="Georgia" w:hAnsi="Georgia"/>
          <w:b/>
          <w:sz w:val="21"/>
          <w:szCs w:val="22"/>
        </w:rPr>
        <w:t>exactly identical</w:t>
      </w:r>
      <w:proofErr w:type="gramEnd"/>
      <w:r w:rsidR="004F07DF" w:rsidRPr="00210059">
        <w:rPr>
          <w:rFonts w:ascii="Georgia" w:hAnsi="Georgia"/>
          <w:b/>
          <w:sz w:val="21"/>
          <w:szCs w:val="22"/>
        </w:rPr>
        <w:t xml:space="preserve"> to the hard copy) must be submitted in one or more PDF files on a USB stick.  Bidders who do not submit the required copies (hard and the soft copies), might be rejected.</w:t>
      </w:r>
    </w:p>
    <w:p w14:paraId="309812F5"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 xml:space="preserve">The tender and all accompanying documents </w:t>
      </w:r>
      <w:proofErr w:type="gramStart"/>
      <w:r w:rsidRPr="00210059">
        <w:rPr>
          <w:rFonts w:ascii="Georgia" w:hAnsi="Georgia"/>
          <w:sz w:val="21"/>
          <w:szCs w:val="22"/>
        </w:rPr>
        <w:t>have to</w:t>
      </w:r>
      <w:proofErr w:type="gramEnd"/>
      <w:r w:rsidRPr="00210059">
        <w:rPr>
          <w:rFonts w:ascii="Georgia" w:hAnsi="Georgia"/>
          <w:sz w:val="21"/>
          <w:szCs w:val="22"/>
        </w:rPr>
        <w:t xml:space="preserve"> be numbered and signed (original hand-written signature) by the tenderer or his/her representative. The same applies to any alteration, deletion or note made to this document.</w:t>
      </w:r>
    </w:p>
    <w:p w14:paraId="551C179F" w14:textId="77777777" w:rsidR="004F07DF" w:rsidRPr="00C44D66" w:rsidRDefault="004F07DF" w:rsidP="004F07DF">
      <w:pPr>
        <w:spacing w:line="259" w:lineRule="auto"/>
        <w:jc w:val="both"/>
        <w:rPr>
          <w:rFonts w:cs="Arial"/>
          <w:color w:val="auto"/>
        </w:rPr>
      </w:pPr>
      <w:r w:rsidRPr="00C44D66">
        <w:rPr>
          <w:rFonts w:cs="Arial"/>
          <w:color w:val="auto"/>
        </w:rPr>
        <w:t>The representative must clearly state that he/she is authorised to commit the tenderer. If the tenderer is a company / association without legal body status, formed by separate natural or legal persons (temporary group or temporary partnership), the tender must be signed by each of these persons.</w:t>
      </w:r>
    </w:p>
    <w:p w14:paraId="220B4F2C" w14:textId="4F8ED596" w:rsidR="004F07DF" w:rsidRPr="008A398C" w:rsidRDefault="004F07DF" w:rsidP="008A398C">
      <w:pPr>
        <w:spacing w:line="259" w:lineRule="auto"/>
        <w:jc w:val="both"/>
        <w:rPr>
          <w:rFonts w:cs="Arial"/>
          <w:color w:val="auto"/>
        </w:rPr>
      </w:pPr>
      <w:r w:rsidRPr="00C44D66">
        <w:rPr>
          <w:rFonts w:cs="Arial"/>
          <w:color w:val="auto"/>
        </w:rPr>
        <w:t>The signed and dated original (including the soft copy on the key) will be sent in a sealed enveloped mentioning: “</w:t>
      </w:r>
      <w:r w:rsidRPr="00C44D66">
        <w:rPr>
          <w:rFonts w:cs="Arial"/>
          <w:b/>
          <w:color w:val="auto"/>
        </w:rPr>
        <w:t>TENDER</w:t>
      </w:r>
      <w:r w:rsidRPr="00C44D66">
        <w:rPr>
          <w:rFonts w:cs="Arial"/>
          <w:color w:val="auto"/>
        </w:rPr>
        <w:t>”, the tender documen</w:t>
      </w:r>
      <w:r w:rsidR="00B62B0E">
        <w:rPr>
          <w:rFonts w:cs="Arial"/>
          <w:color w:val="auto"/>
        </w:rPr>
        <w:t>t</w:t>
      </w:r>
      <w:r w:rsidRPr="00C44D66">
        <w:rPr>
          <w:rFonts w:cs="Arial"/>
          <w:color w:val="auto"/>
        </w:rPr>
        <w:t xml:space="preserve"> number </w:t>
      </w:r>
      <w:r w:rsidR="00EB4C99" w:rsidRPr="00EB4C99">
        <w:rPr>
          <w:rFonts w:cs="Arial"/>
          <w:b/>
          <w:bCs/>
          <w:color w:val="auto"/>
          <w:highlight w:val="cyan"/>
        </w:rPr>
        <w:t>RWA19009-10065</w:t>
      </w:r>
      <w:r w:rsidR="00EB4C99">
        <w:rPr>
          <w:rFonts w:cs="Arial"/>
          <w:color w:val="auto"/>
        </w:rPr>
        <w:t xml:space="preserve"> </w:t>
      </w:r>
      <w:r w:rsidRPr="00EB4C99">
        <w:rPr>
          <w:rFonts w:cs="Arial"/>
          <w:color w:val="auto"/>
        </w:rPr>
        <w:t xml:space="preserve">and the Navision code </w:t>
      </w:r>
      <w:r w:rsidRPr="007D7A07">
        <w:rPr>
          <w:rFonts w:cs="Arial"/>
          <w:b/>
          <w:color w:val="auto"/>
          <w:highlight w:val="yellow"/>
        </w:rPr>
        <w:t>RWA1900911</w:t>
      </w:r>
      <w:r w:rsidRPr="007D7A07">
        <w:rPr>
          <w:rFonts w:cs="Arial"/>
          <w:color w:val="auto"/>
          <w:highlight w:val="yellow"/>
        </w:rPr>
        <w:t>.</w:t>
      </w:r>
    </w:p>
    <w:p w14:paraId="26E9091A" w14:textId="6F2A1B0E" w:rsidR="004F07DF" w:rsidRPr="00210059" w:rsidRDefault="004F07DF" w:rsidP="004F07DF">
      <w:pPr>
        <w:jc w:val="both"/>
        <w:rPr>
          <w:color w:val="auto"/>
        </w:rPr>
      </w:pPr>
      <w:r w:rsidRPr="00210059">
        <w:rPr>
          <w:color w:val="auto"/>
        </w:rPr>
        <w:t xml:space="preserve">The tender must be received </w:t>
      </w:r>
      <w:r w:rsidRPr="007D7A07">
        <w:rPr>
          <w:b/>
          <w:color w:val="auto"/>
          <w:highlight w:val="yellow"/>
        </w:rPr>
        <w:t xml:space="preserve">before </w:t>
      </w:r>
      <w:r w:rsidR="00B62B0E">
        <w:rPr>
          <w:b/>
          <w:color w:val="auto"/>
          <w:highlight w:val="yellow"/>
        </w:rPr>
        <w:t>3</w:t>
      </w:r>
      <w:r w:rsidRPr="007D7A07">
        <w:rPr>
          <w:b/>
          <w:color w:val="auto"/>
          <w:highlight w:val="yellow"/>
        </w:rPr>
        <w:t>0</w:t>
      </w:r>
      <w:r w:rsidRPr="007D7A07">
        <w:rPr>
          <w:b/>
          <w:color w:val="auto"/>
          <w:highlight w:val="yellow"/>
          <w:vertAlign w:val="superscript"/>
        </w:rPr>
        <w:t xml:space="preserve">th </w:t>
      </w:r>
      <w:r w:rsidR="00EF7FC4">
        <w:rPr>
          <w:b/>
          <w:color w:val="auto"/>
          <w:highlight w:val="yellow"/>
        </w:rPr>
        <w:t>November</w:t>
      </w:r>
      <w:r w:rsidR="00B62B0E">
        <w:rPr>
          <w:b/>
          <w:color w:val="auto"/>
          <w:highlight w:val="yellow"/>
        </w:rPr>
        <w:t xml:space="preserve"> </w:t>
      </w:r>
      <w:r w:rsidRPr="007D7A07">
        <w:rPr>
          <w:b/>
          <w:color w:val="auto"/>
          <w:highlight w:val="yellow"/>
        </w:rPr>
        <w:t>2022 at 4:00 PM Kigali time</w:t>
      </w:r>
      <w:r w:rsidRPr="006867BB">
        <w:rPr>
          <w:color w:val="auto"/>
        </w:rPr>
        <w:t>. It</w:t>
      </w:r>
      <w:r w:rsidRPr="00210059">
        <w:rPr>
          <w:color w:val="auto"/>
        </w:rPr>
        <w:t xml:space="preserve"> must be sent to:</w:t>
      </w:r>
    </w:p>
    <w:p w14:paraId="550EF42C" w14:textId="77777777" w:rsidR="004F07DF" w:rsidRPr="00210059" w:rsidRDefault="004F07DF" w:rsidP="004F07DF">
      <w:pPr>
        <w:pStyle w:val="BTCtextCTB"/>
        <w:ind w:left="708" w:firstLine="708"/>
        <w:jc w:val="left"/>
        <w:rPr>
          <w:rFonts w:ascii="Arial" w:hAnsi="Arial"/>
          <w:b/>
          <w:kern w:val="18"/>
          <w:sz w:val="20"/>
        </w:rPr>
      </w:pPr>
      <w:r w:rsidRPr="00210059">
        <w:rPr>
          <w:rFonts w:ascii="Arial" w:hAnsi="Arial"/>
          <w:b/>
          <w:kern w:val="18"/>
          <w:sz w:val="20"/>
        </w:rPr>
        <w:t>The Attention of Françoise MUSHIMIYIMANA</w:t>
      </w:r>
    </w:p>
    <w:p w14:paraId="39BA31FF" w14:textId="77777777" w:rsidR="004F07DF" w:rsidRPr="00210059" w:rsidRDefault="004F07DF" w:rsidP="004F07DF">
      <w:pPr>
        <w:pStyle w:val="BTCtextCTB"/>
        <w:ind w:left="1416"/>
        <w:jc w:val="left"/>
        <w:rPr>
          <w:rFonts w:ascii="Arial" w:hAnsi="Arial"/>
          <w:b/>
          <w:kern w:val="18"/>
          <w:sz w:val="20"/>
        </w:rPr>
      </w:pPr>
      <w:r w:rsidRPr="00210059">
        <w:rPr>
          <w:rFonts w:ascii="Arial" w:hAnsi="Arial"/>
          <w:b/>
          <w:kern w:val="18"/>
          <w:sz w:val="20"/>
        </w:rPr>
        <w:t>National ECA - Enabel Rwanda</w:t>
      </w:r>
    </w:p>
    <w:p w14:paraId="371CE0B3" w14:textId="77777777" w:rsidR="004F07DF" w:rsidRPr="00210059" w:rsidRDefault="004F07DF" w:rsidP="004F07DF">
      <w:pPr>
        <w:pStyle w:val="BTCtextCTB"/>
        <w:ind w:left="1416"/>
        <w:jc w:val="left"/>
        <w:rPr>
          <w:rFonts w:ascii="Arial" w:hAnsi="Arial"/>
          <w:b/>
          <w:kern w:val="18"/>
          <w:sz w:val="20"/>
        </w:rPr>
      </w:pPr>
      <w:r w:rsidRPr="00210059">
        <w:rPr>
          <w:rFonts w:ascii="Arial" w:hAnsi="Arial"/>
          <w:b/>
          <w:kern w:val="18"/>
          <w:sz w:val="20"/>
        </w:rPr>
        <w:t>Belgian development agency</w:t>
      </w:r>
    </w:p>
    <w:p w14:paraId="69E4FD6E" w14:textId="77777777" w:rsidR="004F07DF" w:rsidRPr="00210059" w:rsidRDefault="004F07DF" w:rsidP="004F07DF">
      <w:pPr>
        <w:pStyle w:val="BTCtextCTB"/>
        <w:ind w:left="1416"/>
        <w:jc w:val="left"/>
        <w:rPr>
          <w:rFonts w:ascii="Arial" w:hAnsi="Arial"/>
          <w:b/>
          <w:kern w:val="18"/>
          <w:sz w:val="20"/>
        </w:rPr>
      </w:pPr>
      <w:r w:rsidRPr="00210059">
        <w:rPr>
          <w:rFonts w:ascii="Arial" w:hAnsi="Arial"/>
          <w:b/>
          <w:kern w:val="18"/>
          <w:sz w:val="20"/>
        </w:rPr>
        <w:t>KN 67 Street, plot N° 10</w:t>
      </w:r>
    </w:p>
    <w:p w14:paraId="10DB4CF7" w14:textId="77777777" w:rsidR="004F07DF" w:rsidRPr="00210059" w:rsidRDefault="004F07DF" w:rsidP="004F07DF">
      <w:pPr>
        <w:pStyle w:val="BTCtextCTB"/>
        <w:ind w:left="1416"/>
        <w:jc w:val="left"/>
        <w:rPr>
          <w:rFonts w:ascii="Arial" w:hAnsi="Arial"/>
          <w:b/>
          <w:kern w:val="18"/>
          <w:sz w:val="20"/>
        </w:rPr>
      </w:pPr>
      <w:r w:rsidRPr="00210059">
        <w:rPr>
          <w:rFonts w:ascii="Arial" w:hAnsi="Arial"/>
          <w:b/>
          <w:kern w:val="18"/>
          <w:sz w:val="20"/>
        </w:rPr>
        <w:t>SORAS Towers, Wing A, 6</w:t>
      </w:r>
      <w:r w:rsidRPr="00210059">
        <w:rPr>
          <w:rFonts w:ascii="Arial" w:hAnsi="Arial"/>
          <w:b/>
          <w:kern w:val="18"/>
          <w:sz w:val="20"/>
          <w:vertAlign w:val="superscript"/>
        </w:rPr>
        <w:t>th</w:t>
      </w:r>
      <w:r w:rsidRPr="00210059">
        <w:rPr>
          <w:rFonts w:ascii="Arial" w:hAnsi="Arial"/>
          <w:b/>
          <w:kern w:val="18"/>
          <w:sz w:val="20"/>
        </w:rPr>
        <w:t xml:space="preserve"> Floor</w:t>
      </w:r>
    </w:p>
    <w:p w14:paraId="482457B4" w14:textId="77777777" w:rsidR="004F07DF" w:rsidRPr="00210059" w:rsidRDefault="004F07DF" w:rsidP="004F07DF">
      <w:pPr>
        <w:pStyle w:val="BTCtextCTB"/>
        <w:ind w:left="1416"/>
        <w:jc w:val="left"/>
        <w:rPr>
          <w:rFonts w:ascii="Arial" w:hAnsi="Arial"/>
          <w:b/>
          <w:kern w:val="18"/>
          <w:sz w:val="20"/>
        </w:rPr>
      </w:pPr>
      <w:r w:rsidRPr="00210059">
        <w:rPr>
          <w:rFonts w:ascii="Arial" w:hAnsi="Arial"/>
          <w:b/>
          <w:kern w:val="18"/>
          <w:sz w:val="20"/>
        </w:rPr>
        <w:t>Opposite St Michel Catholic Church</w:t>
      </w:r>
    </w:p>
    <w:p w14:paraId="3545622B" w14:textId="77777777" w:rsidR="004F07DF" w:rsidRPr="00210059" w:rsidRDefault="004F07DF" w:rsidP="004F07DF">
      <w:pPr>
        <w:pStyle w:val="BTCtextCTB"/>
        <w:ind w:left="1416"/>
        <w:jc w:val="left"/>
        <w:rPr>
          <w:rFonts w:ascii="Arial" w:hAnsi="Arial"/>
          <w:b/>
          <w:kern w:val="18"/>
          <w:sz w:val="20"/>
        </w:rPr>
      </w:pPr>
      <w:r w:rsidRPr="00210059">
        <w:rPr>
          <w:rFonts w:ascii="Arial" w:hAnsi="Arial"/>
          <w:b/>
          <w:kern w:val="18"/>
          <w:sz w:val="20"/>
        </w:rPr>
        <w:t>B.P. 6089 KIYOVU</w:t>
      </w:r>
    </w:p>
    <w:p w14:paraId="41D3D3ED"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It may be submitted:</w:t>
      </w:r>
    </w:p>
    <w:p w14:paraId="76760FCC" w14:textId="266E1AD1" w:rsidR="004F07DF" w:rsidRPr="00210059" w:rsidRDefault="004F07DF" w:rsidP="004F07DF">
      <w:pPr>
        <w:pStyle w:val="BTCtextCTB"/>
        <w:numPr>
          <w:ilvl w:val="0"/>
          <w:numId w:val="45"/>
        </w:numPr>
        <w:rPr>
          <w:rFonts w:ascii="Georgia" w:eastAsia="Calibri" w:hAnsi="Georgia"/>
          <w:sz w:val="21"/>
          <w:szCs w:val="22"/>
        </w:rPr>
      </w:pPr>
      <w:r w:rsidRPr="00210059">
        <w:rPr>
          <w:rFonts w:ascii="Georgia" w:hAnsi="Georgia"/>
          <w:sz w:val="21"/>
          <w:szCs w:val="22"/>
          <w:u w:val="single"/>
        </w:rPr>
        <w:t xml:space="preserve">Either </w:t>
      </w:r>
      <w:r w:rsidR="00C32AD3">
        <w:rPr>
          <w:rFonts w:ascii="Georgia" w:hAnsi="Georgia"/>
          <w:sz w:val="21"/>
          <w:szCs w:val="22"/>
          <w:u w:val="single"/>
        </w:rPr>
        <w:t>b</w:t>
      </w:r>
      <w:r w:rsidRPr="00210059">
        <w:rPr>
          <w:rFonts w:ascii="Georgia" w:hAnsi="Georgia"/>
          <w:sz w:val="21"/>
          <w:szCs w:val="22"/>
          <w:u w:val="single"/>
        </w:rPr>
        <w:t>y post mail</w:t>
      </w:r>
      <w:r w:rsidRPr="00210059">
        <w:rPr>
          <w:rFonts w:ascii="Georgia" w:hAnsi="Georgia"/>
          <w:sz w:val="21"/>
          <w:szCs w:val="22"/>
        </w:rPr>
        <w:t xml:space="preserve"> (standard mail or registered mail)</w:t>
      </w:r>
    </w:p>
    <w:p w14:paraId="2A490A1C" w14:textId="77777777" w:rsidR="004F07DF" w:rsidRPr="00210059" w:rsidRDefault="004F07DF" w:rsidP="004F07DF">
      <w:pPr>
        <w:pStyle w:val="BTCtextCTB"/>
        <w:ind w:left="720"/>
        <w:rPr>
          <w:rFonts w:ascii="Georgia" w:hAnsi="Georgia"/>
          <w:sz w:val="21"/>
          <w:szCs w:val="22"/>
        </w:rPr>
      </w:pPr>
      <w:r w:rsidRPr="00210059">
        <w:rPr>
          <w:rFonts w:ascii="Georgia" w:hAnsi="Georgia"/>
          <w:sz w:val="21"/>
          <w:szCs w:val="22"/>
        </w:rPr>
        <w:t>In this case, the sealed envelope is put in a second closed envelope. The delivery record makes proof of compliance with the time-limit for receipt.</w:t>
      </w:r>
    </w:p>
    <w:p w14:paraId="0A632190" w14:textId="15F34361" w:rsidR="004F07DF" w:rsidRPr="008A398C" w:rsidRDefault="004F07DF" w:rsidP="008A398C">
      <w:pPr>
        <w:pStyle w:val="BTCtextCTB"/>
        <w:numPr>
          <w:ilvl w:val="0"/>
          <w:numId w:val="45"/>
        </w:numPr>
        <w:rPr>
          <w:rFonts w:ascii="Georgia" w:eastAsia="Calibri" w:hAnsi="Georgia"/>
          <w:sz w:val="21"/>
          <w:szCs w:val="22"/>
        </w:rPr>
      </w:pPr>
      <w:r w:rsidRPr="00210059">
        <w:rPr>
          <w:rFonts w:ascii="Georgia" w:hAnsi="Georgia"/>
          <w:sz w:val="21"/>
          <w:szCs w:val="22"/>
        </w:rPr>
        <w:t xml:space="preserve">Or </w:t>
      </w:r>
      <w:r w:rsidR="00C32AD3">
        <w:rPr>
          <w:rFonts w:ascii="Georgia" w:hAnsi="Georgia"/>
          <w:sz w:val="21"/>
          <w:szCs w:val="22"/>
          <w:u w:val="single"/>
        </w:rPr>
        <w:t>d</w:t>
      </w:r>
      <w:r w:rsidRPr="00210059">
        <w:rPr>
          <w:rFonts w:ascii="Georgia" w:hAnsi="Georgia"/>
          <w:sz w:val="21"/>
          <w:szCs w:val="22"/>
          <w:u w:val="single"/>
        </w:rPr>
        <w:t>elivered by hand</w:t>
      </w:r>
      <w:r w:rsidRPr="00210059">
        <w:rPr>
          <w:rFonts w:ascii="Georgia" w:hAnsi="Georgia"/>
          <w:sz w:val="21"/>
          <w:szCs w:val="22"/>
        </w:rPr>
        <w:t xml:space="preserve"> directly to the contracting authority against a signed and dated receipt: In this case, the acknowledgment of receipt makes proof of compliance with the time-limit for receipt.</w:t>
      </w:r>
    </w:p>
    <w:p w14:paraId="0496FCD5" w14:textId="34E008F0" w:rsidR="004F07DF" w:rsidRPr="00210059" w:rsidRDefault="004F07DF" w:rsidP="008A398C">
      <w:pPr>
        <w:pStyle w:val="BTCtextCTB"/>
        <w:ind w:left="720"/>
        <w:rPr>
          <w:rFonts w:ascii="Georgia" w:eastAsia="Calibri" w:hAnsi="Georgia"/>
          <w:sz w:val="21"/>
          <w:szCs w:val="22"/>
        </w:rPr>
      </w:pPr>
      <w:r w:rsidRPr="00210059">
        <w:rPr>
          <w:rFonts w:ascii="Georgia" w:hAnsi="Georgia"/>
          <w:sz w:val="21"/>
          <w:szCs w:val="22"/>
        </w:rPr>
        <w:t>The service can be reached on working days during office hours: from 8 am to 12:30 pm and from 1:30 pm to 5 pm (Rwanda time)</w:t>
      </w:r>
    </w:p>
    <w:p w14:paraId="2F6E3173"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lastRenderedPageBreak/>
        <w:t>Any request for participation or tender must arrive before the final submission date and time. Requests for participation or tenders that arrive late will not be accepted</w:t>
      </w:r>
      <w:r w:rsidRPr="00210059">
        <w:rPr>
          <w:rStyle w:val="FootnoteReference"/>
          <w:rFonts w:ascii="Georgia" w:eastAsia="Calibri" w:hAnsi="Georgia"/>
          <w:sz w:val="21"/>
          <w:szCs w:val="22"/>
        </w:rPr>
        <w:footnoteReference w:id="12"/>
      </w:r>
      <w:r w:rsidRPr="00210059">
        <w:rPr>
          <w:rFonts w:ascii="Georgia" w:hAnsi="Georgia"/>
          <w:sz w:val="21"/>
          <w:szCs w:val="22"/>
        </w:rPr>
        <w:t xml:space="preserve">. </w:t>
      </w:r>
      <w:bookmarkStart w:id="72" w:name="Art.84"/>
      <w:bookmarkEnd w:id="72"/>
    </w:p>
    <w:p w14:paraId="11914834" w14:textId="77777777" w:rsidR="004F07DF" w:rsidRPr="00210059" w:rsidRDefault="004F07DF" w:rsidP="004F07DF">
      <w:pPr>
        <w:pStyle w:val="Heading3"/>
        <w:keepNext/>
        <w:widowControl w:val="0"/>
        <w:numPr>
          <w:ilvl w:val="2"/>
          <w:numId w:val="5"/>
        </w:numPr>
        <w:tabs>
          <w:tab w:val="num" w:pos="720"/>
        </w:tabs>
        <w:suppressAutoHyphens/>
        <w:autoSpaceDE/>
        <w:autoSpaceDN/>
        <w:adjustRightInd/>
        <w:spacing w:before="180" w:after="180"/>
        <w:contextualSpacing w:val="0"/>
        <w:rPr>
          <w:color w:val="auto"/>
        </w:rPr>
      </w:pPr>
      <w:bookmarkStart w:id="73" w:name="_Toc117027481"/>
      <w:r w:rsidRPr="00210059">
        <w:rPr>
          <w:color w:val="auto"/>
        </w:rPr>
        <w:t>Change or withdrawal of a tender that has already been submitted</w:t>
      </w:r>
      <w:bookmarkEnd w:id="73"/>
    </w:p>
    <w:p w14:paraId="0D8BBBB9"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 xml:space="preserve">When a tenderer wants to change or withdraw a tender already sent or submitted this must be done in accordance with the provisions of Articles 43 and 85 of the Royal Decree of 18 April 2017. </w:t>
      </w:r>
    </w:p>
    <w:p w14:paraId="44AD70F6"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To change or withdraw a tender already sent or submitted, a written statement is required, which will be correctly signed by the tenderer or his representative. The subject-matter and the scope of the changes must be indicated in detail. Any withdrawal must be unconditional.</w:t>
      </w:r>
    </w:p>
    <w:p w14:paraId="4CD37584"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 xml:space="preserve">The withdrawal may also be communicated by fax or electronic means, </w:t>
      </w:r>
      <w:proofErr w:type="gramStart"/>
      <w:r w:rsidRPr="00210059">
        <w:rPr>
          <w:rFonts w:ascii="Georgia" w:hAnsi="Georgia"/>
          <w:sz w:val="21"/>
          <w:szCs w:val="22"/>
        </w:rPr>
        <w:t>provided that</w:t>
      </w:r>
      <w:proofErr w:type="gramEnd"/>
      <w:r w:rsidRPr="00210059">
        <w:rPr>
          <w:rFonts w:ascii="Georgia" w:hAnsi="Georgia"/>
          <w:sz w:val="21"/>
          <w:szCs w:val="22"/>
        </w:rPr>
        <w:t xml:space="preserve"> it is confirmed by registered letter deposited at the post office or against acknowledgement of receipt at the latest the day before the tender acceptance deadline.</w:t>
      </w:r>
    </w:p>
    <w:p w14:paraId="67503539"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Thus, a tender that is modified or withdrawn after the signing of the submission report means that a new submission report, signed in accordance with paragraph 1, must be sent.</w:t>
      </w:r>
    </w:p>
    <w:p w14:paraId="0B16B79B"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br/>
        <w:t>The subject-matter and the scope of the changes must be indicated in detail.</w:t>
      </w:r>
    </w:p>
    <w:p w14:paraId="018E7E5E"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The withdrawal must be pure and simple.</w:t>
      </w:r>
    </w:p>
    <w:p w14:paraId="5C2F5833" w14:textId="4C5135A6" w:rsidR="004F07DF" w:rsidRPr="00210059" w:rsidRDefault="004F07DF" w:rsidP="004F07DF">
      <w:pPr>
        <w:pStyle w:val="BTCtextCTB"/>
        <w:rPr>
          <w:rFonts w:ascii="Georgia" w:hAnsi="Georgia"/>
          <w:sz w:val="21"/>
          <w:szCs w:val="22"/>
        </w:rPr>
      </w:pPr>
      <w:r w:rsidRPr="00210059">
        <w:rPr>
          <w:rFonts w:ascii="Georgia" w:hAnsi="Georgia"/>
          <w:sz w:val="21"/>
          <w:szCs w:val="22"/>
        </w:rPr>
        <w:t>When the submission report drawn up following the modifications or withdrawal set out in clause 1 does not bear the signature referred to in paragraph 1, the modification or withdrawal is automatically deemed null and void. This nullity applies only to the modifications or withdrawal, not to the tender itself.</w:t>
      </w:r>
    </w:p>
    <w:p w14:paraId="1F579564" w14:textId="77777777" w:rsidR="004F07DF" w:rsidRPr="00210059" w:rsidRDefault="004F07DF" w:rsidP="004F07DF">
      <w:pPr>
        <w:pStyle w:val="Heading3"/>
        <w:keepNext/>
        <w:widowControl w:val="0"/>
        <w:numPr>
          <w:ilvl w:val="2"/>
          <w:numId w:val="5"/>
        </w:numPr>
        <w:tabs>
          <w:tab w:val="num" w:pos="720"/>
        </w:tabs>
        <w:suppressAutoHyphens/>
        <w:autoSpaceDE/>
        <w:autoSpaceDN/>
        <w:adjustRightInd/>
        <w:spacing w:before="180" w:after="180"/>
        <w:contextualSpacing w:val="0"/>
        <w:rPr>
          <w:rFonts w:ascii="Georgia" w:hAnsi="Georgia"/>
          <w:color w:val="auto"/>
          <w:sz w:val="21"/>
          <w:szCs w:val="22"/>
        </w:rPr>
      </w:pPr>
      <w:bookmarkStart w:id="74" w:name="_Toc117027482"/>
      <w:r w:rsidRPr="00210059">
        <w:rPr>
          <w:rFonts w:ascii="Georgia" w:hAnsi="Georgia"/>
          <w:color w:val="auto"/>
          <w:sz w:val="21"/>
          <w:szCs w:val="22"/>
        </w:rPr>
        <w:t>Opening of tenders</w:t>
      </w:r>
      <w:bookmarkEnd w:id="74"/>
    </w:p>
    <w:p w14:paraId="7E0AD047" w14:textId="77777777" w:rsidR="004F07DF" w:rsidRPr="00210059" w:rsidRDefault="004F07DF" w:rsidP="004F07DF">
      <w:pPr>
        <w:pStyle w:val="BTCtextCTB"/>
        <w:rPr>
          <w:rFonts w:ascii="Georgia" w:eastAsia="Calibri" w:hAnsi="Georgia"/>
          <w:sz w:val="21"/>
          <w:szCs w:val="22"/>
        </w:rPr>
      </w:pPr>
      <w:r w:rsidRPr="00210059">
        <w:rPr>
          <w:rFonts w:ascii="Georgia" w:eastAsia="Calibri" w:hAnsi="Georgia"/>
          <w:sz w:val="21"/>
          <w:szCs w:val="22"/>
        </w:rPr>
        <w:t>The tender must be in the possession of the contracting authority before the final submission date and time specified in point 3.5 “Submission of tenders”. The tenders shall be opened behind closed doors.</w:t>
      </w:r>
    </w:p>
    <w:p w14:paraId="7FE52169" w14:textId="77777777" w:rsidR="004F07DF" w:rsidRPr="00210059"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75" w:name="_Toc117027483"/>
      <w:bookmarkStart w:id="76" w:name="_Ref233177124"/>
      <w:bookmarkStart w:id="77" w:name="_Ref233177126"/>
      <w:bookmarkStart w:id="78" w:name="_Toc257380489"/>
      <w:bookmarkStart w:id="79" w:name="_Toc260134208"/>
      <w:bookmarkStart w:id="80" w:name="_Toc364253078"/>
      <w:r w:rsidRPr="00210059">
        <w:rPr>
          <w:color w:val="auto"/>
        </w:rPr>
        <w:t>Selection of tenderers</w:t>
      </w:r>
      <w:bookmarkEnd w:id="75"/>
    </w:p>
    <w:p w14:paraId="143FAF76" w14:textId="77777777" w:rsidR="004F07DF" w:rsidRPr="00C44D66" w:rsidRDefault="004F07DF" w:rsidP="004F07DF">
      <w:pPr>
        <w:pStyle w:val="BodyText"/>
        <w:rPr>
          <w:rFonts w:cs="Arial"/>
          <w:i/>
          <w:sz w:val="18"/>
          <w:szCs w:val="18"/>
          <w:highlight w:val="lightGray"/>
        </w:rPr>
      </w:pPr>
      <w:r w:rsidRPr="00C44D66">
        <w:rPr>
          <w:i/>
          <w:sz w:val="18"/>
          <w:szCs w:val="18"/>
          <w:highlight w:val="lightGray"/>
        </w:rPr>
        <w:t xml:space="preserve"> Articles 66 – 80 of the Law; Articles 59 to 74 Royal Decree Award</w:t>
      </w:r>
    </w:p>
    <w:p w14:paraId="6A3AEE26" w14:textId="77777777" w:rsidR="004F07DF" w:rsidRPr="00210059" w:rsidRDefault="004F07DF" w:rsidP="004F07DF">
      <w:pPr>
        <w:pStyle w:val="Heading4"/>
        <w:keepLines w:val="0"/>
        <w:widowControl w:val="0"/>
        <w:numPr>
          <w:ilvl w:val="3"/>
          <w:numId w:val="5"/>
        </w:numPr>
        <w:tabs>
          <w:tab w:val="num" w:pos="864"/>
        </w:tabs>
        <w:suppressAutoHyphens/>
        <w:spacing w:before="120" w:after="120" w:line="240" w:lineRule="auto"/>
        <w:rPr>
          <w:color w:val="auto"/>
        </w:rPr>
      </w:pPr>
      <w:bookmarkStart w:id="81" w:name="_Toc117027484"/>
      <w:r w:rsidRPr="00210059">
        <w:rPr>
          <w:color w:val="auto"/>
        </w:rPr>
        <w:t>Exclusion grounds</w:t>
      </w:r>
      <w:bookmarkEnd w:id="81"/>
    </w:p>
    <w:p w14:paraId="71CF0F0E" w14:textId="77777777" w:rsidR="004F07DF" w:rsidRPr="00C44D66" w:rsidRDefault="004F07DF" w:rsidP="004F07DF">
      <w:pPr>
        <w:pStyle w:val="BodyText"/>
        <w:rPr>
          <w:rFonts w:cs="Arial"/>
          <w:i/>
          <w:sz w:val="18"/>
          <w:szCs w:val="18"/>
          <w:highlight w:val="lightGray"/>
        </w:rPr>
      </w:pPr>
      <w:r w:rsidRPr="00C44D66">
        <w:rPr>
          <w:i/>
          <w:sz w:val="18"/>
          <w:szCs w:val="18"/>
          <w:highlight w:val="lightGray"/>
        </w:rPr>
        <w:t>Articles 52 and 69 of the Law; Article 51 of the Royal Decree of 18.04.2017</w:t>
      </w:r>
    </w:p>
    <w:p w14:paraId="2F817177"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The mandatory and optional exclusion grounds are given in attachment to these Tender Specifications.</w:t>
      </w:r>
    </w:p>
    <w:p w14:paraId="13EAB2EE"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By submitting this tender, the tenderer certifies that he is not in any of the cases of exclusion listed in the Articles 67 to 70 of the Law of 17 June 2016 and the Articles 61 to 64 of the Royal Decree of 18 April 2017.</w:t>
      </w:r>
    </w:p>
    <w:p w14:paraId="2DDF1FFD"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The contracting authority will verify the exactitude of this Declaration on honour for the tenderer with the best tender.</w:t>
      </w:r>
    </w:p>
    <w:p w14:paraId="63DB0A58"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For that purpose, the contracting authority will ask the tenderer concerned to provide information or documents allowing the contracting authority to verify the tenderer's personal situation by the fastest means and within the term set by the contracting authority.</w:t>
      </w:r>
    </w:p>
    <w:p w14:paraId="673C7460" w14:textId="48B12E6F" w:rsidR="004F07DF" w:rsidRPr="008A398C" w:rsidRDefault="004F07DF" w:rsidP="004F07DF">
      <w:pPr>
        <w:pStyle w:val="BTCtextCTB"/>
        <w:rPr>
          <w:rFonts w:ascii="Georgia" w:eastAsia="Calibri" w:hAnsi="Georgia"/>
          <w:sz w:val="21"/>
          <w:szCs w:val="22"/>
        </w:rPr>
      </w:pPr>
      <w:r w:rsidRPr="00210059">
        <w:rPr>
          <w:rFonts w:ascii="Georgia" w:hAnsi="Georgia"/>
          <w:sz w:val="21"/>
          <w:szCs w:val="22"/>
        </w:rPr>
        <w:t>The contracting authority will itself ask for information or documents that it can obtain free of charge by digital means from the instances that manage the information or documents.</w:t>
      </w:r>
    </w:p>
    <w:p w14:paraId="15496716" w14:textId="77777777" w:rsidR="004F07DF" w:rsidRPr="00210059" w:rsidRDefault="004F07DF" w:rsidP="004F07DF">
      <w:pPr>
        <w:pStyle w:val="Heading4"/>
        <w:keepLines w:val="0"/>
        <w:widowControl w:val="0"/>
        <w:numPr>
          <w:ilvl w:val="3"/>
          <w:numId w:val="5"/>
        </w:numPr>
        <w:tabs>
          <w:tab w:val="num" w:pos="864"/>
        </w:tabs>
        <w:suppressAutoHyphens/>
        <w:spacing w:before="120" w:after="120" w:line="240" w:lineRule="auto"/>
        <w:rPr>
          <w:color w:val="auto"/>
        </w:rPr>
      </w:pPr>
      <w:bookmarkStart w:id="82" w:name="_Toc117027485"/>
      <w:r w:rsidRPr="00210059">
        <w:rPr>
          <w:color w:val="auto"/>
        </w:rPr>
        <w:t>Selection criteria</w:t>
      </w:r>
      <w:bookmarkEnd w:id="82"/>
    </w:p>
    <w:p w14:paraId="3C047329" w14:textId="77777777" w:rsidR="004F07DF" w:rsidRPr="00C44D66" w:rsidRDefault="004F07DF" w:rsidP="004F07DF">
      <w:pPr>
        <w:pStyle w:val="BodyText"/>
        <w:rPr>
          <w:rFonts w:cs="Arial"/>
          <w:i/>
          <w:sz w:val="18"/>
          <w:szCs w:val="18"/>
          <w:highlight w:val="lightGray"/>
        </w:rPr>
      </w:pPr>
      <w:r w:rsidRPr="00C44D66">
        <w:rPr>
          <w:i/>
          <w:sz w:val="18"/>
          <w:szCs w:val="18"/>
          <w:highlight w:val="lightGray"/>
        </w:rPr>
        <w:t>Article 71 of the Law and Articles 65 to 74 of the Royal Decree of 18.04.2017</w:t>
      </w:r>
    </w:p>
    <w:p w14:paraId="11C2C044" w14:textId="77777777" w:rsidR="004F07DF" w:rsidRDefault="004F07DF" w:rsidP="004F07DF">
      <w:pPr>
        <w:pStyle w:val="BTCtextCTB"/>
        <w:rPr>
          <w:rFonts w:ascii="Georgia" w:hAnsi="Georgia"/>
          <w:sz w:val="21"/>
          <w:szCs w:val="22"/>
        </w:rPr>
      </w:pPr>
      <w:r w:rsidRPr="00210059">
        <w:rPr>
          <w:rFonts w:ascii="Georgia" w:hAnsi="Georgia"/>
          <w:sz w:val="21"/>
          <w:szCs w:val="22"/>
        </w:rPr>
        <w:lastRenderedPageBreak/>
        <w:t xml:space="preserve">Moreover, by means of the documents requested in </w:t>
      </w:r>
      <w:r w:rsidRPr="000D7462">
        <w:rPr>
          <w:rFonts w:ascii="Georgia" w:hAnsi="Georgia"/>
          <w:b/>
          <w:bCs/>
          <w:sz w:val="21"/>
          <w:szCs w:val="22"/>
        </w:rPr>
        <w:t>the ‘Selection file’</w:t>
      </w:r>
      <w:r w:rsidRPr="00210059">
        <w:rPr>
          <w:rFonts w:ascii="Georgia" w:hAnsi="Georgia"/>
          <w:sz w:val="21"/>
          <w:szCs w:val="22"/>
        </w:rPr>
        <w:t>, the tenderer must prove that he is sufficiently capable, from an economic and financial as well as from a technical point of view, to successfully perform this public procurement contract.</w:t>
      </w:r>
    </w:p>
    <w:p w14:paraId="54ED6777" w14:textId="1C852969" w:rsidR="004F07DF" w:rsidRPr="008C0A53" w:rsidRDefault="004F07DF" w:rsidP="008C0A53">
      <w:pPr>
        <w:pStyle w:val="BTCtextCTB"/>
        <w:rPr>
          <w:rFonts w:ascii="Georgia" w:eastAsia="Calibri" w:hAnsi="Georgia"/>
          <w:sz w:val="21"/>
          <w:szCs w:val="22"/>
        </w:rPr>
      </w:pPr>
      <w:r>
        <w:rPr>
          <w:rFonts w:ascii="Georgia" w:hAnsi="Georgia"/>
          <w:sz w:val="21"/>
          <w:szCs w:val="22"/>
        </w:rPr>
        <w:t xml:space="preserve">The minimum required profile of the company/firm will also be analysed at the selection stage. The bidders who will not meet the minimum requirements will not be selected for the award stage. </w:t>
      </w:r>
    </w:p>
    <w:p w14:paraId="32A71979" w14:textId="77777777" w:rsidR="004F07DF" w:rsidRPr="00210059" w:rsidRDefault="004F07DF" w:rsidP="004F07DF">
      <w:pPr>
        <w:pStyle w:val="Heading4"/>
        <w:keepLines w:val="0"/>
        <w:widowControl w:val="0"/>
        <w:numPr>
          <w:ilvl w:val="3"/>
          <w:numId w:val="5"/>
        </w:numPr>
        <w:tabs>
          <w:tab w:val="num" w:pos="864"/>
        </w:tabs>
        <w:suppressAutoHyphens/>
        <w:spacing w:before="120" w:after="120" w:line="240" w:lineRule="auto"/>
        <w:rPr>
          <w:color w:val="auto"/>
        </w:rPr>
      </w:pPr>
      <w:bookmarkStart w:id="83" w:name="_Toc117027486"/>
      <w:r w:rsidRPr="00210059">
        <w:rPr>
          <w:color w:val="auto"/>
        </w:rPr>
        <w:t>Overview of the procedure</w:t>
      </w:r>
      <w:bookmarkEnd w:id="83"/>
    </w:p>
    <w:p w14:paraId="4F88F73F" w14:textId="77777777" w:rsidR="004F07DF" w:rsidRPr="00210059" w:rsidRDefault="004F07DF" w:rsidP="004F07DF">
      <w:pPr>
        <w:pStyle w:val="BodyText"/>
        <w:rPr>
          <w:i/>
          <w:sz w:val="18"/>
          <w:szCs w:val="18"/>
        </w:rPr>
      </w:pPr>
      <w:r w:rsidRPr="00C44D66">
        <w:rPr>
          <w:i/>
          <w:highlight w:val="lightGray"/>
        </w:rPr>
        <w:t xml:space="preserve">Text valid in case </w:t>
      </w:r>
      <w:r w:rsidRPr="00C44D66">
        <w:rPr>
          <w:b/>
          <w:i/>
          <w:highlight w:val="lightGray"/>
        </w:rPr>
        <w:t>several award criteria</w:t>
      </w:r>
      <w:r w:rsidRPr="00C44D66">
        <w:rPr>
          <w:i/>
          <w:highlight w:val="lightGray"/>
        </w:rPr>
        <w:t xml:space="preserve"> are given in the Tender Specifications.</w:t>
      </w:r>
    </w:p>
    <w:p w14:paraId="5481FFE1"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 xml:space="preserve">In a first phase, the tenders submitted by the selected tenderers will be evaluated as to formal and material regularity. Irregular tenders will be rejected. </w:t>
      </w:r>
    </w:p>
    <w:p w14:paraId="1A424C55"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The contracting authority reserves the right to have the irregularities in the tenderers’ tender regularised during the negotiations.</w:t>
      </w:r>
    </w:p>
    <w:p w14:paraId="7C771A70"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 xml:space="preserve">In a second phase, the formally and materially regular tenders will be evaluated as to content by an evaluation commission. The contracting authority will restrict the number of tenders to be negotiated by applying the award criteria stated in the procurement documents.  This evaluation will be conducted </w:t>
      </w:r>
      <w:proofErr w:type="gramStart"/>
      <w:r w:rsidRPr="00210059">
        <w:rPr>
          <w:rFonts w:ascii="Georgia" w:hAnsi="Georgia"/>
          <w:sz w:val="21"/>
          <w:szCs w:val="22"/>
        </w:rPr>
        <w:t>on the basis of</w:t>
      </w:r>
      <w:proofErr w:type="gramEnd"/>
      <w:r w:rsidRPr="00210059">
        <w:rPr>
          <w:rFonts w:ascii="Georgia" w:hAnsi="Georgia"/>
          <w:sz w:val="21"/>
          <w:szCs w:val="22"/>
        </w:rPr>
        <w:t xml:space="preserve"> the award criteria given in these Tender Specifications and aims to setting a shortlist of tenderers with whom negotiations will be conducted. </w:t>
      </w:r>
      <w:r w:rsidRPr="00210059">
        <w:rPr>
          <w:rFonts w:ascii="Georgia" w:hAnsi="Georgia"/>
          <w:b/>
          <w:bCs/>
          <w:sz w:val="21"/>
          <w:szCs w:val="22"/>
        </w:rPr>
        <w:t>Maximum 3 tenderers</w:t>
      </w:r>
      <w:r w:rsidRPr="00210059">
        <w:rPr>
          <w:rFonts w:ascii="Georgia" w:hAnsi="Georgia"/>
          <w:sz w:val="21"/>
          <w:szCs w:val="22"/>
        </w:rPr>
        <w:t xml:space="preserve"> may be included in the shortlist. </w:t>
      </w:r>
    </w:p>
    <w:p w14:paraId="003E386C" w14:textId="77777777" w:rsidR="004F07DF" w:rsidRPr="00210059" w:rsidRDefault="004F07DF" w:rsidP="004F07DF">
      <w:pPr>
        <w:pStyle w:val="BTCtextCTB"/>
        <w:rPr>
          <w:rFonts w:ascii="Georgia" w:eastAsia="Calibri" w:hAnsi="Georgia"/>
          <w:sz w:val="21"/>
          <w:szCs w:val="22"/>
        </w:rPr>
      </w:pPr>
      <w:r w:rsidRPr="00210059">
        <w:rPr>
          <w:rFonts w:ascii="Georgia" w:hAnsi="Georgia"/>
          <w:sz w:val="21"/>
          <w:szCs w:val="22"/>
        </w:rPr>
        <w:t xml:space="preserve">Then, the negotiation phase follows. In view of improving the contents of the tenders, the contracting authority may negotiate with tenderers the initial tenders and all subsequent tenders that they have submitted, except final tenders.  The minimum requirements and the award criteria are not negotiable. </w:t>
      </w:r>
      <w:r w:rsidRPr="00210059">
        <w:rPr>
          <w:rFonts w:ascii="Georgia" w:hAnsi="Georgia"/>
          <w:b/>
          <w:bCs/>
          <w:sz w:val="21"/>
          <w:szCs w:val="22"/>
        </w:rPr>
        <w:t>However, the contracting authority may also decide not to negotiate.</w:t>
      </w:r>
      <w:r w:rsidRPr="00210059">
        <w:rPr>
          <w:rFonts w:ascii="Georgia" w:hAnsi="Georgia"/>
          <w:sz w:val="21"/>
          <w:szCs w:val="22"/>
        </w:rPr>
        <w:t xml:space="preserve"> In this case, the initial tender is the final tender. </w:t>
      </w:r>
    </w:p>
    <w:p w14:paraId="6E0732EA" w14:textId="240F4881" w:rsidR="0080401C" w:rsidRDefault="004F07DF" w:rsidP="004F07DF">
      <w:pPr>
        <w:pStyle w:val="BTCtextCTB"/>
        <w:rPr>
          <w:rFonts w:ascii="Georgia" w:hAnsi="Georgia"/>
          <w:sz w:val="21"/>
          <w:szCs w:val="22"/>
        </w:rPr>
      </w:pPr>
      <w:r w:rsidRPr="00210059">
        <w:rPr>
          <w:rFonts w:ascii="Georgia" w:hAnsi="Georgia"/>
          <w:sz w:val="21"/>
          <w:szCs w:val="22"/>
        </w:rPr>
        <w:t xml:space="preserve">When the contracting authority intends to conclude the negotiations, it will so advise the remaining tenderers and will set a common deadline for the submission of any BAFOs. Once negotiations have closed, the BAFO will be compared with the exclusion, </w:t>
      </w:r>
      <w:proofErr w:type="gramStart"/>
      <w:r w:rsidRPr="00210059">
        <w:rPr>
          <w:rFonts w:ascii="Georgia" w:hAnsi="Georgia"/>
          <w:sz w:val="21"/>
          <w:szCs w:val="22"/>
        </w:rPr>
        <w:t>selection</w:t>
      </w:r>
      <w:proofErr w:type="gramEnd"/>
      <w:r w:rsidRPr="00210059">
        <w:rPr>
          <w:rFonts w:ascii="Georgia" w:hAnsi="Georgia"/>
          <w:sz w:val="21"/>
          <w:szCs w:val="22"/>
        </w:rPr>
        <w:t xml:space="preserve"> and award criteria. The tenderer whose BAFO shows the best value for money (obtaining the best score based on the award criteria given below) will be designated the contractor for this procurement contract. </w:t>
      </w:r>
    </w:p>
    <w:p w14:paraId="2539373E" w14:textId="77777777" w:rsidR="004F07DF" w:rsidRPr="00210059" w:rsidRDefault="004F07DF" w:rsidP="004F07DF">
      <w:pPr>
        <w:pStyle w:val="Heading4"/>
        <w:keepLines w:val="0"/>
        <w:widowControl w:val="0"/>
        <w:numPr>
          <w:ilvl w:val="3"/>
          <w:numId w:val="5"/>
        </w:numPr>
        <w:tabs>
          <w:tab w:val="num" w:pos="864"/>
        </w:tabs>
        <w:suppressAutoHyphens/>
        <w:spacing w:before="120" w:after="120" w:line="240" w:lineRule="auto"/>
        <w:rPr>
          <w:color w:val="auto"/>
        </w:rPr>
      </w:pPr>
      <w:bookmarkStart w:id="84" w:name="_Toc117027487"/>
      <w:r w:rsidRPr="00210059">
        <w:rPr>
          <w:color w:val="auto"/>
        </w:rPr>
        <w:t>Award criteria</w:t>
      </w:r>
      <w:bookmarkEnd w:id="84"/>
    </w:p>
    <w:p w14:paraId="1F090D88" w14:textId="77777777" w:rsidR="004F07DF" w:rsidRPr="00210059" w:rsidRDefault="004F07DF" w:rsidP="004F07DF">
      <w:pPr>
        <w:pStyle w:val="BodyText"/>
        <w:rPr>
          <w:rFonts w:ascii="Georgia" w:eastAsia="Calibri" w:hAnsi="Georgia" w:cs="Times New Roman"/>
          <w:kern w:val="0"/>
          <w:sz w:val="21"/>
          <w:szCs w:val="22"/>
        </w:rPr>
      </w:pPr>
      <w:r w:rsidRPr="00210059">
        <w:rPr>
          <w:rFonts w:ascii="Georgia" w:hAnsi="Georgia"/>
          <w:sz w:val="21"/>
          <w:szCs w:val="22"/>
        </w:rPr>
        <w:t>The contracting authority will choose the regular BAFO that it finds to be most advantageous, taking account of the following criteria:</w:t>
      </w:r>
    </w:p>
    <w:p w14:paraId="3958E33D" w14:textId="77777777" w:rsidR="004F07DF" w:rsidRPr="00C44D66" w:rsidRDefault="004F07DF" w:rsidP="004F07DF">
      <w:pPr>
        <w:numPr>
          <w:ilvl w:val="0"/>
          <w:numId w:val="51"/>
        </w:numPr>
        <w:spacing w:line="259" w:lineRule="auto"/>
        <w:contextualSpacing/>
        <w:jc w:val="both"/>
        <w:rPr>
          <w:rFonts w:cs="Arial"/>
          <w:b/>
          <w:color w:val="auto"/>
        </w:rPr>
      </w:pPr>
      <w:r w:rsidRPr="00C44D66">
        <w:rPr>
          <w:rFonts w:cs="Arial"/>
          <w:b/>
          <w:color w:val="auto"/>
        </w:rPr>
        <w:t xml:space="preserve">Technical expertise </w:t>
      </w:r>
    </w:p>
    <w:p w14:paraId="221263EB" w14:textId="77777777" w:rsidR="004F07DF" w:rsidRPr="00C44D66" w:rsidRDefault="004F07DF" w:rsidP="004F07DF">
      <w:pPr>
        <w:spacing w:line="259" w:lineRule="auto"/>
        <w:contextualSpacing/>
        <w:jc w:val="both"/>
        <w:rPr>
          <w:rFonts w:cs="Arial"/>
          <w:b/>
          <w:color w:val="auto"/>
        </w:rPr>
      </w:pPr>
    </w:p>
    <w:p w14:paraId="368FF029" w14:textId="2B83EE4F" w:rsidR="004F07DF" w:rsidRPr="00C44D66" w:rsidRDefault="004F07DF" w:rsidP="004F07DF">
      <w:pPr>
        <w:numPr>
          <w:ilvl w:val="0"/>
          <w:numId w:val="50"/>
        </w:numPr>
        <w:spacing w:after="0" w:line="259" w:lineRule="auto"/>
        <w:ind w:left="284" w:hanging="284"/>
        <w:jc w:val="both"/>
        <w:rPr>
          <w:rFonts w:cs="Arial"/>
          <w:color w:val="auto"/>
        </w:rPr>
      </w:pPr>
      <w:r w:rsidRPr="00C44D66">
        <w:rPr>
          <w:rFonts w:cs="Arial"/>
          <w:color w:val="auto"/>
        </w:rPr>
        <w:t>Methodology and technical expertise</w:t>
      </w:r>
      <w:r w:rsidRPr="00C770AA">
        <w:rPr>
          <w:rFonts w:cs="Arial"/>
          <w:color w:val="auto"/>
        </w:rPr>
        <w:t xml:space="preserve">: </w:t>
      </w:r>
      <w:r w:rsidR="005E2AAF">
        <w:rPr>
          <w:rFonts w:cs="Arial"/>
          <w:b/>
          <w:bCs/>
          <w:color w:val="auto"/>
        </w:rPr>
        <w:t>35</w:t>
      </w:r>
      <w:r w:rsidRPr="00D66C91">
        <w:rPr>
          <w:rFonts w:cs="Arial"/>
          <w:b/>
          <w:bCs/>
          <w:color w:val="auto"/>
        </w:rPr>
        <w:t>%.</w:t>
      </w:r>
    </w:p>
    <w:p w14:paraId="4AFD1ACD" w14:textId="77777777" w:rsidR="004F07DF" w:rsidRPr="00C44D66" w:rsidRDefault="004F07DF" w:rsidP="004F07DF">
      <w:pPr>
        <w:spacing w:after="0" w:line="259" w:lineRule="auto"/>
        <w:jc w:val="both"/>
        <w:rPr>
          <w:rFonts w:cs="Arial"/>
          <w:color w:val="auto"/>
        </w:rPr>
      </w:pPr>
    </w:p>
    <w:p w14:paraId="6AFA165E" w14:textId="77777777" w:rsidR="004F07DF" w:rsidRPr="00C44D66" w:rsidRDefault="004F07DF" w:rsidP="004F07DF">
      <w:pPr>
        <w:spacing w:after="0" w:line="259" w:lineRule="auto"/>
        <w:jc w:val="both"/>
        <w:rPr>
          <w:rFonts w:cs="Arial"/>
          <w:color w:val="auto"/>
        </w:rPr>
      </w:pPr>
      <w:r w:rsidRPr="00C44D66">
        <w:rPr>
          <w:rFonts w:cs="Arial"/>
          <w:color w:val="auto"/>
        </w:rPr>
        <w:t>The tenderer presents the detailed methodology to perform the requested services showing the suitability with Terms of Reference and comments made on it, activity schedule, staff schedule and work organization between team members based on the instructions given in the Terms of Reference. They are subject to evaluation according to the following sub-criteria:</w:t>
      </w:r>
    </w:p>
    <w:p w14:paraId="17390392" w14:textId="77777777" w:rsidR="004F07DF" w:rsidRPr="00C44D66" w:rsidRDefault="004F07DF" w:rsidP="004F07DF">
      <w:pPr>
        <w:spacing w:after="0" w:line="259" w:lineRule="auto"/>
        <w:jc w:val="both"/>
        <w:rPr>
          <w:rFonts w:cs="Arial"/>
          <w:color w:val="auto"/>
        </w:rPr>
      </w:pPr>
    </w:p>
    <w:tbl>
      <w:tblPr>
        <w:tblW w:w="888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662"/>
        <w:gridCol w:w="1701"/>
      </w:tblGrid>
      <w:tr w:rsidR="004F07DF" w:rsidRPr="00F9098F" w14:paraId="6BEE0B39" w14:textId="77777777" w:rsidTr="009F6F46">
        <w:trPr>
          <w:trHeight w:val="687"/>
        </w:trPr>
        <w:tc>
          <w:tcPr>
            <w:tcW w:w="524" w:type="dxa"/>
            <w:shd w:val="clear" w:color="auto" w:fill="auto"/>
            <w:vAlign w:val="center"/>
          </w:tcPr>
          <w:p w14:paraId="014AAF6A" w14:textId="77777777" w:rsidR="004F07DF" w:rsidRPr="00F9098F" w:rsidRDefault="004F07DF" w:rsidP="009F6F46">
            <w:pPr>
              <w:spacing w:before="60" w:after="60"/>
              <w:jc w:val="center"/>
              <w:rPr>
                <w:rFonts w:cs="Calibri"/>
                <w:szCs w:val="21"/>
              </w:rPr>
            </w:pPr>
            <w:r w:rsidRPr="00F9098F">
              <w:rPr>
                <w:rFonts w:cs="Calibri"/>
                <w:szCs w:val="21"/>
              </w:rPr>
              <w:t>1.</w:t>
            </w:r>
          </w:p>
        </w:tc>
        <w:tc>
          <w:tcPr>
            <w:tcW w:w="6662" w:type="dxa"/>
            <w:shd w:val="clear" w:color="auto" w:fill="auto"/>
            <w:vAlign w:val="center"/>
          </w:tcPr>
          <w:p w14:paraId="293831E7" w14:textId="77777777" w:rsidR="004F07DF" w:rsidRPr="00F54BBA" w:rsidRDefault="004F07DF" w:rsidP="009F6F46">
            <w:pPr>
              <w:spacing w:before="60" w:after="60"/>
              <w:rPr>
                <w:rFonts w:cs="Calibri"/>
                <w:szCs w:val="21"/>
              </w:rPr>
            </w:pPr>
            <w:r w:rsidRPr="00F54BBA">
              <w:rPr>
                <w:rFonts w:cs="Calibri"/>
                <w:bCs/>
                <w:color w:val="auto"/>
                <w:sz w:val="20"/>
                <w:szCs w:val="20"/>
                <w:lang w:val="en-US"/>
              </w:rPr>
              <w:t>Detailed Methodology including the details on how all activities and sub-activities will be performed, understanding of ToRs and overall strategy</w:t>
            </w:r>
          </w:p>
        </w:tc>
        <w:tc>
          <w:tcPr>
            <w:tcW w:w="1701" w:type="dxa"/>
            <w:shd w:val="clear" w:color="auto" w:fill="auto"/>
            <w:vAlign w:val="center"/>
          </w:tcPr>
          <w:p w14:paraId="6BDF2DD4" w14:textId="5C4904BB" w:rsidR="004F07DF" w:rsidRPr="00C44D66" w:rsidRDefault="005E2AAF" w:rsidP="009F6F46">
            <w:pPr>
              <w:spacing w:before="60" w:after="60"/>
              <w:jc w:val="center"/>
              <w:rPr>
                <w:rFonts w:cs="Arial"/>
                <w:color w:val="auto"/>
              </w:rPr>
            </w:pPr>
            <w:r>
              <w:rPr>
                <w:rFonts w:cs="Arial"/>
                <w:color w:val="auto"/>
              </w:rPr>
              <w:t>25</w:t>
            </w:r>
            <w:r w:rsidR="004F07DF" w:rsidRPr="00C44D66">
              <w:rPr>
                <w:rFonts w:cs="Arial"/>
                <w:color w:val="auto"/>
              </w:rPr>
              <w:t xml:space="preserve"> points</w:t>
            </w:r>
          </w:p>
        </w:tc>
      </w:tr>
      <w:tr w:rsidR="004F07DF" w:rsidRPr="00F9098F" w14:paraId="4E8AD05E" w14:textId="77777777" w:rsidTr="009F6F46">
        <w:trPr>
          <w:trHeight w:val="555"/>
        </w:trPr>
        <w:tc>
          <w:tcPr>
            <w:tcW w:w="524" w:type="dxa"/>
            <w:shd w:val="clear" w:color="auto" w:fill="auto"/>
            <w:vAlign w:val="center"/>
          </w:tcPr>
          <w:p w14:paraId="26316CD7" w14:textId="77777777" w:rsidR="004F07DF" w:rsidRPr="00F9098F" w:rsidRDefault="004F07DF" w:rsidP="009F6F46">
            <w:pPr>
              <w:spacing w:before="60" w:after="60"/>
              <w:jc w:val="center"/>
              <w:rPr>
                <w:rFonts w:cs="Calibri"/>
                <w:szCs w:val="21"/>
              </w:rPr>
            </w:pPr>
            <w:r w:rsidRPr="00F9098F">
              <w:rPr>
                <w:rFonts w:cs="Calibri"/>
                <w:szCs w:val="21"/>
              </w:rPr>
              <w:t>2.</w:t>
            </w:r>
          </w:p>
        </w:tc>
        <w:tc>
          <w:tcPr>
            <w:tcW w:w="6662" w:type="dxa"/>
            <w:shd w:val="clear" w:color="auto" w:fill="auto"/>
            <w:vAlign w:val="center"/>
          </w:tcPr>
          <w:p w14:paraId="51293392" w14:textId="77777777" w:rsidR="004F07DF" w:rsidRPr="00586AEF" w:rsidRDefault="004F07DF" w:rsidP="009F6F46">
            <w:pPr>
              <w:spacing w:before="60" w:after="60"/>
              <w:rPr>
                <w:rFonts w:cs="Calibri"/>
                <w:szCs w:val="21"/>
              </w:rPr>
            </w:pPr>
            <w:r w:rsidRPr="00586AEF">
              <w:rPr>
                <w:rFonts w:cs="Calibri"/>
                <w:bCs/>
                <w:color w:val="auto"/>
                <w:sz w:val="20"/>
                <w:szCs w:val="20"/>
                <w:lang w:val="en-US"/>
              </w:rPr>
              <w:t>Relevance of work plan &amp; timetable of activities/ sub-activity and work distribution between the team members</w:t>
            </w:r>
          </w:p>
        </w:tc>
        <w:tc>
          <w:tcPr>
            <w:tcW w:w="1701" w:type="dxa"/>
            <w:shd w:val="clear" w:color="auto" w:fill="auto"/>
            <w:vAlign w:val="center"/>
          </w:tcPr>
          <w:p w14:paraId="34AC3C1C" w14:textId="2927D285" w:rsidR="004F07DF" w:rsidRPr="00C44D66" w:rsidRDefault="005D4BFD" w:rsidP="009F6F46">
            <w:pPr>
              <w:spacing w:before="60" w:after="60"/>
              <w:jc w:val="center"/>
              <w:rPr>
                <w:rFonts w:cs="Arial"/>
                <w:color w:val="auto"/>
              </w:rPr>
            </w:pPr>
            <w:r>
              <w:rPr>
                <w:rFonts w:cs="Arial"/>
                <w:color w:val="auto"/>
              </w:rPr>
              <w:t>1</w:t>
            </w:r>
            <w:r w:rsidR="004F07DF" w:rsidRPr="00C44D66">
              <w:rPr>
                <w:rFonts w:cs="Arial"/>
                <w:color w:val="auto"/>
              </w:rPr>
              <w:t>0 points</w:t>
            </w:r>
          </w:p>
        </w:tc>
      </w:tr>
    </w:tbl>
    <w:p w14:paraId="4B812D62" w14:textId="3CF8F6AC" w:rsidR="004F07DF" w:rsidRPr="00100AEB" w:rsidRDefault="004F07DF" w:rsidP="00B8757C">
      <w:pPr>
        <w:pStyle w:val="Heading3"/>
        <w:numPr>
          <w:ilvl w:val="0"/>
          <w:numId w:val="55"/>
        </w:numPr>
        <w:spacing w:before="120" w:after="120"/>
        <w:ind w:left="714" w:hanging="357"/>
        <w:contextualSpacing w:val="0"/>
        <w:rPr>
          <w:rFonts w:ascii="Georgia" w:hAnsi="Georgia" w:cs="Calibri"/>
          <w:color w:val="auto"/>
          <w:sz w:val="21"/>
          <w:szCs w:val="21"/>
        </w:rPr>
      </w:pPr>
      <w:bookmarkStart w:id="85" w:name="_Toc117027488"/>
      <w:r w:rsidRPr="00100AEB">
        <w:rPr>
          <w:rFonts w:ascii="Georgia" w:hAnsi="Georgia" w:cs="Calibri"/>
          <w:color w:val="auto"/>
          <w:sz w:val="21"/>
          <w:szCs w:val="21"/>
        </w:rPr>
        <w:t xml:space="preserve">Qualification and experience of key experts: </w:t>
      </w:r>
      <w:r w:rsidR="005D4BFD">
        <w:rPr>
          <w:rFonts w:ascii="Georgia" w:hAnsi="Georgia" w:cs="Calibri"/>
          <w:color w:val="auto"/>
          <w:sz w:val="21"/>
          <w:szCs w:val="21"/>
        </w:rPr>
        <w:t>3</w:t>
      </w:r>
      <w:r w:rsidR="005E2AAF">
        <w:rPr>
          <w:rFonts w:ascii="Georgia" w:hAnsi="Georgia" w:cs="Calibri"/>
          <w:color w:val="auto"/>
          <w:sz w:val="21"/>
          <w:szCs w:val="21"/>
        </w:rPr>
        <w:t>5</w:t>
      </w:r>
      <w:r w:rsidRPr="00100AEB">
        <w:rPr>
          <w:rFonts w:ascii="Georgia" w:hAnsi="Georgia" w:cs="Calibri"/>
          <w:color w:val="auto"/>
          <w:sz w:val="21"/>
          <w:szCs w:val="21"/>
        </w:rPr>
        <w:t>%.</w:t>
      </w:r>
      <w:bookmarkEnd w:id="85"/>
    </w:p>
    <w:p w14:paraId="35B6D6FA" w14:textId="77777777" w:rsidR="004F07DF" w:rsidRPr="00C44D66" w:rsidRDefault="004F07DF" w:rsidP="004F07DF">
      <w:pPr>
        <w:tabs>
          <w:tab w:val="left" w:pos="880"/>
        </w:tabs>
        <w:jc w:val="both"/>
        <w:rPr>
          <w:rFonts w:cs="Arial"/>
          <w:color w:val="auto"/>
        </w:rPr>
      </w:pPr>
      <w:r w:rsidRPr="00C44D66">
        <w:rPr>
          <w:rFonts w:cs="Arial"/>
          <w:color w:val="auto"/>
        </w:rPr>
        <w:t xml:space="preserve">The key experts are those whose involvement is considered instrumental to achieve the contract objectives. </w:t>
      </w:r>
    </w:p>
    <w:tbl>
      <w:tblPr>
        <w:tblW w:w="100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7780"/>
        <w:gridCol w:w="1475"/>
      </w:tblGrid>
      <w:tr w:rsidR="0080401C" w:rsidRPr="0080401C" w14:paraId="383DEC7F" w14:textId="77777777" w:rsidTr="004B408A">
        <w:trPr>
          <w:trHeight w:val="336"/>
        </w:trPr>
        <w:tc>
          <w:tcPr>
            <w:tcW w:w="843" w:type="dxa"/>
            <w:vMerge w:val="restart"/>
            <w:shd w:val="clear" w:color="auto" w:fill="auto"/>
            <w:vAlign w:val="center"/>
          </w:tcPr>
          <w:p w14:paraId="42620E82" w14:textId="77777777" w:rsidR="004F07DF" w:rsidRPr="0080401C" w:rsidRDefault="004F07DF" w:rsidP="009F6F46">
            <w:pPr>
              <w:spacing w:before="60" w:after="60"/>
              <w:jc w:val="center"/>
              <w:rPr>
                <w:rFonts w:eastAsia="MS Mincho"/>
                <w:b/>
                <w:bCs/>
                <w:color w:val="auto"/>
                <w:sz w:val="20"/>
                <w:szCs w:val="20"/>
                <w:lang w:val="en-US"/>
              </w:rPr>
            </w:pPr>
            <w:r w:rsidRPr="0080401C">
              <w:rPr>
                <w:rFonts w:eastAsia="MS Mincho"/>
                <w:b/>
                <w:bCs/>
                <w:color w:val="auto"/>
                <w:sz w:val="20"/>
                <w:szCs w:val="20"/>
                <w:lang w:val="en-US"/>
              </w:rPr>
              <w:lastRenderedPageBreak/>
              <w:t>1.</w:t>
            </w:r>
          </w:p>
        </w:tc>
        <w:tc>
          <w:tcPr>
            <w:tcW w:w="7780" w:type="dxa"/>
            <w:shd w:val="clear" w:color="auto" w:fill="auto"/>
            <w:vAlign w:val="center"/>
          </w:tcPr>
          <w:p w14:paraId="46D37B53" w14:textId="77777777" w:rsidR="004F07DF" w:rsidRPr="0080401C" w:rsidRDefault="004F07DF" w:rsidP="009F6F46">
            <w:pPr>
              <w:spacing w:before="60" w:after="60"/>
              <w:rPr>
                <w:rFonts w:eastAsia="MS Mincho"/>
                <w:b/>
                <w:bCs/>
                <w:color w:val="auto"/>
                <w:sz w:val="20"/>
                <w:szCs w:val="20"/>
                <w:lang w:val="en-US"/>
              </w:rPr>
            </w:pPr>
            <w:r w:rsidRPr="0080401C">
              <w:rPr>
                <w:b/>
                <w:bCs/>
                <w:color w:val="auto"/>
                <w:sz w:val="20"/>
                <w:szCs w:val="20"/>
                <w:lang w:val="en-US"/>
              </w:rPr>
              <w:t>Team leader</w:t>
            </w:r>
          </w:p>
        </w:tc>
        <w:tc>
          <w:tcPr>
            <w:tcW w:w="1475" w:type="dxa"/>
            <w:shd w:val="clear" w:color="auto" w:fill="auto"/>
            <w:vAlign w:val="center"/>
          </w:tcPr>
          <w:p w14:paraId="3A2F00C9" w14:textId="548A4A19" w:rsidR="004F07DF" w:rsidRPr="0080401C" w:rsidRDefault="004F07DF" w:rsidP="009F6F46">
            <w:pPr>
              <w:spacing w:before="60" w:after="60"/>
              <w:jc w:val="center"/>
              <w:rPr>
                <w:rFonts w:eastAsia="MS Mincho"/>
                <w:b/>
                <w:bCs/>
                <w:color w:val="auto"/>
                <w:sz w:val="20"/>
                <w:szCs w:val="20"/>
                <w:lang w:val="en-US"/>
              </w:rPr>
            </w:pPr>
            <w:r w:rsidRPr="0080401C">
              <w:rPr>
                <w:rFonts w:eastAsia="MS Mincho"/>
                <w:b/>
                <w:bCs/>
                <w:color w:val="auto"/>
                <w:sz w:val="20"/>
                <w:szCs w:val="20"/>
                <w:lang w:val="en-US"/>
              </w:rPr>
              <w:t>1</w:t>
            </w:r>
            <w:r w:rsidR="00854CBB" w:rsidRPr="0080401C">
              <w:rPr>
                <w:rFonts w:eastAsia="MS Mincho"/>
                <w:b/>
                <w:bCs/>
                <w:color w:val="auto"/>
                <w:sz w:val="20"/>
                <w:szCs w:val="20"/>
                <w:lang w:val="en-US"/>
              </w:rPr>
              <w:t>5</w:t>
            </w:r>
            <w:r w:rsidRPr="0080401C">
              <w:rPr>
                <w:rFonts w:eastAsia="MS Mincho"/>
                <w:b/>
                <w:bCs/>
                <w:color w:val="auto"/>
                <w:sz w:val="20"/>
                <w:szCs w:val="20"/>
                <w:lang w:val="en-US"/>
              </w:rPr>
              <w:t xml:space="preserve"> Points</w:t>
            </w:r>
          </w:p>
        </w:tc>
      </w:tr>
      <w:tr w:rsidR="0080401C" w:rsidRPr="0080401C" w14:paraId="03CED310" w14:textId="77777777" w:rsidTr="004B408A">
        <w:trPr>
          <w:trHeight w:val="117"/>
        </w:trPr>
        <w:tc>
          <w:tcPr>
            <w:tcW w:w="843" w:type="dxa"/>
            <w:vMerge/>
            <w:shd w:val="clear" w:color="auto" w:fill="auto"/>
            <w:vAlign w:val="center"/>
          </w:tcPr>
          <w:p w14:paraId="3AA696EF" w14:textId="77777777" w:rsidR="004F07DF" w:rsidRPr="0080401C" w:rsidRDefault="004F07DF" w:rsidP="009F6F46">
            <w:pPr>
              <w:spacing w:before="60" w:after="60"/>
              <w:jc w:val="center"/>
              <w:rPr>
                <w:rFonts w:eastAsia="MS Mincho"/>
                <w:color w:val="auto"/>
                <w:sz w:val="20"/>
                <w:szCs w:val="20"/>
                <w:lang w:val="en-US"/>
              </w:rPr>
            </w:pPr>
          </w:p>
        </w:tc>
        <w:tc>
          <w:tcPr>
            <w:tcW w:w="7780" w:type="dxa"/>
            <w:shd w:val="clear" w:color="auto" w:fill="auto"/>
          </w:tcPr>
          <w:p w14:paraId="23F91DA7" w14:textId="19454357" w:rsidR="004F07DF" w:rsidRPr="0080401C" w:rsidRDefault="004F07DF" w:rsidP="009F6F46">
            <w:pPr>
              <w:pStyle w:val="ListParagraph"/>
              <w:spacing w:after="0" w:line="266" w:lineRule="auto"/>
              <w:ind w:left="0"/>
              <w:contextualSpacing w:val="0"/>
              <w:jc w:val="both"/>
              <w:rPr>
                <w:rFonts w:eastAsia="Times New Roman" w:cs="Calibri"/>
                <w:color w:val="auto"/>
                <w:sz w:val="20"/>
                <w:szCs w:val="20"/>
                <w:lang w:val="en-US"/>
              </w:rPr>
            </w:pPr>
            <w:r w:rsidRPr="0080401C">
              <w:rPr>
                <w:rFonts w:eastAsia="Times New Roman" w:cs="Calibri"/>
                <w:color w:val="auto"/>
                <w:sz w:val="20"/>
                <w:szCs w:val="20"/>
                <w:lang w:val="en-US"/>
              </w:rPr>
              <w:t xml:space="preserve">The minimum required qualification is </w:t>
            </w:r>
            <w:r w:rsidR="00402158" w:rsidRPr="0080401C">
              <w:rPr>
                <w:rFonts w:eastAsia="Times New Roman" w:cs="Calibri"/>
                <w:color w:val="auto"/>
                <w:sz w:val="20"/>
                <w:szCs w:val="20"/>
                <w:lang w:val="en-US"/>
              </w:rPr>
              <w:t>a</w:t>
            </w:r>
            <w:r w:rsidRPr="0080401C">
              <w:rPr>
                <w:rFonts w:eastAsia="Times New Roman" w:cs="Calibri"/>
                <w:color w:val="auto"/>
                <w:sz w:val="20"/>
                <w:szCs w:val="20"/>
                <w:lang w:val="en-US"/>
              </w:rPr>
              <w:t xml:space="preserve"> Masters’ degree in Public Health or</w:t>
            </w:r>
            <w:r w:rsidR="004B408A" w:rsidRPr="0080401C">
              <w:rPr>
                <w:rFonts w:eastAsia="Times New Roman" w:cs="Calibri"/>
                <w:color w:val="auto"/>
                <w:sz w:val="20"/>
                <w:szCs w:val="20"/>
                <w:lang w:val="en-US"/>
              </w:rPr>
              <w:t xml:space="preserve"> </w:t>
            </w:r>
            <w:r w:rsidR="00B22D63" w:rsidRPr="0080401C">
              <w:rPr>
                <w:rFonts w:eastAsia="Times New Roman" w:cs="Calibri"/>
                <w:color w:val="auto"/>
                <w:sz w:val="20"/>
                <w:szCs w:val="20"/>
                <w:lang w:val="en-US"/>
              </w:rPr>
              <w:t xml:space="preserve">in community health </w:t>
            </w:r>
            <w:r w:rsidRPr="0080401C">
              <w:rPr>
                <w:rFonts w:eastAsia="Times New Roman" w:cs="Calibri"/>
                <w:color w:val="auto"/>
                <w:sz w:val="20"/>
                <w:szCs w:val="20"/>
                <w:lang w:val="en-US"/>
              </w:rPr>
              <w:t xml:space="preserve">or </w:t>
            </w:r>
            <w:r w:rsidR="007431F2" w:rsidRPr="0080401C">
              <w:rPr>
                <w:rFonts w:eastAsia="Times New Roman" w:cs="Calibri"/>
                <w:color w:val="auto"/>
                <w:sz w:val="20"/>
                <w:szCs w:val="20"/>
                <w:lang w:val="en-US"/>
              </w:rPr>
              <w:t xml:space="preserve">in reproductive and sexual health (SRH) or </w:t>
            </w:r>
            <w:r w:rsidRPr="0080401C">
              <w:rPr>
                <w:rFonts w:eastAsia="Times New Roman" w:cs="Calibri"/>
                <w:color w:val="auto"/>
                <w:sz w:val="20"/>
                <w:szCs w:val="20"/>
                <w:lang w:val="en-US"/>
              </w:rPr>
              <w:t xml:space="preserve">equivalent studies with at least </w:t>
            </w:r>
            <w:r w:rsidR="00276A8C" w:rsidRPr="0080401C">
              <w:rPr>
                <w:rFonts w:eastAsia="Times New Roman" w:cs="Calibri"/>
                <w:color w:val="auto"/>
                <w:sz w:val="20"/>
                <w:szCs w:val="20"/>
                <w:lang w:val="en-US"/>
              </w:rPr>
              <w:t>5</w:t>
            </w:r>
            <w:r w:rsidRPr="0080401C">
              <w:rPr>
                <w:rFonts w:eastAsia="Times New Roman" w:cs="Calibri"/>
                <w:color w:val="auto"/>
                <w:sz w:val="20"/>
                <w:szCs w:val="20"/>
                <w:lang w:val="en-US"/>
              </w:rPr>
              <w:t xml:space="preserve"> years’ experience in the related field, </w:t>
            </w:r>
          </w:p>
          <w:p w14:paraId="26F34671" w14:textId="77777777" w:rsidR="004F07DF" w:rsidRPr="0080401C" w:rsidRDefault="004F07DF" w:rsidP="009F6F46">
            <w:pPr>
              <w:pStyle w:val="ListParagraph"/>
              <w:spacing w:after="0" w:line="266" w:lineRule="auto"/>
              <w:ind w:left="0"/>
              <w:contextualSpacing w:val="0"/>
              <w:jc w:val="both"/>
              <w:rPr>
                <w:rFonts w:eastAsia="Times New Roman" w:cs="Calibri"/>
                <w:color w:val="auto"/>
                <w:sz w:val="20"/>
                <w:szCs w:val="20"/>
                <w:lang w:val="en-US"/>
              </w:rPr>
            </w:pPr>
          </w:p>
          <w:p w14:paraId="5DE22E6C" w14:textId="7E91D7FA" w:rsidR="004F07DF" w:rsidRPr="0080401C" w:rsidRDefault="004F07DF" w:rsidP="00A07EC1">
            <w:pPr>
              <w:spacing w:after="0" w:line="266" w:lineRule="auto"/>
              <w:jc w:val="both"/>
              <w:rPr>
                <w:rFonts w:eastAsia="Times New Roman" w:cs="Calibri"/>
                <w:color w:val="auto"/>
                <w:sz w:val="20"/>
                <w:szCs w:val="20"/>
                <w:lang w:val="en-US"/>
              </w:rPr>
            </w:pPr>
            <w:r w:rsidRPr="0080401C">
              <w:rPr>
                <w:rFonts w:eastAsia="Times New Roman" w:cs="Calibri"/>
                <w:color w:val="auto"/>
                <w:sz w:val="20"/>
                <w:szCs w:val="20"/>
                <w:lang w:val="en-US"/>
              </w:rPr>
              <w:t xml:space="preserve">but the preferred profile is </w:t>
            </w:r>
            <w:r w:rsidR="0021029B" w:rsidRPr="0080401C">
              <w:rPr>
                <w:rFonts w:eastAsia="Times New Roman" w:cs="Calibri"/>
                <w:color w:val="auto"/>
                <w:sz w:val="20"/>
                <w:szCs w:val="20"/>
                <w:lang w:val="en-US"/>
              </w:rPr>
              <w:t xml:space="preserve">Masters’ degree in Public Health or in community health </w:t>
            </w:r>
            <w:r w:rsidR="007431F2" w:rsidRPr="0080401C">
              <w:rPr>
                <w:rFonts w:eastAsia="Times New Roman" w:cs="Calibri"/>
                <w:color w:val="auto"/>
                <w:sz w:val="20"/>
                <w:szCs w:val="20"/>
                <w:lang w:val="en-US"/>
              </w:rPr>
              <w:t xml:space="preserve">or in SRH </w:t>
            </w:r>
            <w:r w:rsidRPr="0080401C">
              <w:rPr>
                <w:rFonts w:eastAsia="Times New Roman" w:cs="Calibri"/>
                <w:color w:val="auto"/>
                <w:sz w:val="20"/>
                <w:szCs w:val="20"/>
                <w:lang w:val="en-US"/>
              </w:rPr>
              <w:t xml:space="preserve">with </w:t>
            </w:r>
            <w:r w:rsidR="000D230C" w:rsidRPr="0080401C">
              <w:rPr>
                <w:rFonts w:eastAsia="Times New Roman" w:cs="Calibri"/>
                <w:color w:val="auto"/>
                <w:sz w:val="20"/>
                <w:szCs w:val="20"/>
                <w:lang w:val="en-US"/>
              </w:rPr>
              <w:t xml:space="preserve">at least </w:t>
            </w:r>
            <w:r w:rsidR="00E81DF0" w:rsidRPr="0080401C">
              <w:rPr>
                <w:rFonts w:eastAsia="Times New Roman" w:cs="Calibri"/>
                <w:color w:val="auto"/>
                <w:sz w:val="20"/>
                <w:szCs w:val="20"/>
                <w:lang w:val="en-US"/>
              </w:rPr>
              <w:t>7</w:t>
            </w:r>
            <w:r w:rsidR="000D230C" w:rsidRPr="0080401C">
              <w:rPr>
                <w:rFonts w:eastAsia="Times New Roman" w:cs="Calibri"/>
                <w:color w:val="auto"/>
                <w:sz w:val="20"/>
                <w:szCs w:val="20"/>
                <w:lang w:val="en-US"/>
              </w:rPr>
              <w:t xml:space="preserve"> </w:t>
            </w:r>
            <w:r w:rsidRPr="0080401C">
              <w:rPr>
                <w:rFonts w:eastAsia="Times New Roman" w:cs="Calibri"/>
                <w:color w:val="auto"/>
                <w:sz w:val="20"/>
                <w:szCs w:val="20"/>
                <w:lang w:val="en-US"/>
              </w:rPr>
              <w:t xml:space="preserve">years’ experience in </w:t>
            </w:r>
            <w:r w:rsidR="0021029B" w:rsidRPr="0080401C">
              <w:rPr>
                <w:rFonts w:eastAsia="Times New Roman" w:cs="Calibri"/>
                <w:color w:val="auto"/>
                <w:sz w:val="20"/>
                <w:szCs w:val="20"/>
                <w:lang w:val="en-US"/>
              </w:rPr>
              <w:t>maternal, neonatal, child and adolescents’ health AND/OR Sexual and Reproductive Health and Rights (SRHR) within the community</w:t>
            </w:r>
          </w:p>
          <w:p w14:paraId="49FF3C3F" w14:textId="4E9064CC" w:rsidR="004F07DF" w:rsidRPr="0080401C" w:rsidRDefault="004F07DF" w:rsidP="009F6F46">
            <w:pPr>
              <w:pStyle w:val="ListParagraph"/>
              <w:spacing w:after="0" w:line="266" w:lineRule="auto"/>
              <w:ind w:left="0"/>
              <w:contextualSpacing w:val="0"/>
              <w:jc w:val="both"/>
              <w:rPr>
                <w:rFonts w:eastAsia="Times New Roman" w:cs="Calibri"/>
                <w:color w:val="auto"/>
                <w:sz w:val="20"/>
                <w:szCs w:val="20"/>
                <w:u w:val="single"/>
                <w:lang w:val="en-US"/>
              </w:rPr>
            </w:pPr>
          </w:p>
        </w:tc>
        <w:tc>
          <w:tcPr>
            <w:tcW w:w="1475" w:type="dxa"/>
            <w:shd w:val="clear" w:color="auto" w:fill="auto"/>
            <w:vAlign w:val="center"/>
          </w:tcPr>
          <w:p w14:paraId="5FB70724" w14:textId="007CF1B6" w:rsidR="004F07DF" w:rsidRPr="0080401C" w:rsidRDefault="004F07DF" w:rsidP="009F6F46">
            <w:pPr>
              <w:spacing w:before="60" w:after="60"/>
              <w:rPr>
                <w:rFonts w:eastAsia="MS Mincho"/>
                <w:color w:val="auto"/>
                <w:sz w:val="20"/>
                <w:szCs w:val="20"/>
                <w:lang w:val="en-US"/>
              </w:rPr>
            </w:pPr>
            <w:r w:rsidRPr="0080401C">
              <w:rPr>
                <w:rFonts w:eastAsia="MS Mincho"/>
                <w:b/>
                <w:bCs/>
                <w:color w:val="auto"/>
                <w:sz w:val="20"/>
                <w:szCs w:val="20"/>
                <w:lang w:val="en-US"/>
              </w:rPr>
              <w:t>2 point</w:t>
            </w:r>
            <w:r w:rsidR="003C316F">
              <w:rPr>
                <w:rFonts w:eastAsia="MS Mincho"/>
                <w:b/>
                <w:bCs/>
                <w:color w:val="auto"/>
                <w:sz w:val="20"/>
                <w:szCs w:val="20"/>
                <w:lang w:val="en-US"/>
              </w:rPr>
              <w:t>s</w:t>
            </w:r>
            <w:r w:rsidRPr="0080401C">
              <w:rPr>
                <w:rFonts w:eastAsia="MS Mincho"/>
                <w:color w:val="auto"/>
                <w:sz w:val="20"/>
                <w:szCs w:val="20"/>
                <w:lang w:val="en-US"/>
              </w:rPr>
              <w:t xml:space="preserve"> for the </w:t>
            </w:r>
            <w:r w:rsidR="00593345" w:rsidRPr="0080401C">
              <w:rPr>
                <w:rFonts w:eastAsia="MS Mincho"/>
                <w:color w:val="auto"/>
                <w:sz w:val="20"/>
                <w:szCs w:val="20"/>
                <w:lang w:val="en-US"/>
              </w:rPr>
              <w:t xml:space="preserve">master </w:t>
            </w:r>
            <w:r w:rsidRPr="0080401C">
              <w:rPr>
                <w:rFonts w:eastAsia="MS Mincho"/>
                <w:color w:val="auto"/>
                <w:sz w:val="20"/>
                <w:szCs w:val="20"/>
                <w:lang w:val="en-US"/>
              </w:rPr>
              <w:t>qualifications</w:t>
            </w:r>
          </w:p>
          <w:p w14:paraId="0B99CA25" w14:textId="2B1FA683" w:rsidR="004F07DF" w:rsidRPr="0080401C" w:rsidRDefault="005B01F6" w:rsidP="0080401C">
            <w:pPr>
              <w:spacing w:before="60" w:after="60"/>
              <w:rPr>
                <w:rFonts w:eastAsia="MS Mincho"/>
                <w:color w:val="auto"/>
                <w:sz w:val="20"/>
                <w:szCs w:val="20"/>
                <w:lang w:val="en-US"/>
              </w:rPr>
            </w:pPr>
            <w:r w:rsidRPr="0080401C">
              <w:rPr>
                <w:rFonts w:eastAsia="MS Mincho"/>
                <w:color w:val="auto"/>
                <w:sz w:val="20"/>
                <w:szCs w:val="20"/>
                <w:lang w:val="en-US"/>
              </w:rPr>
              <w:t>(o if no master)</w:t>
            </w:r>
          </w:p>
          <w:p w14:paraId="25ECADA8" w14:textId="3B345D6F" w:rsidR="004F07DF" w:rsidRPr="0080401C" w:rsidRDefault="005B01F6" w:rsidP="009F6F46">
            <w:pPr>
              <w:spacing w:before="60" w:after="60"/>
              <w:jc w:val="center"/>
              <w:rPr>
                <w:rFonts w:eastAsia="MS Mincho"/>
                <w:color w:val="auto"/>
                <w:sz w:val="20"/>
                <w:szCs w:val="20"/>
                <w:lang w:val="en-US"/>
              </w:rPr>
            </w:pPr>
            <w:r w:rsidRPr="0080401C">
              <w:rPr>
                <w:rFonts w:eastAsia="MS Mincho"/>
                <w:b/>
                <w:bCs/>
                <w:color w:val="auto"/>
                <w:sz w:val="20"/>
                <w:szCs w:val="20"/>
                <w:lang w:val="en-US"/>
              </w:rPr>
              <w:t>5</w:t>
            </w:r>
            <w:r w:rsidR="004F07DF" w:rsidRPr="0080401C">
              <w:rPr>
                <w:rFonts w:eastAsia="MS Mincho"/>
                <w:b/>
                <w:bCs/>
                <w:color w:val="auto"/>
                <w:sz w:val="20"/>
                <w:szCs w:val="20"/>
                <w:lang w:val="en-US"/>
              </w:rPr>
              <w:t xml:space="preserve"> points</w:t>
            </w:r>
            <w:r w:rsidR="004F07DF" w:rsidRPr="0080401C">
              <w:rPr>
                <w:rFonts w:eastAsia="MS Mincho"/>
                <w:color w:val="auto"/>
                <w:sz w:val="20"/>
                <w:szCs w:val="20"/>
                <w:lang w:val="en-US"/>
              </w:rPr>
              <w:t xml:space="preserve"> for the experience</w:t>
            </w:r>
            <w:r w:rsidR="000B62AE" w:rsidRPr="0080401C">
              <w:rPr>
                <w:rFonts w:eastAsia="MS Mincho"/>
                <w:color w:val="auto"/>
                <w:sz w:val="20"/>
                <w:szCs w:val="20"/>
                <w:lang w:val="en-US"/>
              </w:rPr>
              <w:t xml:space="preserve"> (</w:t>
            </w:r>
            <w:r w:rsidRPr="0080401C">
              <w:rPr>
                <w:rFonts w:eastAsia="MS Mincho"/>
                <w:color w:val="auto"/>
                <w:sz w:val="20"/>
                <w:szCs w:val="20"/>
                <w:lang w:val="en-US"/>
              </w:rPr>
              <w:t>5</w:t>
            </w:r>
            <w:r w:rsidR="000B62AE" w:rsidRPr="0080401C">
              <w:rPr>
                <w:rFonts w:eastAsia="MS Mincho"/>
                <w:color w:val="auto"/>
                <w:sz w:val="20"/>
                <w:szCs w:val="20"/>
                <w:lang w:val="en-US"/>
              </w:rPr>
              <w:t xml:space="preserve"> for 7 </w:t>
            </w:r>
            <w:r w:rsidR="006120CF" w:rsidRPr="0080401C">
              <w:rPr>
                <w:rFonts w:eastAsia="MS Mincho"/>
                <w:color w:val="auto"/>
                <w:sz w:val="20"/>
                <w:szCs w:val="20"/>
                <w:lang w:val="en-US"/>
              </w:rPr>
              <w:t>years’ experience</w:t>
            </w:r>
            <w:r w:rsidR="00D555FA" w:rsidRPr="0080401C">
              <w:rPr>
                <w:rFonts w:eastAsia="MS Mincho"/>
                <w:color w:val="auto"/>
                <w:sz w:val="20"/>
                <w:szCs w:val="20"/>
                <w:lang w:val="en-US"/>
              </w:rPr>
              <w:t xml:space="preserve"> in </w:t>
            </w:r>
            <w:r w:rsidR="00B3746F">
              <w:rPr>
                <w:rFonts w:eastAsia="MS Mincho"/>
                <w:color w:val="auto"/>
                <w:sz w:val="20"/>
                <w:szCs w:val="20"/>
                <w:lang w:val="en-US"/>
              </w:rPr>
              <w:t>MNASRH</w:t>
            </w:r>
            <w:r w:rsidR="000B62AE" w:rsidRPr="0080401C">
              <w:rPr>
                <w:rFonts w:eastAsia="MS Mincho"/>
                <w:color w:val="auto"/>
                <w:sz w:val="20"/>
                <w:szCs w:val="20"/>
                <w:lang w:val="en-US"/>
              </w:rPr>
              <w:t>,</w:t>
            </w:r>
            <w:r w:rsidR="00D555FA" w:rsidRPr="0080401C">
              <w:rPr>
                <w:rFonts w:eastAsia="MS Mincho"/>
                <w:color w:val="auto"/>
                <w:sz w:val="20"/>
                <w:szCs w:val="20"/>
                <w:lang w:val="en-US"/>
              </w:rPr>
              <w:t xml:space="preserve"> then de</w:t>
            </w:r>
            <w:r w:rsidR="00B93274" w:rsidRPr="0080401C">
              <w:rPr>
                <w:rFonts w:eastAsia="MS Mincho"/>
                <w:color w:val="auto"/>
                <w:sz w:val="20"/>
                <w:szCs w:val="20"/>
                <w:lang w:val="en-US"/>
              </w:rPr>
              <w:t>creasing)</w:t>
            </w:r>
            <w:r w:rsidR="000B62AE" w:rsidRPr="0080401C">
              <w:rPr>
                <w:rFonts w:eastAsia="MS Mincho"/>
                <w:color w:val="auto"/>
                <w:sz w:val="20"/>
                <w:szCs w:val="20"/>
                <w:lang w:val="en-US"/>
              </w:rPr>
              <w:t xml:space="preserve"> </w:t>
            </w:r>
          </w:p>
        </w:tc>
      </w:tr>
      <w:tr w:rsidR="0080401C" w:rsidRPr="0080401C" w14:paraId="5E3BF0A8" w14:textId="77777777" w:rsidTr="004B408A">
        <w:trPr>
          <w:trHeight w:val="117"/>
        </w:trPr>
        <w:tc>
          <w:tcPr>
            <w:tcW w:w="843" w:type="dxa"/>
            <w:vMerge/>
            <w:shd w:val="clear" w:color="auto" w:fill="auto"/>
            <w:vAlign w:val="center"/>
          </w:tcPr>
          <w:p w14:paraId="3083B5CD" w14:textId="77777777" w:rsidR="004F07DF" w:rsidRPr="0080401C" w:rsidRDefault="004F07DF" w:rsidP="009F6F46">
            <w:pPr>
              <w:spacing w:before="60" w:after="60"/>
              <w:jc w:val="center"/>
              <w:rPr>
                <w:rFonts w:eastAsia="MS Mincho"/>
                <w:color w:val="auto"/>
                <w:sz w:val="20"/>
                <w:szCs w:val="20"/>
                <w:lang w:val="en-US"/>
              </w:rPr>
            </w:pPr>
          </w:p>
        </w:tc>
        <w:tc>
          <w:tcPr>
            <w:tcW w:w="7780" w:type="dxa"/>
            <w:shd w:val="clear" w:color="auto" w:fill="auto"/>
          </w:tcPr>
          <w:p w14:paraId="47E23AA9" w14:textId="3DCB89F9" w:rsidR="004F07DF" w:rsidRPr="0080401C" w:rsidRDefault="004F07DF" w:rsidP="002D27DB">
            <w:pPr>
              <w:spacing w:after="0" w:line="266" w:lineRule="auto"/>
              <w:jc w:val="both"/>
              <w:rPr>
                <w:rFonts w:eastAsia="Times New Roman" w:cs="Calibri"/>
                <w:color w:val="auto"/>
                <w:sz w:val="20"/>
                <w:szCs w:val="20"/>
                <w:lang w:val="en-US"/>
              </w:rPr>
            </w:pPr>
            <w:r w:rsidRPr="0080401C">
              <w:rPr>
                <w:rFonts w:eastAsia="Times New Roman" w:cs="Calibri"/>
                <w:color w:val="auto"/>
                <w:sz w:val="20"/>
                <w:szCs w:val="20"/>
                <w:lang w:val="en-US"/>
              </w:rPr>
              <w:t xml:space="preserve">Having </w:t>
            </w:r>
            <w:r w:rsidR="002D27DB" w:rsidRPr="0080401C">
              <w:rPr>
                <w:rFonts w:eastAsia="Times New Roman" w:cs="Calibri"/>
                <w:color w:val="auto"/>
                <w:sz w:val="20"/>
                <w:szCs w:val="20"/>
                <w:lang w:val="en-US"/>
              </w:rPr>
              <w:t xml:space="preserve">designed and developed communication tools in Maternal, Neonatal, Child and Adolescent’s Health, </w:t>
            </w:r>
            <w:r w:rsidRPr="0080401C">
              <w:rPr>
                <w:rFonts w:eastAsia="Times New Roman" w:cs="Calibri"/>
                <w:color w:val="auto"/>
                <w:sz w:val="20"/>
                <w:szCs w:val="20"/>
                <w:lang w:val="en-US"/>
              </w:rPr>
              <w:t>(1 proof of good completion is required)</w:t>
            </w:r>
          </w:p>
        </w:tc>
        <w:tc>
          <w:tcPr>
            <w:tcW w:w="1475" w:type="dxa"/>
            <w:shd w:val="clear" w:color="auto" w:fill="auto"/>
            <w:vAlign w:val="center"/>
          </w:tcPr>
          <w:p w14:paraId="4CF14048" w14:textId="6CFA6792" w:rsidR="004F07DF" w:rsidRPr="0080401C" w:rsidRDefault="00D13F70" w:rsidP="009F6F46">
            <w:pPr>
              <w:spacing w:before="60" w:after="60"/>
              <w:jc w:val="center"/>
              <w:rPr>
                <w:rFonts w:eastAsia="MS Mincho"/>
                <w:b/>
                <w:bCs/>
                <w:color w:val="auto"/>
                <w:sz w:val="20"/>
                <w:szCs w:val="20"/>
                <w:lang w:val="en-US"/>
              </w:rPr>
            </w:pPr>
            <w:r w:rsidRPr="0080401C">
              <w:rPr>
                <w:rFonts w:eastAsia="MS Mincho"/>
                <w:b/>
                <w:bCs/>
                <w:color w:val="auto"/>
                <w:sz w:val="20"/>
                <w:szCs w:val="20"/>
                <w:lang w:val="en-US"/>
              </w:rPr>
              <w:t>4</w:t>
            </w:r>
            <w:r w:rsidR="004F07DF" w:rsidRPr="0080401C">
              <w:rPr>
                <w:rFonts w:eastAsia="MS Mincho"/>
                <w:b/>
                <w:bCs/>
                <w:color w:val="auto"/>
                <w:sz w:val="20"/>
                <w:szCs w:val="20"/>
                <w:lang w:val="en-US"/>
              </w:rPr>
              <w:t xml:space="preserve"> points</w:t>
            </w:r>
          </w:p>
        </w:tc>
      </w:tr>
      <w:tr w:rsidR="0080401C" w:rsidRPr="0080401C" w14:paraId="6F833850" w14:textId="77777777" w:rsidTr="004B408A">
        <w:trPr>
          <w:trHeight w:val="117"/>
        </w:trPr>
        <w:tc>
          <w:tcPr>
            <w:tcW w:w="843" w:type="dxa"/>
            <w:vMerge/>
            <w:shd w:val="clear" w:color="auto" w:fill="auto"/>
            <w:vAlign w:val="center"/>
          </w:tcPr>
          <w:p w14:paraId="3C8C4974" w14:textId="77777777" w:rsidR="004F07DF" w:rsidRPr="0080401C" w:rsidRDefault="004F07DF" w:rsidP="009F6F46">
            <w:pPr>
              <w:spacing w:before="60" w:after="60"/>
              <w:jc w:val="center"/>
              <w:rPr>
                <w:rFonts w:eastAsia="MS Mincho"/>
                <w:color w:val="auto"/>
                <w:sz w:val="20"/>
                <w:szCs w:val="20"/>
                <w:lang w:val="en-US"/>
              </w:rPr>
            </w:pPr>
          </w:p>
        </w:tc>
        <w:tc>
          <w:tcPr>
            <w:tcW w:w="7780" w:type="dxa"/>
            <w:shd w:val="clear" w:color="auto" w:fill="auto"/>
          </w:tcPr>
          <w:p w14:paraId="6CEABA9C" w14:textId="1228AEEE" w:rsidR="004F07DF" w:rsidRPr="0080401C" w:rsidRDefault="00B22D63" w:rsidP="009F6F46">
            <w:pPr>
              <w:pStyle w:val="ListParagraph"/>
              <w:spacing w:after="0" w:line="266" w:lineRule="auto"/>
              <w:ind w:left="0"/>
              <w:contextualSpacing w:val="0"/>
              <w:jc w:val="both"/>
              <w:rPr>
                <w:rFonts w:eastAsia="Times New Roman" w:cs="Calibri"/>
                <w:color w:val="auto"/>
                <w:sz w:val="20"/>
                <w:szCs w:val="20"/>
                <w:lang w:val="en-US"/>
              </w:rPr>
            </w:pPr>
            <w:bookmarkStart w:id="86" w:name="_Hlk43400225"/>
            <w:r w:rsidRPr="0080401C">
              <w:rPr>
                <w:rFonts w:eastAsia="Times New Roman" w:cs="Calibri"/>
                <w:color w:val="auto"/>
                <w:sz w:val="20"/>
                <w:szCs w:val="20"/>
                <w:lang w:val="en-US"/>
              </w:rPr>
              <w:t>Proven e</w:t>
            </w:r>
            <w:r w:rsidR="004F07DF" w:rsidRPr="0080401C">
              <w:rPr>
                <w:rFonts w:eastAsia="Times New Roman" w:cs="Calibri"/>
                <w:color w:val="auto"/>
                <w:sz w:val="20"/>
                <w:szCs w:val="20"/>
                <w:lang w:val="en-US"/>
              </w:rPr>
              <w:t xml:space="preserve">xperience in </w:t>
            </w:r>
            <w:r w:rsidR="0050090D" w:rsidRPr="0080401C">
              <w:rPr>
                <w:rFonts w:eastAsia="Times New Roman" w:cs="Calibri"/>
                <w:color w:val="auto"/>
                <w:sz w:val="20"/>
                <w:szCs w:val="20"/>
                <w:lang w:val="en-US"/>
              </w:rPr>
              <w:t xml:space="preserve">participatory </w:t>
            </w:r>
            <w:r w:rsidRPr="0080401C">
              <w:rPr>
                <w:rFonts w:eastAsia="Times New Roman" w:cs="Calibri"/>
                <w:color w:val="auto"/>
                <w:sz w:val="20"/>
                <w:szCs w:val="20"/>
                <w:lang w:val="en-US"/>
              </w:rPr>
              <w:t xml:space="preserve">methods such as photovoice </w:t>
            </w:r>
            <w:r w:rsidR="004F07DF" w:rsidRPr="0080401C">
              <w:rPr>
                <w:rFonts w:eastAsia="Times New Roman" w:cs="Calibri"/>
                <w:color w:val="auto"/>
                <w:sz w:val="20"/>
                <w:szCs w:val="20"/>
                <w:lang w:val="en-US"/>
              </w:rPr>
              <w:t>(1 certificate of good completion is required)</w:t>
            </w:r>
            <w:bookmarkEnd w:id="86"/>
          </w:p>
        </w:tc>
        <w:tc>
          <w:tcPr>
            <w:tcW w:w="1475" w:type="dxa"/>
            <w:shd w:val="clear" w:color="auto" w:fill="auto"/>
            <w:vAlign w:val="center"/>
          </w:tcPr>
          <w:p w14:paraId="0405D9DA" w14:textId="72775882" w:rsidR="004F07DF" w:rsidRPr="0080401C" w:rsidRDefault="00D13F70" w:rsidP="009F6F46">
            <w:pPr>
              <w:spacing w:before="60" w:after="60"/>
              <w:jc w:val="center"/>
              <w:rPr>
                <w:rFonts w:eastAsia="MS Mincho"/>
                <w:b/>
                <w:bCs/>
                <w:color w:val="auto"/>
                <w:sz w:val="20"/>
                <w:szCs w:val="20"/>
                <w:lang w:val="en-US"/>
              </w:rPr>
            </w:pPr>
            <w:r w:rsidRPr="0080401C">
              <w:rPr>
                <w:rFonts w:eastAsia="MS Mincho"/>
                <w:b/>
                <w:bCs/>
                <w:color w:val="auto"/>
                <w:sz w:val="20"/>
                <w:szCs w:val="20"/>
                <w:lang w:val="en-US"/>
              </w:rPr>
              <w:t>1</w:t>
            </w:r>
            <w:r w:rsidR="004F07DF" w:rsidRPr="0080401C">
              <w:rPr>
                <w:rFonts w:eastAsia="MS Mincho"/>
                <w:b/>
                <w:bCs/>
                <w:color w:val="auto"/>
                <w:sz w:val="20"/>
                <w:szCs w:val="20"/>
                <w:lang w:val="en-US"/>
              </w:rPr>
              <w:t xml:space="preserve"> </w:t>
            </w:r>
            <w:proofErr w:type="gramStart"/>
            <w:r w:rsidR="004F07DF" w:rsidRPr="0080401C">
              <w:rPr>
                <w:rFonts w:eastAsia="MS Mincho"/>
                <w:b/>
                <w:bCs/>
                <w:color w:val="auto"/>
                <w:sz w:val="20"/>
                <w:szCs w:val="20"/>
                <w:lang w:val="en-US"/>
              </w:rPr>
              <w:t>points</w:t>
            </w:r>
            <w:proofErr w:type="gramEnd"/>
          </w:p>
        </w:tc>
      </w:tr>
      <w:tr w:rsidR="0080401C" w:rsidRPr="0080401C" w14:paraId="13E82867" w14:textId="77777777" w:rsidTr="00AA6404">
        <w:trPr>
          <w:trHeight w:val="415"/>
        </w:trPr>
        <w:tc>
          <w:tcPr>
            <w:tcW w:w="843" w:type="dxa"/>
            <w:vMerge/>
            <w:shd w:val="clear" w:color="auto" w:fill="auto"/>
            <w:vAlign w:val="center"/>
          </w:tcPr>
          <w:p w14:paraId="75ABDA1D" w14:textId="77777777" w:rsidR="00B22D63" w:rsidRPr="0080401C" w:rsidRDefault="00B22D63" w:rsidP="009F6F46">
            <w:pPr>
              <w:spacing w:before="60" w:after="60"/>
              <w:jc w:val="center"/>
              <w:rPr>
                <w:rFonts w:eastAsia="MS Mincho"/>
                <w:color w:val="auto"/>
                <w:sz w:val="20"/>
                <w:szCs w:val="20"/>
                <w:lang w:val="en-US"/>
              </w:rPr>
            </w:pPr>
          </w:p>
        </w:tc>
        <w:tc>
          <w:tcPr>
            <w:tcW w:w="7780" w:type="dxa"/>
            <w:shd w:val="clear" w:color="auto" w:fill="auto"/>
          </w:tcPr>
          <w:p w14:paraId="5CDB78D4" w14:textId="76D0E9A0" w:rsidR="00B22D63" w:rsidRPr="0080401C" w:rsidRDefault="00B22D63" w:rsidP="00AA6404">
            <w:pPr>
              <w:spacing w:after="0"/>
              <w:rPr>
                <w:rFonts w:eastAsia="Times New Roman" w:cs="Calibri"/>
                <w:color w:val="auto"/>
                <w:sz w:val="20"/>
                <w:szCs w:val="20"/>
                <w:lang w:val="en-US"/>
              </w:rPr>
            </w:pPr>
            <w:r w:rsidRPr="0080401C">
              <w:rPr>
                <w:rFonts w:eastAsia="Times New Roman" w:cs="Calibri"/>
                <w:color w:val="auto"/>
                <w:sz w:val="20"/>
                <w:szCs w:val="20"/>
                <w:lang w:val="en-US"/>
              </w:rPr>
              <w:t xml:space="preserve">Proven experience in development and conduction of participatory methods </w:t>
            </w:r>
            <w:r w:rsidR="004A36D9" w:rsidRPr="0080401C">
              <w:rPr>
                <w:rFonts w:eastAsia="Times New Roman" w:cs="Calibri"/>
                <w:color w:val="auto"/>
                <w:sz w:val="20"/>
                <w:szCs w:val="20"/>
                <w:lang w:val="en-US"/>
              </w:rPr>
              <w:t>in Africa</w:t>
            </w:r>
          </w:p>
        </w:tc>
        <w:tc>
          <w:tcPr>
            <w:tcW w:w="1475" w:type="dxa"/>
            <w:shd w:val="clear" w:color="auto" w:fill="auto"/>
            <w:vAlign w:val="center"/>
          </w:tcPr>
          <w:p w14:paraId="6AB7453D" w14:textId="01ACCFCE" w:rsidR="00B22D63" w:rsidRPr="0080401C" w:rsidRDefault="009935DF" w:rsidP="009F6F46">
            <w:pPr>
              <w:spacing w:before="60" w:after="60"/>
              <w:jc w:val="center"/>
              <w:rPr>
                <w:rFonts w:eastAsia="MS Mincho"/>
                <w:b/>
                <w:bCs/>
                <w:color w:val="auto"/>
                <w:sz w:val="20"/>
                <w:szCs w:val="20"/>
                <w:lang w:val="en-US"/>
              </w:rPr>
            </w:pPr>
            <w:r w:rsidRPr="0080401C">
              <w:rPr>
                <w:rFonts w:eastAsia="MS Mincho"/>
                <w:b/>
                <w:bCs/>
                <w:color w:val="auto"/>
                <w:sz w:val="20"/>
                <w:szCs w:val="20"/>
                <w:lang w:val="en-US"/>
              </w:rPr>
              <w:t>1</w:t>
            </w:r>
            <w:r w:rsidR="0021029B" w:rsidRPr="0080401C">
              <w:rPr>
                <w:rFonts w:eastAsia="MS Mincho"/>
                <w:b/>
                <w:bCs/>
                <w:color w:val="auto"/>
                <w:sz w:val="20"/>
                <w:szCs w:val="20"/>
                <w:lang w:val="en-US"/>
              </w:rPr>
              <w:t xml:space="preserve"> </w:t>
            </w:r>
            <w:proofErr w:type="gramStart"/>
            <w:r w:rsidR="0021029B" w:rsidRPr="0080401C">
              <w:rPr>
                <w:rFonts w:eastAsia="MS Mincho"/>
                <w:b/>
                <w:bCs/>
                <w:color w:val="auto"/>
                <w:sz w:val="20"/>
                <w:szCs w:val="20"/>
                <w:lang w:val="en-US"/>
              </w:rPr>
              <w:t>point</w:t>
            </w:r>
            <w:r w:rsidR="00BC6A07" w:rsidRPr="0080401C">
              <w:rPr>
                <w:rFonts w:eastAsia="MS Mincho"/>
                <w:b/>
                <w:bCs/>
                <w:color w:val="auto"/>
                <w:sz w:val="20"/>
                <w:szCs w:val="20"/>
                <w:lang w:val="en-US"/>
              </w:rPr>
              <w:t>s</w:t>
            </w:r>
            <w:proofErr w:type="gramEnd"/>
          </w:p>
        </w:tc>
      </w:tr>
      <w:tr w:rsidR="0080401C" w:rsidRPr="0080401C" w14:paraId="7AAFDAFF" w14:textId="77777777" w:rsidTr="004B408A">
        <w:trPr>
          <w:trHeight w:val="117"/>
        </w:trPr>
        <w:tc>
          <w:tcPr>
            <w:tcW w:w="843" w:type="dxa"/>
            <w:vMerge/>
            <w:shd w:val="clear" w:color="auto" w:fill="auto"/>
            <w:vAlign w:val="center"/>
          </w:tcPr>
          <w:p w14:paraId="18145724" w14:textId="77777777" w:rsidR="004F07DF" w:rsidRPr="0080401C" w:rsidRDefault="004F07DF" w:rsidP="009F6F46">
            <w:pPr>
              <w:spacing w:before="60" w:after="60"/>
              <w:jc w:val="center"/>
              <w:rPr>
                <w:rFonts w:eastAsia="MS Mincho"/>
                <w:color w:val="auto"/>
                <w:sz w:val="20"/>
                <w:szCs w:val="20"/>
                <w:lang w:val="en-US"/>
              </w:rPr>
            </w:pPr>
          </w:p>
        </w:tc>
        <w:tc>
          <w:tcPr>
            <w:tcW w:w="7780" w:type="dxa"/>
            <w:shd w:val="clear" w:color="auto" w:fill="auto"/>
          </w:tcPr>
          <w:p w14:paraId="5F5FC024" w14:textId="77777777" w:rsidR="004F07DF" w:rsidRPr="0080401C" w:rsidRDefault="004F07DF" w:rsidP="009F6F46">
            <w:pPr>
              <w:rPr>
                <w:color w:val="auto"/>
                <w:sz w:val="20"/>
                <w:szCs w:val="20"/>
              </w:rPr>
            </w:pPr>
            <w:r w:rsidRPr="0080401C">
              <w:rPr>
                <w:rFonts w:eastAsia="Times New Roman" w:cs="Calibri"/>
                <w:color w:val="auto"/>
                <w:sz w:val="20"/>
                <w:szCs w:val="20"/>
                <w:lang w:val="en-US"/>
              </w:rPr>
              <w:t>Possess an advanced level of English (writing and speaking);</w:t>
            </w:r>
            <w:r w:rsidRPr="0080401C">
              <w:rPr>
                <w:rFonts w:cs="Calibri"/>
                <w:bCs/>
                <w:color w:val="auto"/>
                <w:sz w:val="20"/>
                <w:szCs w:val="20"/>
                <w:lang w:val="en-US"/>
              </w:rPr>
              <w:t xml:space="preserve"> having a working knowledge of French will be an added value</w:t>
            </w:r>
          </w:p>
        </w:tc>
        <w:tc>
          <w:tcPr>
            <w:tcW w:w="1475" w:type="dxa"/>
            <w:shd w:val="clear" w:color="auto" w:fill="auto"/>
            <w:vAlign w:val="center"/>
          </w:tcPr>
          <w:p w14:paraId="775B0A87" w14:textId="63C7FA47" w:rsidR="004F07DF" w:rsidRPr="0080401C" w:rsidRDefault="00D13F70" w:rsidP="009F6F46">
            <w:pPr>
              <w:spacing w:before="60" w:after="60"/>
              <w:jc w:val="center"/>
              <w:rPr>
                <w:rFonts w:eastAsia="MS Mincho"/>
                <w:b/>
                <w:bCs/>
                <w:color w:val="auto"/>
                <w:sz w:val="20"/>
                <w:szCs w:val="20"/>
                <w:lang w:val="en-US"/>
              </w:rPr>
            </w:pPr>
            <w:r w:rsidRPr="0080401C">
              <w:rPr>
                <w:rFonts w:eastAsia="MS Mincho"/>
                <w:b/>
                <w:bCs/>
                <w:color w:val="auto"/>
                <w:sz w:val="20"/>
                <w:szCs w:val="20"/>
                <w:lang w:val="en-US"/>
              </w:rPr>
              <w:t>2</w:t>
            </w:r>
            <w:r w:rsidR="004F07DF" w:rsidRPr="0080401C">
              <w:rPr>
                <w:rFonts w:eastAsia="MS Mincho"/>
                <w:b/>
                <w:bCs/>
                <w:color w:val="auto"/>
                <w:sz w:val="20"/>
                <w:szCs w:val="20"/>
                <w:lang w:val="en-US"/>
              </w:rPr>
              <w:t xml:space="preserve"> point</w:t>
            </w:r>
            <w:r w:rsidRPr="0080401C">
              <w:rPr>
                <w:rFonts w:eastAsia="MS Mincho"/>
                <w:b/>
                <w:bCs/>
                <w:color w:val="auto"/>
                <w:sz w:val="20"/>
                <w:szCs w:val="20"/>
                <w:lang w:val="en-US"/>
              </w:rPr>
              <w:t>s</w:t>
            </w:r>
          </w:p>
        </w:tc>
      </w:tr>
      <w:tr w:rsidR="0080401C" w:rsidRPr="0080401C" w14:paraId="6605C527" w14:textId="77777777" w:rsidTr="004B408A">
        <w:trPr>
          <w:trHeight w:val="185"/>
        </w:trPr>
        <w:tc>
          <w:tcPr>
            <w:tcW w:w="843" w:type="dxa"/>
            <w:vMerge w:val="restart"/>
            <w:shd w:val="clear" w:color="auto" w:fill="auto"/>
            <w:vAlign w:val="center"/>
          </w:tcPr>
          <w:p w14:paraId="47714F83" w14:textId="77777777" w:rsidR="004F07DF" w:rsidRPr="0080401C" w:rsidRDefault="004F07DF" w:rsidP="009F6F46">
            <w:pPr>
              <w:spacing w:before="60" w:after="60"/>
              <w:jc w:val="center"/>
              <w:rPr>
                <w:rFonts w:eastAsia="MS Mincho"/>
                <w:color w:val="auto"/>
                <w:sz w:val="20"/>
                <w:szCs w:val="20"/>
                <w:lang w:val="en-US"/>
              </w:rPr>
            </w:pPr>
            <w:r w:rsidRPr="0080401C">
              <w:rPr>
                <w:rFonts w:eastAsia="MS Mincho"/>
                <w:color w:val="auto"/>
                <w:sz w:val="20"/>
                <w:szCs w:val="20"/>
                <w:lang w:val="en-US"/>
              </w:rPr>
              <w:t>2.</w:t>
            </w:r>
          </w:p>
        </w:tc>
        <w:tc>
          <w:tcPr>
            <w:tcW w:w="7780" w:type="dxa"/>
            <w:shd w:val="clear" w:color="auto" w:fill="auto"/>
            <w:vAlign w:val="center"/>
          </w:tcPr>
          <w:p w14:paraId="61043D90" w14:textId="338438F3" w:rsidR="004F07DF" w:rsidRPr="0080401C" w:rsidRDefault="00C31D9D" w:rsidP="009F6F46">
            <w:pPr>
              <w:pStyle w:val="ListParagraph"/>
              <w:spacing w:after="0" w:line="264" w:lineRule="auto"/>
              <w:ind w:left="0" w:right="420"/>
              <w:contextualSpacing w:val="0"/>
              <w:jc w:val="both"/>
              <w:rPr>
                <w:rFonts w:eastAsia="MS Mincho" w:cs="Calibri Light"/>
                <w:b/>
                <w:iCs/>
                <w:color w:val="auto"/>
                <w:sz w:val="20"/>
                <w:szCs w:val="20"/>
                <w:lang w:val="en-US"/>
              </w:rPr>
            </w:pPr>
            <w:r>
              <w:rPr>
                <w:rFonts w:eastAsia="MS Mincho" w:cs="Calibri Light"/>
                <w:b/>
                <w:iCs/>
                <w:color w:val="auto"/>
                <w:sz w:val="20"/>
                <w:szCs w:val="20"/>
                <w:lang w:val="en-US"/>
              </w:rPr>
              <w:t>Specialist</w:t>
            </w:r>
            <w:r w:rsidR="004F07DF" w:rsidRPr="0080401C">
              <w:rPr>
                <w:rFonts w:eastAsia="MS Mincho" w:cs="Calibri Light"/>
                <w:b/>
                <w:iCs/>
                <w:color w:val="auto"/>
                <w:sz w:val="20"/>
                <w:szCs w:val="20"/>
                <w:lang w:val="en-US"/>
              </w:rPr>
              <w:t xml:space="preserve"> in </w:t>
            </w:r>
            <w:r w:rsidR="009E0533" w:rsidRPr="0080401C">
              <w:rPr>
                <w:rFonts w:eastAsia="MS Mincho" w:cs="Calibri Light"/>
                <w:b/>
                <w:iCs/>
                <w:color w:val="auto"/>
                <w:sz w:val="20"/>
                <w:szCs w:val="20"/>
                <w:lang w:val="en-US"/>
              </w:rPr>
              <w:t xml:space="preserve">health communication </w:t>
            </w:r>
          </w:p>
        </w:tc>
        <w:tc>
          <w:tcPr>
            <w:tcW w:w="1475" w:type="dxa"/>
            <w:shd w:val="clear" w:color="auto" w:fill="auto"/>
            <w:vAlign w:val="center"/>
          </w:tcPr>
          <w:p w14:paraId="7ABAA981" w14:textId="0E12A942" w:rsidR="004F07DF" w:rsidRPr="0080401C" w:rsidRDefault="00CB6913" w:rsidP="009F6F46">
            <w:pPr>
              <w:spacing w:before="60" w:after="60"/>
              <w:jc w:val="center"/>
              <w:rPr>
                <w:rFonts w:eastAsia="MS Mincho"/>
                <w:b/>
                <w:iCs/>
                <w:color w:val="auto"/>
                <w:sz w:val="20"/>
                <w:szCs w:val="20"/>
                <w:lang w:val="en-US"/>
              </w:rPr>
            </w:pPr>
            <w:r>
              <w:rPr>
                <w:rFonts w:eastAsia="MS Mincho"/>
                <w:b/>
                <w:iCs/>
                <w:color w:val="auto"/>
                <w:sz w:val="20"/>
                <w:szCs w:val="20"/>
                <w:lang w:val="en-US"/>
              </w:rPr>
              <w:t>8</w:t>
            </w:r>
            <w:r w:rsidR="004F07DF" w:rsidRPr="0080401C">
              <w:rPr>
                <w:rFonts w:eastAsia="MS Mincho"/>
                <w:b/>
                <w:iCs/>
                <w:color w:val="auto"/>
                <w:sz w:val="20"/>
                <w:szCs w:val="20"/>
                <w:lang w:val="en-US"/>
              </w:rPr>
              <w:t xml:space="preserve"> </w:t>
            </w:r>
            <w:r w:rsidR="00590FB5">
              <w:rPr>
                <w:rFonts w:eastAsia="MS Mincho"/>
                <w:b/>
                <w:iCs/>
                <w:color w:val="auto"/>
                <w:sz w:val="20"/>
                <w:szCs w:val="20"/>
                <w:lang w:val="en-US"/>
              </w:rPr>
              <w:t>P</w:t>
            </w:r>
            <w:r w:rsidR="004F07DF" w:rsidRPr="0080401C">
              <w:rPr>
                <w:rFonts w:eastAsia="MS Mincho"/>
                <w:b/>
                <w:iCs/>
                <w:color w:val="auto"/>
                <w:sz w:val="20"/>
                <w:szCs w:val="20"/>
                <w:lang w:val="en-US"/>
              </w:rPr>
              <w:t xml:space="preserve">oints </w:t>
            </w:r>
          </w:p>
        </w:tc>
      </w:tr>
      <w:tr w:rsidR="0080401C" w:rsidRPr="0080401C" w14:paraId="70CA5DBE" w14:textId="77777777" w:rsidTr="004B408A">
        <w:trPr>
          <w:trHeight w:val="480"/>
        </w:trPr>
        <w:tc>
          <w:tcPr>
            <w:tcW w:w="843" w:type="dxa"/>
            <w:vMerge/>
            <w:shd w:val="clear" w:color="auto" w:fill="auto"/>
            <w:vAlign w:val="center"/>
          </w:tcPr>
          <w:p w14:paraId="06695CC9" w14:textId="77777777" w:rsidR="004F07DF" w:rsidRPr="0080401C" w:rsidRDefault="004F07DF" w:rsidP="009F6F46">
            <w:pPr>
              <w:spacing w:before="60" w:after="60"/>
              <w:jc w:val="center"/>
              <w:rPr>
                <w:rFonts w:eastAsia="MS Mincho"/>
                <w:color w:val="auto"/>
                <w:sz w:val="20"/>
                <w:szCs w:val="20"/>
                <w:lang w:val="en-US"/>
              </w:rPr>
            </w:pPr>
          </w:p>
        </w:tc>
        <w:tc>
          <w:tcPr>
            <w:tcW w:w="7780" w:type="dxa"/>
            <w:shd w:val="clear" w:color="auto" w:fill="auto"/>
          </w:tcPr>
          <w:p w14:paraId="6D823DD8" w14:textId="544DA454" w:rsidR="00D201E3" w:rsidRDefault="004F07DF" w:rsidP="009F6F46">
            <w:pPr>
              <w:pStyle w:val="ListParagraph"/>
              <w:spacing w:after="0" w:line="264" w:lineRule="auto"/>
              <w:ind w:left="0"/>
              <w:contextualSpacing w:val="0"/>
              <w:jc w:val="both"/>
              <w:rPr>
                <w:rFonts w:eastAsia="Times New Roman" w:cs="Calibri"/>
                <w:color w:val="auto"/>
                <w:sz w:val="20"/>
                <w:szCs w:val="20"/>
                <w:lang w:val="en-US"/>
              </w:rPr>
            </w:pPr>
            <w:r w:rsidRPr="0080401C">
              <w:rPr>
                <w:rFonts w:eastAsia="Times New Roman" w:cs="Calibri"/>
                <w:color w:val="auto"/>
                <w:sz w:val="20"/>
                <w:szCs w:val="20"/>
                <w:lang w:val="en-US"/>
              </w:rPr>
              <w:t xml:space="preserve">The minimum required qualification is </w:t>
            </w:r>
            <w:r w:rsidR="004720AA">
              <w:rPr>
                <w:rFonts w:eastAsia="Times New Roman" w:cs="Calibri"/>
                <w:color w:val="auto"/>
                <w:sz w:val="20"/>
                <w:szCs w:val="20"/>
                <w:lang w:val="en-US"/>
              </w:rPr>
              <w:t xml:space="preserve">a </w:t>
            </w:r>
            <w:r w:rsidR="00E46175" w:rsidRPr="00E46175">
              <w:rPr>
                <w:rFonts w:eastAsia="Times New Roman" w:cs="Calibri"/>
                <w:color w:val="auto"/>
                <w:sz w:val="20"/>
                <w:szCs w:val="20"/>
                <w:lang w:val="en-US"/>
              </w:rPr>
              <w:t xml:space="preserve">bachelor’s degree in communications </w:t>
            </w:r>
            <w:r w:rsidRPr="0080401C">
              <w:rPr>
                <w:rFonts w:eastAsia="Times New Roman" w:cs="Calibri"/>
                <w:color w:val="auto"/>
                <w:sz w:val="20"/>
                <w:szCs w:val="20"/>
                <w:lang w:val="en-US"/>
              </w:rPr>
              <w:t xml:space="preserve">with </w:t>
            </w:r>
            <w:r w:rsidR="00DC5D51" w:rsidRPr="0080401C">
              <w:rPr>
                <w:rFonts w:eastAsia="Times New Roman" w:cs="Calibri"/>
                <w:color w:val="auto"/>
                <w:sz w:val="20"/>
                <w:szCs w:val="20"/>
                <w:lang w:val="en-US"/>
              </w:rPr>
              <w:t>3</w:t>
            </w:r>
            <w:r w:rsidRPr="0080401C">
              <w:rPr>
                <w:rFonts w:eastAsia="Times New Roman" w:cs="Calibri"/>
                <w:color w:val="auto"/>
                <w:sz w:val="20"/>
                <w:szCs w:val="20"/>
                <w:lang w:val="en-US"/>
              </w:rPr>
              <w:t xml:space="preserve"> years’ experience</w:t>
            </w:r>
            <w:r w:rsidR="00D201E3">
              <w:rPr>
                <w:rFonts w:eastAsia="Times New Roman" w:cs="Calibri"/>
                <w:color w:val="auto"/>
                <w:sz w:val="20"/>
                <w:szCs w:val="20"/>
                <w:lang w:val="en-US"/>
              </w:rPr>
              <w:t xml:space="preserve"> in health communication</w:t>
            </w:r>
            <w:r w:rsidRPr="0080401C">
              <w:rPr>
                <w:rFonts w:eastAsia="Times New Roman" w:cs="Calibri"/>
                <w:color w:val="auto"/>
                <w:sz w:val="20"/>
                <w:szCs w:val="20"/>
                <w:lang w:val="en-US"/>
              </w:rPr>
              <w:t>.</w:t>
            </w:r>
          </w:p>
          <w:p w14:paraId="14623BA5" w14:textId="5D338B36" w:rsidR="005528A7" w:rsidRDefault="005528A7" w:rsidP="009F6F46">
            <w:pPr>
              <w:pStyle w:val="ListParagraph"/>
              <w:spacing w:after="0" w:line="264" w:lineRule="auto"/>
              <w:ind w:left="0"/>
              <w:contextualSpacing w:val="0"/>
              <w:jc w:val="both"/>
              <w:rPr>
                <w:rFonts w:eastAsia="Times New Roman" w:cs="Calibri"/>
                <w:color w:val="auto"/>
                <w:sz w:val="20"/>
                <w:szCs w:val="20"/>
                <w:lang w:val="en-US"/>
              </w:rPr>
            </w:pPr>
            <w:r>
              <w:rPr>
                <w:rFonts w:eastAsia="Times New Roman" w:cs="Calibri"/>
                <w:color w:val="auto"/>
                <w:sz w:val="20"/>
                <w:szCs w:val="20"/>
                <w:lang w:val="en-US"/>
              </w:rPr>
              <w:t xml:space="preserve">Experience in </w:t>
            </w:r>
            <w:r w:rsidR="00B3746F">
              <w:rPr>
                <w:rFonts w:eastAsia="Times New Roman" w:cs="Calibri"/>
                <w:color w:val="auto"/>
                <w:sz w:val="20"/>
                <w:szCs w:val="20"/>
                <w:lang w:val="en-US"/>
              </w:rPr>
              <w:t>MNASRH</w:t>
            </w:r>
            <w:r>
              <w:rPr>
                <w:rFonts w:eastAsia="Times New Roman" w:cs="Calibri"/>
                <w:color w:val="auto"/>
                <w:sz w:val="20"/>
                <w:szCs w:val="20"/>
                <w:lang w:val="en-US"/>
              </w:rPr>
              <w:t xml:space="preserve"> communication is an added value</w:t>
            </w:r>
          </w:p>
          <w:p w14:paraId="65DFE6EF" w14:textId="77777777" w:rsidR="00BB5A03" w:rsidRDefault="00BB5A03" w:rsidP="009F6F46">
            <w:pPr>
              <w:pStyle w:val="ListParagraph"/>
              <w:spacing w:after="0" w:line="264" w:lineRule="auto"/>
              <w:ind w:left="0"/>
              <w:contextualSpacing w:val="0"/>
              <w:jc w:val="both"/>
              <w:rPr>
                <w:rFonts w:eastAsia="Times New Roman" w:cs="Calibri"/>
                <w:color w:val="auto"/>
                <w:sz w:val="20"/>
                <w:szCs w:val="20"/>
                <w:lang w:val="en-US"/>
              </w:rPr>
            </w:pPr>
          </w:p>
          <w:p w14:paraId="73C6E063" w14:textId="62515968" w:rsidR="004F07DF" w:rsidRPr="0080401C" w:rsidRDefault="004F07DF" w:rsidP="009F6F46">
            <w:pPr>
              <w:pStyle w:val="ListParagraph"/>
              <w:spacing w:after="0" w:line="264" w:lineRule="auto"/>
              <w:ind w:left="0"/>
              <w:contextualSpacing w:val="0"/>
              <w:jc w:val="both"/>
              <w:rPr>
                <w:rFonts w:eastAsia="Times New Roman" w:cs="Calibri"/>
                <w:color w:val="auto"/>
                <w:sz w:val="20"/>
                <w:szCs w:val="20"/>
                <w:lang w:val="en-US"/>
              </w:rPr>
            </w:pPr>
            <w:r w:rsidRPr="0080401C">
              <w:rPr>
                <w:rFonts w:eastAsia="Times New Roman" w:cs="Calibri"/>
                <w:color w:val="auto"/>
                <w:sz w:val="20"/>
                <w:szCs w:val="20"/>
                <w:lang w:val="en-US"/>
              </w:rPr>
              <w:t xml:space="preserve">The preferred profile is </w:t>
            </w:r>
            <w:r w:rsidR="00A136DC">
              <w:rPr>
                <w:rFonts w:eastAsia="Times New Roman" w:cs="Calibri"/>
                <w:color w:val="auto"/>
                <w:sz w:val="20"/>
                <w:szCs w:val="20"/>
                <w:lang w:val="en-US"/>
              </w:rPr>
              <w:t>a</w:t>
            </w:r>
            <w:r w:rsidRPr="0080401C">
              <w:rPr>
                <w:rFonts w:eastAsia="Times New Roman" w:cs="Calibri"/>
                <w:color w:val="auto"/>
                <w:sz w:val="20"/>
                <w:szCs w:val="20"/>
                <w:lang w:val="en-US"/>
              </w:rPr>
              <w:t xml:space="preserve"> master’s degree</w:t>
            </w:r>
            <w:r w:rsidR="00DC5D51" w:rsidRPr="0080401C">
              <w:rPr>
                <w:rFonts w:eastAsia="Times New Roman" w:cs="Calibri"/>
                <w:color w:val="auto"/>
                <w:sz w:val="20"/>
                <w:szCs w:val="20"/>
                <w:lang w:val="en-US"/>
              </w:rPr>
              <w:t xml:space="preserve"> </w:t>
            </w:r>
            <w:r w:rsidR="00A136DC">
              <w:rPr>
                <w:rFonts w:eastAsia="Times New Roman" w:cs="Calibri"/>
                <w:color w:val="auto"/>
                <w:sz w:val="20"/>
                <w:szCs w:val="20"/>
                <w:lang w:val="en-US"/>
              </w:rPr>
              <w:t xml:space="preserve">in health communication </w:t>
            </w:r>
            <w:r w:rsidRPr="0080401C">
              <w:rPr>
                <w:rFonts w:eastAsia="Times New Roman" w:cs="Calibri"/>
                <w:color w:val="auto"/>
                <w:sz w:val="20"/>
                <w:szCs w:val="20"/>
                <w:lang w:val="en-US"/>
              </w:rPr>
              <w:t xml:space="preserve">with 5 years’ experience </w:t>
            </w:r>
            <w:r w:rsidR="009D3C00">
              <w:rPr>
                <w:rFonts w:eastAsia="Times New Roman" w:cs="Calibri"/>
                <w:color w:val="auto"/>
                <w:sz w:val="20"/>
                <w:szCs w:val="20"/>
                <w:lang w:val="en-US"/>
              </w:rPr>
              <w:t>in health communication</w:t>
            </w:r>
            <w:r w:rsidR="00A0549C">
              <w:rPr>
                <w:rFonts w:eastAsia="Times New Roman" w:cs="Calibri"/>
                <w:color w:val="auto"/>
                <w:sz w:val="20"/>
                <w:szCs w:val="20"/>
                <w:lang w:val="en-US"/>
              </w:rPr>
              <w:t xml:space="preserve"> and preferably in SRH health</w:t>
            </w:r>
          </w:p>
        </w:tc>
        <w:tc>
          <w:tcPr>
            <w:tcW w:w="1475" w:type="dxa"/>
            <w:shd w:val="clear" w:color="auto" w:fill="auto"/>
            <w:vAlign w:val="center"/>
          </w:tcPr>
          <w:p w14:paraId="0CC3DD45" w14:textId="4C0F14E6" w:rsidR="004F07DF" w:rsidRPr="008D44DF" w:rsidRDefault="0035031D" w:rsidP="00ED7CF5">
            <w:pPr>
              <w:spacing w:before="60" w:after="60"/>
              <w:jc w:val="center"/>
              <w:rPr>
                <w:rFonts w:eastAsia="MS Mincho"/>
                <w:b/>
                <w:bCs/>
                <w:color w:val="auto"/>
                <w:sz w:val="20"/>
                <w:szCs w:val="20"/>
                <w:lang w:val="en-US"/>
              </w:rPr>
            </w:pPr>
            <w:r>
              <w:rPr>
                <w:rFonts w:eastAsia="MS Mincho"/>
                <w:b/>
                <w:bCs/>
                <w:color w:val="auto"/>
                <w:sz w:val="20"/>
                <w:szCs w:val="20"/>
                <w:lang w:val="en-US"/>
              </w:rPr>
              <w:t>4</w:t>
            </w:r>
            <w:r w:rsidR="00434B8A" w:rsidRPr="008D44DF">
              <w:rPr>
                <w:rFonts w:eastAsia="MS Mincho"/>
                <w:b/>
                <w:bCs/>
                <w:color w:val="auto"/>
                <w:sz w:val="20"/>
                <w:szCs w:val="20"/>
                <w:lang w:val="en-US"/>
              </w:rPr>
              <w:t xml:space="preserve"> points</w:t>
            </w:r>
          </w:p>
          <w:p w14:paraId="2F9B3844" w14:textId="282ECCF2" w:rsidR="00763236" w:rsidRPr="008D44DF" w:rsidRDefault="008D44DF" w:rsidP="00ED7CF5">
            <w:pPr>
              <w:spacing w:before="60" w:after="60"/>
              <w:jc w:val="center"/>
              <w:rPr>
                <w:rFonts w:eastAsia="MS Mincho"/>
                <w:color w:val="auto"/>
                <w:sz w:val="20"/>
                <w:szCs w:val="20"/>
                <w:lang w:val="en-US"/>
              </w:rPr>
            </w:pPr>
            <w:r w:rsidRPr="008D44DF">
              <w:rPr>
                <w:rFonts w:eastAsia="MS Mincho"/>
                <w:color w:val="auto"/>
                <w:sz w:val="20"/>
                <w:szCs w:val="20"/>
                <w:lang w:val="en-US"/>
              </w:rPr>
              <w:t>(</w:t>
            </w:r>
            <w:r w:rsidR="0035031D">
              <w:rPr>
                <w:rFonts w:eastAsia="MS Mincho"/>
                <w:color w:val="auto"/>
                <w:sz w:val="20"/>
                <w:szCs w:val="20"/>
                <w:lang w:val="en-US"/>
              </w:rPr>
              <w:t>4</w:t>
            </w:r>
            <w:r w:rsidR="00B827B0">
              <w:rPr>
                <w:rFonts w:eastAsia="MS Mincho"/>
                <w:color w:val="auto"/>
                <w:sz w:val="20"/>
                <w:szCs w:val="20"/>
                <w:lang w:val="en-US"/>
              </w:rPr>
              <w:t xml:space="preserve"> </w:t>
            </w:r>
            <w:r w:rsidR="00763236" w:rsidRPr="008D44DF">
              <w:rPr>
                <w:rFonts w:eastAsia="MS Mincho"/>
                <w:color w:val="auto"/>
                <w:sz w:val="20"/>
                <w:szCs w:val="20"/>
                <w:lang w:val="en-US"/>
              </w:rPr>
              <w:t xml:space="preserve">= Master, </w:t>
            </w:r>
            <w:r>
              <w:rPr>
                <w:rFonts w:eastAsia="MS Mincho"/>
                <w:color w:val="auto"/>
                <w:sz w:val="20"/>
                <w:szCs w:val="20"/>
                <w:lang w:val="en-US"/>
              </w:rPr>
              <w:t>2</w:t>
            </w:r>
            <w:r w:rsidR="00763236" w:rsidRPr="008D44DF">
              <w:rPr>
                <w:rFonts w:eastAsia="MS Mincho"/>
                <w:color w:val="auto"/>
                <w:sz w:val="20"/>
                <w:szCs w:val="20"/>
                <w:lang w:val="en-US"/>
              </w:rPr>
              <w:t xml:space="preserve"> = Bachelor)</w:t>
            </w:r>
          </w:p>
        </w:tc>
      </w:tr>
      <w:tr w:rsidR="0080401C" w:rsidRPr="0080401C" w14:paraId="766BAB7E" w14:textId="77777777" w:rsidTr="004B408A">
        <w:trPr>
          <w:trHeight w:val="695"/>
        </w:trPr>
        <w:tc>
          <w:tcPr>
            <w:tcW w:w="843" w:type="dxa"/>
            <w:vMerge/>
            <w:shd w:val="clear" w:color="auto" w:fill="auto"/>
            <w:vAlign w:val="center"/>
          </w:tcPr>
          <w:p w14:paraId="1E7B4872" w14:textId="77777777" w:rsidR="004F07DF" w:rsidRPr="0080401C" w:rsidRDefault="004F07DF" w:rsidP="009F6F46">
            <w:pPr>
              <w:spacing w:before="60" w:after="60"/>
              <w:jc w:val="center"/>
              <w:rPr>
                <w:rFonts w:eastAsia="MS Mincho"/>
                <w:color w:val="auto"/>
                <w:sz w:val="20"/>
                <w:szCs w:val="20"/>
                <w:lang w:val="en-US"/>
              </w:rPr>
            </w:pPr>
          </w:p>
        </w:tc>
        <w:tc>
          <w:tcPr>
            <w:tcW w:w="7780" w:type="dxa"/>
            <w:shd w:val="clear" w:color="auto" w:fill="auto"/>
          </w:tcPr>
          <w:p w14:paraId="7A971228" w14:textId="01CCF9AF" w:rsidR="004F07DF" w:rsidRPr="0080401C" w:rsidRDefault="004F07DF" w:rsidP="009F6F46">
            <w:pPr>
              <w:pStyle w:val="ListParagraph"/>
              <w:spacing w:after="0" w:line="264" w:lineRule="auto"/>
              <w:ind w:left="0"/>
              <w:contextualSpacing w:val="0"/>
              <w:jc w:val="both"/>
              <w:rPr>
                <w:rFonts w:eastAsia="Times New Roman" w:cs="Calibri"/>
                <w:color w:val="auto"/>
                <w:sz w:val="20"/>
                <w:szCs w:val="20"/>
                <w:lang w:val="en-US"/>
              </w:rPr>
            </w:pPr>
            <w:r w:rsidRPr="0080401C">
              <w:rPr>
                <w:rFonts w:eastAsia="Times New Roman" w:cs="Calibri"/>
                <w:color w:val="auto"/>
                <w:sz w:val="20"/>
                <w:szCs w:val="20"/>
                <w:lang w:val="en-US"/>
              </w:rPr>
              <w:t xml:space="preserve">At least </w:t>
            </w:r>
            <w:r w:rsidR="007F3832">
              <w:rPr>
                <w:rFonts w:eastAsia="Times New Roman" w:cs="Calibri"/>
                <w:color w:val="auto"/>
                <w:sz w:val="20"/>
                <w:szCs w:val="20"/>
                <w:lang w:val="en-US"/>
              </w:rPr>
              <w:t>3</w:t>
            </w:r>
            <w:r w:rsidRPr="0080401C">
              <w:rPr>
                <w:rFonts w:eastAsia="Times New Roman" w:cs="Calibri"/>
                <w:color w:val="auto"/>
                <w:sz w:val="20"/>
                <w:szCs w:val="20"/>
                <w:lang w:val="en-US"/>
              </w:rPr>
              <w:t xml:space="preserve"> years’ experience in </w:t>
            </w:r>
            <w:r w:rsidR="003663F6" w:rsidRPr="0080401C">
              <w:rPr>
                <w:rFonts w:eastAsia="Times New Roman" w:cs="Calibri"/>
                <w:color w:val="auto"/>
                <w:sz w:val="20"/>
                <w:szCs w:val="20"/>
                <w:lang w:val="en-US"/>
              </w:rPr>
              <w:t xml:space="preserve">implementing </w:t>
            </w:r>
            <w:r w:rsidR="00DC5D51" w:rsidRPr="0080401C">
              <w:rPr>
                <w:rFonts w:eastAsia="Times New Roman" w:cs="Calibri"/>
                <w:color w:val="auto"/>
                <w:sz w:val="20"/>
                <w:szCs w:val="20"/>
                <w:lang w:val="en-US"/>
              </w:rPr>
              <w:t xml:space="preserve">participatory </w:t>
            </w:r>
            <w:r w:rsidR="003663F6" w:rsidRPr="0080401C">
              <w:rPr>
                <w:rFonts w:eastAsia="Times New Roman" w:cs="Calibri"/>
                <w:color w:val="auto"/>
                <w:sz w:val="20"/>
                <w:szCs w:val="20"/>
                <w:lang w:val="en-US"/>
              </w:rPr>
              <w:t xml:space="preserve">health communication activities </w:t>
            </w:r>
            <w:bookmarkStart w:id="87" w:name="_Hlk43400316"/>
            <w:r w:rsidR="007567F1">
              <w:rPr>
                <w:rFonts w:eastAsia="Times New Roman" w:cs="Calibri"/>
                <w:color w:val="auto"/>
                <w:sz w:val="20"/>
                <w:szCs w:val="20"/>
                <w:lang w:val="en-US"/>
              </w:rPr>
              <w:t xml:space="preserve">preferably </w:t>
            </w:r>
            <w:r w:rsidR="00863CC5" w:rsidRPr="0080401C">
              <w:rPr>
                <w:rFonts w:eastAsia="Times New Roman" w:cs="Calibri"/>
                <w:color w:val="auto"/>
                <w:sz w:val="20"/>
                <w:szCs w:val="20"/>
                <w:lang w:val="en-US"/>
              </w:rPr>
              <w:t xml:space="preserve">in </w:t>
            </w:r>
            <w:r w:rsidR="00B3746F">
              <w:rPr>
                <w:rFonts w:eastAsia="Times New Roman" w:cs="Calibri"/>
                <w:color w:val="auto"/>
                <w:sz w:val="20"/>
                <w:szCs w:val="20"/>
                <w:lang w:val="en-US"/>
              </w:rPr>
              <w:t>MNASRH</w:t>
            </w:r>
            <w:r w:rsidR="00863CC5" w:rsidRPr="0080401C">
              <w:rPr>
                <w:rFonts w:eastAsia="Times New Roman" w:cs="Calibri"/>
                <w:color w:val="auto"/>
                <w:sz w:val="20"/>
                <w:szCs w:val="20"/>
                <w:lang w:val="en-US"/>
              </w:rPr>
              <w:t xml:space="preserve"> </w:t>
            </w:r>
            <w:r w:rsidR="002F3EC6" w:rsidRPr="0080401C">
              <w:rPr>
                <w:rFonts w:eastAsia="Times New Roman" w:cs="Calibri"/>
                <w:color w:val="auto"/>
                <w:sz w:val="20"/>
                <w:szCs w:val="20"/>
                <w:lang w:val="en-US"/>
              </w:rPr>
              <w:t>in</w:t>
            </w:r>
            <w:r w:rsidR="00863CC5" w:rsidRPr="0080401C">
              <w:rPr>
                <w:rFonts w:eastAsia="Times New Roman" w:cs="Calibri"/>
                <w:color w:val="auto"/>
                <w:sz w:val="20"/>
                <w:szCs w:val="20"/>
                <w:lang w:val="en-US"/>
              </w:rPr>
              <w:t xml:space="preserve"> the community </w:t>
            </w:r>
            <w:r w:rsidRPr="0080401C">
              <w:rPr>
                <w:rFonts w:eastAsia="Times New Roman" w:cs="Calibri"/>
                <w:color w:val="auto"/>
                <w:sz w:val="20"/>
                <w:szCs w:val="20"/>
                <w:lang w:val="en-US"/>
              </w:rPr>
              <w:t>(</w:t>
            </w:r>
            <w:r w:rsidR="002F3EC6" w:rsidRPr="0080401C">
              <w:rPr>
                <w:rFonts w:eastAsia="Times New Roman" w:cs="Calibri"/>
                <w:color w:val="auto"/>
                <w:sz w:val="20"/>
                <w:szCs w:val="20"/>
                <w:lang w:val="en-US"/>
              </w:rPr>
              <w:t>2</w:t>
            </w:r>
            <w:r w:rsidRPr="0080401C">
              <w:rPr>
                <w:rFonts w:eastAsia="Times New Roman" w:cs="Calibri"/>
                <w:color w:val="auto"/>
                <w:sz w:val="20"/>
                <w:szCs w:val="20"/>
                <w:lang w:val="en-US"/>
              </w:rPr>
              <w:t xml:space="preserve"> certificate</w:t>
            </w:r>
            <w:r w:rsidR="002F3EC6" w:rsidRPr="0080401C">
              <w:rPr>
                <w:rFonts w:eastAsia="Times New Roman" w:cs="Calibri"/>
                <w:color w:val="auto"/>
                <w:sz w:val="20"/>
                <w:szCs w:val="20"/>
                <w:lang w:val="en-US"/>
              </w:rPr>
              <w:t>s</w:t>
            </w:r>
            <w:r w:rsidRPr="0080401C">
              <w:rPr>
                <w:rFonts w:eastAsia="Times New Roman" w:cs="Calibri"/>
                <w:color w:val="auto"/>
                <w:sz w:val="20"/>
                <w:szCs w:val="20"/>
                <w:lang w:val="en-US"/>
              </w:rPr>
              <w:t xml:space="preserve"> of </w:t>
            </w:r>
            <w:r w:rsidR="002F3EC6" w:rsidRPr="0080401C">
              <w:rPr>
                <w:rFonts w:eastAsia="Times New Roman" w:cs="Calibri"/>
                <w:color w:val="auto"/>
                <w:sz w:val="20"/>
                <w:szCs w:val="20"/>
                <w:lang w:val="en-US"/>
              </w:rPr>
              <w:t>good</w:t>
            </w:r>
            <w:r w:rsidRPr="0080401C">
              <w:rPr>
                <w:rFonts w:eastAsia="Times New Roman" w:cs="Calibri"/>
                <w:color w:val="auto"/>
                <w:sz w:val="20"/>
                <w:szCs w:val="20"/>
                <w:lang w:val="en-US"/>
              </w:rPr>
              <w:t xml:space="preserve"> completion are required)</w:t>
            </w:r>
            <w:bookmarkEnd w:id="87"/>
          </w:p>
        </w:tc>
        <w:tc>
          <w:tcPr>
            <w:tcW w:w="1475" w:type="dxa"/>
            <w:shd w:val="clear" w:color="auto" w:fill="auto"/>
            <w:vAlign w:val="center"/>
          </w:tcPr>
          <w:p w14:paraId="3C99B3F6" w14:textId="3FBA2433" w:rsidR="004F07DF" w:rsidRDefault="00CB6913" w:rsidP="009F6F46">
            <w:pPr>
              <w:spacing w:before="60" w:after="60"/>
              <w:jc w:val="center"/>
              <w:rPr>
                <w:rFonts w:eastAsia="MS Mincho"/>
                <w:b/>
                <w:bCs/>
                <w:color w:val="auto"/>
                <w:sz w:val="20"/>
                <w:szCs w:val="20"/>
                <w:lang w:val="en-US"/>
              </w:rPr>
            </w:pPr>
            <w:r>
              <w:rPr>
                <w:b/>
                <w:bCs/>
                <w:color w:val="auto"/>
                <w:sz w:val="20"/>
                <w:szCs w:val="20"/>
              </w:rPr>
              <w:t>4</w:t>
            </w:r>
            <w:r w:rsidR="004F07DF" w:rsidRPr="0080401C">
              <w:rPr>
                <w:b/>
                <w:bCs/>
                <w:color w:val="auto"/>
                <w:sz w:val="20"/>
                <w:szCs w:val="20"/>
              </w:rPr>
              <w:t xml:space="preserve"> </w:t>
            </w:r>
            <w:r w:rsidR="004F07DF" w:rsidRPr="0080401C">
              <w:rPr>
                <w:rFonts w:eastAsia="MS Mincho"/>
                <w:b/>
                <w:bCs/>
                <w:color w:val="auto"/>
                <w:sz w:val="20"/>
                <w:szCs w:val="20"/>
                <w:lang w:val="en-US"/>
              </w:rPr>
              <w:t>points</w:t>
            </w:r>
          </w:p>
          <w:p w14:paraId="10A07315" w14:textId="427351ED" w:rsidR="008D44DF" w:rsidRPr="0035031D" w:rsidRDefault="008D44DF" w:rsidP="009F6F46">
            <w:pPr>
              <w:spacing w:before="60" w:after="60"/>
              <w:jc w:val="center"/>
              <w:rPr>
                <w:rFonts w:eastAsia="MS Mincho"/>
                <w:color w:val="auto"/>
                <w:sz w:val="20"/>
                <w:szCs w:val="20"/>
                <w:lang w:val="en-US"/>
              </w:rPr>
            </w:pPr>
            <w:r w:rsidRPr="0035031D">
              <w:rPr>
                <w:rFonts w:eastAsia="MS Mincho"/>
                <w:color w:val="auto"/>
                <w:sz w:val="20"/>
                <w:szCs w:val="20"/>
                <w:lang w:val="en-US"/>
              </w:rPr>
              <w:t>(</w:t>
            </w:r>
            <w:r w:rsidR="00B827B0">
              <w:rPr>
                <w:rFonts w:eastAsia="MS Mincho"/>
                <w:color w:val="auto"/>
                <w:sz w:val="20"/>
                <w:szCs w:val="20"/>
                <w:lang w:val="en-US"/>
              </w:rPr>
              <w:t>4 =</w:t>
            </w:r>
            <w:r w:rsidR="001A2CFB" w:rsidRPr="0035031D">
              <w:rPr>
                <w:rFonts w:eastAsia="MS Mincho"/>
                <w:color w:val="auto"/>
                <w:sz w:val="20"/>
                <w:szCs w:val="20"/>
                <w:lang w:val="en-US"/>
              </w:rPr>
              <w:t xml:space="preserve"> </w:t>
            </w:r>
            <w:r w:rsidR="00DE2F21">
              <w:rPr>
                <w:rFonts w:eastAsia="MS Mincho"/>
                <w:color w:val="auto"/>
                <w:sz w:val="20"/>
                <w:szCs w:val="20"/>
                <w:lang w:val="en-US"/>
              </w:rPr>
              <w:t xml:space="preserve">5 years’ </w:t>
            </w:r>
            <w:r w:rsidR="001A2CFB" w:rsidRPr="0035031D">
              <w:rPr>
                <w:rFonts w:eastAsia="MS Mincho"/>
                <w:color w:val="auto"/>
                <w:sz w:val="20"/>
                <w:szCs w:val="20"/>
                <w:lang w:val="en-US"/>
              </w:rPr>
              <w:t xml:space="preserve">exp in </w:t>
            </w:r>
            <w:r w:rsidR="00B3746F">
              <w:rPr>
                <w:rFonts w:eastAsia="MS Mincho"/>
                <w:color w:val="auto"/>
                <w:sz w:val="20"/>
                <w:szCs w:val="20"/>
                <w:lang w:val="en-US"/>
              </w:rPr>
              <w:t>MNASRH</w:t>
            </w:r>
            <w:r w:rsidR="0069730E" w:rsidRPr="0035031D">
              <w:rPr>
                <w:rFonts w:eastAsia="MS Mincho"/>
                <w:color w:val="auto"/>
                <w:sz w:val="20"/>
                <w:szCs w:val="20"/>
                <w:lang w:val="en-US"/>
              </w:rPr>
              <w:t xml:space="preserve">, </w:t>
            </w:r>
            <w:r w:rsidR="0035031D" w:rsidRPr="0035031D">
              <w:rPr>
                <w:rFonts w:eastAsia="MS Mincho"/>
                <w:color w:val="auto"/>
                <w:sz w:val="20"/>
                <w:szCs w:val="20"/>
                <w:lang w:val="en-US"/>
              </w:rPr>
              <w:t>then decreasing)</w:t>
            </w:r>
          </w:p>
        </w:tc>
      </w:tr>
      <w:tr w:rsidR="0080401C" w:rsidRPr="0080401C" w14:paraId="0089959D" w14:textId="77777777" w:rsidTr="004B408A">
        <w:trPr>
          <w:trHeight w:val="480"/>
        </w:trPr>
        <w:tc>
          <w:tcPr>
            <w:tcW w:w="843" w:type="dxa"/>
            <w:vMerge w:val="restart"/>
            <w:shd w:val="clear" w:color="auto" w:fill="auto"/>
            <w:vAlign w:val="center"/>
          </w:tcPr>
          <w:p w14:paraId="1B9EE9D3" w14:textId="77777777" w:rsidR="004F07DF" w:rsidRPr="0080401C" w:rsidRDefault="004F07DF" w:rsidP="009F6F46">
            <w:pPr>
              <w:spacing w:before="60" w:after="60"/>
              <w:jc w:val="center"/>
              <w:rPr>
                <w:rFonts w:eastAsia="MS Mincho"/>
                <w:color w:val="auto"/>
                <w:sz w:val="20"/>
                <w:szCs w:val="20"/>
                <w:lang w:val="en-US"/>
              </w:rPr>
            </w:pPr>
            <w:r w:rsidRPr="0080401C">
              <w:rPr>
                <w:rFonts w:eastAsia="MS Mincho"/>
                <w:color w:val="auto"/>
                <w:sz w:val="20"/>
                <w:szCs w:val="20"/>
                <w:lang w:val="en-US"/>
              </w:rPr>
              <w:t>3</w:t>
            </w:r>
          </w:p>
        </w:tc>
        <w:tc>
          <w:tcPr>
            <w:tcW w:w="7780" w:type="dxa"/>
            <w:shd w:val="clear" w:color="auto" w:fill="auto"/>
            <w:vAlign w:val="center"/>
          </w:tcPr>
          <w:p w14:paraId="3A7D109B" w14:textId="70631201" w:rsidR="004F07DF" w:rsidRPr="003A73B2" w:rsidRDefault="003C316F" w:rsidP="009F6F46">
            <w:pPr>
              <w:spacing w:after="200"/>
              <w:contextualSpacing/>
              <w:rPr>
                <w:rFonts w:eastAsia="MS Mincho"/>
                <w:b/>
                <w:iCs/>
                <w:color w:val="auto"/>
                <w:sz w:val="20"/>
                <w:szCs w:val="20"/>
                <w:lang w:val="en-US"/>
              </w:rPr>
            </w:pPr>
            <w:r>
              <w:rPr>
                <w:rFonts w:eastAsia="MS Mincho" w:cs="Calibri Light"/>
                <w:b/>
                <w:iCs/>
                <w:color w:val="auto"/>
                <w:sz w:val="20"/>
                <w:szCs w:val="20"/>
                <w:lang w:val="en-US"/>
              </w:rPr>
              <w:t>S</w:t>
            </w:r>
            <w:r w:rsidR="004F07DF" w:rsidRPr="003A73B2">
              <w:rPr>
                <w:rFonts w:eastAsia="MS Mincho" w:cs="Calibri Light"/>
                <w:b/>
                <w:iCs/>
                <w:color w:val="auto"/>
                <w:sz w:val="20"/>
                <w:szCs w:val="20"/>
                <w:lang w:val="en-US"/>
              </w:rPr>
              <w:t>ocial scientist</w:t>
            </w:r>
            <w:r w:rsidR="009E0533" w:rsidRPr="003A73B2">
              <w:rPr>
                <w:rFonts w:eastAsia="MS Mincho" w:cs="Calibri Light"/>
                <w:b/>
                <w:iCs/>
                <w:color w:val="auto"/>
                <w:sz w:val="20"/>
                <w:szCs w:val="20"/>
                <w:lang w:val="en-US"/>
              </w:rPr>
              <w:t xml:space="preserve"> (in maternal, neonatal sexual and reproductive health)</w:t>
            </w:r>
          </w:p>
        </w:tc>
        <w:tc>
          <w:tcPr>
            <w:tcW w:w="1475" w:type="dxa"/>
            <w:shd w:val="clear" w:color="auto" w:fill="auto"/>
            <w:vAlign w:val="center"/>
          </w:tcPr>
          <w:p w14:paraId="6AF2D2B0" w14:textId="5D1D286D" w:rsidR="004F07DF" w:rsidRPr="0080401C" w:rsidRDefault="00590FB5" w:rsidP="009F6F46">
            <w:pPr>
              <w:spacing w:before="60" w:after="60"/>
              <w:jc w:val="center"/>
              <w:rPr>
                <w:rFonts w:eastAsia="MS Mincho"/>
                <w:b/>
                <w:color w:val="auto"/>
                <w:sz w:val="20"/>
                <w:szCs w:val="20"/>
                <w:lang w:val="en-US"/>
              </w:rPr>
            </w:pPr>
            <w:r>
              <w:rPr>
                <w:rFonts w:eastAsia="MS Mincho"/>
                <w:b/>
                <w:color w:val="auto"/>
                <w:sz w:val="20"/>
                <w:szCs w:val="20"/>
                <w:lang w:val="en-US"/>
              </w:rPr>
              <w:t>7</w:t>
            </w:r>
            <w:r w:rsidR="004F07DF" w:rsidRPr="0080401C">
              <w:rPr>
                <w:rFonts w:eastAsia="MS Mincho"/>
                <w:b/>
                <w:color w:val="auto"/>
                <w:sz w:val="20"/>
                <w:szCs w:val="20"/>
                <w:lang w:val="en-US"/>
              </w:rPr>
              <w:t xml:space="preserve"> points</w:t>
            </w:r>
          </w:p>
        </w:tc>
      </w:tr>
      <w:tr w:rsidR="0080401C" w:rsidRPr="0080401C" w14:paraId="3074E5AB" w14:textId="77777777" w:rsidTr="004B408A">
        <w:trPr>
          <w:trHeight w:val="480"/>
        </w:trPr>
        <w:tc>
          <w:tcPr>
            <w:tcW w:w="843" w:type="dxa"/>
            <w:vMerge/>
            <w:shd w:val="clear" w:color="auto" w:fill="auto"/>
            <w:vAlign w:val="center"/>
          </w:tcPr>
          <w:p w14:paraId="393D5C43" w14:textId="77777777" w:rsidR="004F07DF" w:rsidRPr="0080401C" w:rsidRDefault="004F07DF" w:rsidP="009F6F46">
            <w:pPr>
              <w:spacing w:before="60" w:after="60"/>
              <w:jc w:val="center"/>
              <w:rPr>
                <w:rFonts w:eastAsia="MS Mincho"/>
                <w:color w:val="auto"/>
                <w:sz w:val="20"/>
                <w:szCs w:val="20"/>
                <w:lang w:val="en-US"/>
              </w:rPr>
            </w:pPr>
          </w:p>
        </w:tc>
        <w:tc>
          <w:tcPr>
            <w:tcW w:w="7780" w:type="dxa"/>
            <w:shd w:val="clear" w:color="auto" w:fill="auto"/>
          </w:tcPr>
          <w:p w14:paraId="2EFA4688" w14:textId="77777777" w:rsidR="003C316F" w:rsidRDefault="004F07DF" w:rsidP="009F6F46">
            <w:pPr>
              <w:pStyle w:val="ListParagraph"/>
              <w:spacing w:after="0" w:line="264" w:lineRule="auto"/>
              <w:ind w:left="0"/>
              <w:contextualSpacing w:val="0"/>
              <w:jc w:val="both"/>
              <w:rPr>
                <w:rFonts w:eastAsia="Times New Roman" w:cs="Calibri"/>
                <w:color w:val="auto"/>
                <w:sz w:val="20"/>
                <w:szCs w:val="20"/>
                <w:lang w:val="en-US"/>
              </w:rPr>
            </w:pPr>
            <w:r w:rsidRPr="0080401C">
              <w:rPr>
                <w:rFonts w:eastAsia="Times New Roman" w:cs="Calibri"/>
                <w:color w:val="auto"/>
                <w:sz w:val="20"/>
                <w:szCs w:val="20"/>
                <w:lang w:val="en-US"/>
              </w:rPr>
              <w:t xml:space="preserve">The minimum required qualification is the </w:t>
            </w:r>
            <w:proofErr w:type="gramStart"/>
            <w:r w:rsidR="000F5687" w:rsidRPr="0080401C">
              <w:rPr>
                <w:rFonts w:eastAsia="Times New Roman" w:cs="Calibri"/>
                <w:color w:val="auto"/>
                <w:sz w:val="20"/>
                <w:szCs w:val="20"/>
                <w:lang w:val="en-US"/>
              </w:rPr>
              <w:t>M</w:t>
            </w:r>
            <w:r w:rsidRPr="0080401C">
              <w:rPr>
                <w:rFonts w:eastAsia="Times New Roman" w:cs="Calibri"/>
                <w:color w:val="auto"/>
                <w:sz w:val="20"/>
                <w:szCs w:val="20"/>
                <w:lang w:val="en-US"/>
              </w:rPr>
              <w:t>aster’s</w:t>
            </w:r>
            <w:proofErr w:type="gramEnd"/>
            <w:r w:rsidRPr="0080401C">
              <w:rPr>
                <w:rFonts w:eastAsia="Times New Roman" w:cs="Calibri"/>
                <w:color w:val="auto"/>
                <w:sz w:val="20"/>
                <w:szCs w:val="20"/>
                <w:lang w:val="en-US"/>
              </w:rPr>
              <w:t xml:space="preserve"> degree in </w:t>
            </w:r>
            <w:r w:rsidR="002F3EC6" w:rsidRPr="0080401C">
              <w:rPr>
                <w:rFonts w:eastAsia="Times New Roman" w:cs="Calibri"/>
                <w:color w:val="auto"/>
                <w:sz w:val="20"/>
                <w:szCs w:val="20"/>
                <w:lang w:val="en-US"/>
              </w:rPr>
              <w:t xml:space="preserve">sociology, </w:t>
            </w:r>
            <w:r w:rsidR="00A25BC7" w:rsidRPr="0080401C">
              <w:rPr>
                <w:rFonts w:eastAsia="Times New Roman" w:cs="Calibri"/>
                <w:color w:val="auto"/>
                <w:sz w:val="20"/>
                <w:szCs w:val="20"/>
                <w:lang w:val="en-US"/>
              </w:rPr>
              <w:t xml:space="preserve">anthropology, </w:t>
            </w:r>
            <w:r w:rsidR="00B8757C" w:rsidRPr="0080401C">
              <w:rPr>
                <w:rFonts w:eastAsia="Times New Roman" w:cs="Calibri"/>
                <w:color w:val="auto"/>
                <w:sz w:val="20"/>
                <w:szCs w:val="20"/>
                <w:lang w:val="en-US"/>
              </w:rPr>
              <w:t xml:space="preserve">community health, </w:t>
            </w:r>
            <w:r w:rsidR="002D7FF1" w:rsidRPr="0080401C">
              <w:rPr>
                <w:rFonts w:eastAsia="Times New Roman" w:cs="Calibri"/>
                <w:color w:val="auto"/>
                <w:sz w:val="20"/>
                <w:szCs w:val="20"/>
                <w:lang w:val="en-US"/>
              </w:rPr>
              <w:t xml:space="preserve">sexual and reproductive health, </w:t>
            </w:r>
            <w:r w:rsidRPr="0080401C">
              <w:rPr>
                <w:rFonts w:eastAsia="Times New Roman" w:cs="Calibri"/>
                <w:color w:val="auto"/>
                <w:sz w:val="20"/>
                <w:szCs w:val="20"/>
                <w:lang w:val="en-US"/>
              </w:rPr>
              <w:t xml:space="preserve">or equivalent with </w:t>
            </w:r>
            <w:r w:rsidR="00B8757C" w:rsidRPr="0080401C">
              <w:rPr>
                <w:rFonts w:eastAsia="Times New Roman" w:cs="Calibri"/>
                <w:color w:val="auto"/>
                <w:sz w:val="20"/>
                <w:szCs w:val="20"/>
                <w:lang w:val="en-US"/>
              </w:rPr>
              <w:t>5</w:t>
            </w:r>
            <w:r w:rsidRPr="0080401C">
              <w:rPr>
                <w:rFonts w:eastAsia="Times New Roman" w:cs="Calibri"/>
                <w:color w:val="auto"/>
                <w:sz w:val="20"/>
                <w:szCs w:val="20"/>
                <w:lang w:val="en-US"/>
              </w:rPr>
              <w:t xml:space="preserve"> years’ experience. </w:t>
            </w:r>
          </w:p>
          <w:p w14:paraId="42DDF851" w14:textId="77777777" w:rsidR="003C316F" w:rsidRDefault="003C316F" w:rsidP="009F6F46">
            <w:pPr>
              <w:pStyle w:val="ListParagraph"/>
              <w:spacing w:after="0" w:line="264" w:lineRule="auto"/>
              <w:ind w:left="0"/>
              <w:contextualSpacing w:val="0"/>
              <w:jc w:val="both"/>
              <w:rPr>
                <w:rFonts w:eastAsia="Times New Roman" w:cs="Calibri"/>
                <w:color w:val="auto"/>
                <w:sz w:val="20"/>
                <w:szCs w:val="20"/>
                <w:lang w:val="en-US"/>
              </w:rPr>
            </w:pPr>
          </w:p>
          <w:p w14:paraId="020940F9" w14:textId="52708CFF" w:rsidR="004F07DF" w:rsidRPr="0080401C" w:rsidRDefault="004F07DF" w:rsidP="009F6F46">
            <w:pPr>
              <w:pStyle w:val="ListParagraph"/>
              <w:spacing w:after="0" w:line="264" w:lineRule="auto"/>
              <w:ind w:left="0"/>
              <w:contextualSpacing w:val="0"/>
              <w:jc w:val="both"/>
              <w:rPr>
                <w:rFonts w:eastAsia="Times New Roman" w:cs="Calibri"/>
                <w:color w:val="auto"/>
                <w:sz w:val="20"/>
                <w:szCs w:val="20"/>
                <w:lang w:val="en-US"/>
              </w:rPr>
            </w:pPr>
            <w:r w:rsidRPr="0080401C">
              <w:rPr>
                <w:rFonts w:eastAsia="Times New Roman" w:cs="Calibri"/>
                <w:color w:val="auto"/>
                <w:sz w:val="20"/>
                <w:szCs w:val="20"/>
                <w:lang w:val="en-US"/>
              </w:rPr>
              <w:t xml:space="preserve">The preferred profile is the master’s degree in public health, </w:t>
            </w:r>
            <w:r w:rsidR="00A25BC7" w:rsidRPr="0080401C">
              <w:rPr>
                <w:rFonts w:eastAsia="Times New Roman" w:cs="Calibri"/>
                <w:color w:val="auto"/>
                <w:sz w:val="20"/>
                <w:szCs w:val="20"/>
                <w:lang w:val="en-US"/>
              </w:rPr>
              <w:t xml:space="preserve">sociology, anthropology, </w:t>
            </w:r>
            <w:r w:rsidRPr="0080401C">
              <w:rPr>
                <w:rFonts w:eastAsia="Times New Roman" w:cs="Calibri"/>
                <w:color w:val="auto"/>
                <w:sz w:val="20"/>
                <w:szCs w:val="20"/>
                <w:lang w:val="en-US"/>
              </w:rPr>
              <w:t xml:space="preserve">or equivalent with </w:t>
            </w:r>
            <w:r w:rsidR="00B8757C" w:rsidRPr="0080401C">
              <w:rPr>
                <w:rFonts w:eastAsia="Times New Roman" w:cs="Calibri"/>
                <w:color w:val="auto"/>
                <w:sz w:val="20"/>
                <w:szCs w:val="20"/>
                <w:lang w:val="en-US"/>
              </w:rPr>
              <w:t>7</w:t>
            </w:r>
            <w:r w:rsidRPr="0080401C">
              <w:rPr>
                <w:rFonts w:eastAsia="Times New Roman" w:cs="Calibri"/>
                <w:color w:val="auto"/>
                <w:sz w:val="20"/>
                <w:szCs w:val="20"/>
                <w:lang w:val="en-US"/>
              </w:rPr>
              <w:t xml:space="preserve"> years’ experience. </w:t>
            </w:r>
          </w:p>
          <w:p w14:paraId="178A4B68" w14:textId="7F8181A7" w:rsidR="004F07DF" w:rsidRPr="0080401C" w:rsidRDefault="004F07DF" w:rsidP="009F6F46">
            <w:pPr>
              <w:pStyle w:val="ListParagraph"/>
              <w:spacing w:after="0" w:line="264" w:lineRule="auto"/>
              <w:ind w:left="0"/>
              <w:contextualSpacing w:val="0"/>
              <w:jc w:val="both"/>
              <w:rPr>
                <w:rFonts w:eastAsia="Times New Roman" w:cs="Calibri"/>
                <w:color w:val="auto"/>
                <w:sz w:val="20"/>
                <w:szCs w:val="20"/>
                <w:lang w:val="en-US"/>
              </w:rPr>
            </w:pPr>
          </w:p>
        </w:tc>
        <w:tc>
          <w:tcPr>
            <w:tcW w:w="1475" w:type="dxa"/>
            <w:shd w:val="clear" w:color="auto" w:fill="auto"/>
            <w:vAlign w:val="center"/>
          </w:tcPr>
          <w:p w14:paraId="6AFE21AB" w14:textId="28B8A632" w:rsidR="003C316F" w:rsidRPr="003C316F" w:rsidRDefault="00B537DF" w:rsidP="003C316F">
            <w:pPr>
              <w:spacing w:before="60" w:after="60"/>
              <w:jc w:val="center"/>
              <w:rPr>
                <w:rFonts w:eastAsia="MS Mincho"/>
                <w:color w:val="auto"/>
                <w:sz w:val="20"/>
                <w:szCs w:val="20"/>
                <w:lang w:val="en-US"/>
              </w:rPr>
            </w:pPr>
            <w:r>
              <w:rPr>
                <w:rFonts w:eastAsia="MS Mincho"/>
                <w:b/>
                <w:bCs/>
                <w:color w:val="auto"/>
                <w:sz w:val="20"/>
                <w:szCs w:val="20"/>
                <w:lang w:val="en-US"/>
              </w:rPr>
              <w:t>2</w:t>
            </w:r>
            <w:r w:rsidR="003C316F" w:rsidRPr="00612820">
              <w:rPr>
                <w:rFonts w:eastAsia="MS Mincho"/>
                <w:b/>
                <w:bCs/>
                <w:color w:val="auto"/>
                <w:sz w:val="20"/>
                <w:szCs w:val="20"/>
                <w:lang w:val="en-US"/>
              </w:rPr>
              <w:t xml:space="preserve"> point</w:t>
            </w:r>
            <w:r w:rsidR="00DE2F21">
              <w:rPr>
                <w:rFonts w:eastAsia="MS Mincho"/>
                <w:b/>
                <w:bCs/>
                <w:color w:val="auto"/>
                <w:sz w:val="20"/>
                <w:szCs w:val="20"/>
                <w:lang w:val="en-US"/>
              </w:rPr>
              <w:t>s</w:t>
            </w:r>
            <w:r w:rsidR="003C316F" w:rsidRPr="003C316F">
              <w:rPr>
                <w:rFonts w:eastAsia="MS Mincho"/>
                <w:color w:val="auto"/>
                <w:sz w:val="20"/>
                <w:szCs w:val="20"/>
                <w:lang w:val="en-US"/>
              </w:rPr>
              <w:t xml:space="preserve"> for the master qualifications</w:t>
            </w:r>
          </w:p>
          <w:p w14:paraId="325E9B9A" w14:textId="77777777" w:rsidR="003C316F" w:rsidRPr="003C316F" w:rsidRDefault="003C316F" w:rsidP="003C316F">
            <w:pPr>
              <w:spacing w:before="60" w:after="60"/>
              <w:jc w:val="center"/>
              <w:rPr>
                <w:rFonts w:eastAsia="MS Mincho"/>
                <w:color w:val="auto"/>
                <w:sz w:val="20"/>
                <w:szCs w:val="20"/>
                <w:lang w:val="en-US"/>
              </w:rPr>
            </w:pPr>
            <w:r w:rsidRPr="003C316F">
              <w:rPr>
                <w:rFonts w:eastAsia="MS Mincho"/>
                <w:color w:val="auto"/>
                <w:sz w:val="20"/>
                <w:szCs w:val="20"/>
                <w:lang w:val="en-US"/>
              </w:rPr>
              <w:t>(o if no master)</w:t>
            </w:r>
          </w:p>
          <w:p w14:paraId="2F7B839D" w14:textId="66CE7788" w:rsidR="004F07DF" w:rsidRPr="0080401C" w:rsidRDefault="00335283" w:rsidP="003C316F">
            <w:pPr>
              <w:spacing w:before="60" w:after="60"/>
              <w:jc w:val="center"/>
              <w:rPr>
                <w:rFonts w:eastAsia="MS Mincho"/>
                <w:color w:val="auto"/>
                <w:sz w:val="20"/>
                <w:szCs w:val="20"/>
                <w:lang w:val="en-US"/>
              </w:rPr>
            </w:pPr>
            <w:r>
              <w:rPr>
                <w:rFonts w:eastAsia="MS Mincho"/>
                <w:b/>
                <w:bCs/>
                <w:color w:val="auto"/>
                <w:sz w:val="20"/>
                <w:szCs w:val="20"/>
                <w:lang w:val="en-US"/>
              </w:rPr>
              <w:t>2</w:t>
            </w:r>
            <w:r w:rsidR="003C316F" w:rsidRPr="00612820">
              <w:rPr>
                <w:rFonts w:eastAsia="MS Mincho"/>
                <w:b/>
                <w:bCs/>
                <w:color w:val="auto"/>
                <w:sz w:val="20"/>
                <w:szCs w:val="20"/>
                <w:lang w:val="en-US"/>
              </w:rPr>
              <w:t xml:space="preserve"> points</w:t>
            </w:r>
            <w:r w:rsidR="003C316F" w:rsidRPr="003C316F">
              <w:rPr>
                <w:rFonts w:eastAsia="MS Mincho"/>
                <w:color w:val="auto"/>
                <w:sz w:val="20"/>
                <w:szCs w:val="20"/>
                <w:lang w:val="en-US"/>
              </w:rPr>
              <w:t xml:space="preserve"> for the experience (</w:t>
            </w:r>
            <w:r w:rsidR="00612820">
              <w:rPr>
                <w:rFonts w:eastAsia="MS Mincho"/>
                <w:color w:val="auto"/>
                <w:sz w:val="20"/>
                <w:szCs w:val="20"/>
                <w:lang w:val="en-US"/>
              </w:rPr>
              <w:t>4 =</w:t>
            </w:r>
            <w:r w:rsidR="003C316F" w:rsidRPr="003C316F">
              <w:rPr>
                <w:rFonts w:eastAsia="MS Mincho"/>
                <w:color w:val="auto"/>
                <w:sz w:val="20"/>
                <w:szCs w:val="20"/>
                <w:lang w:val="en-US"/>
              </w:rPr>
              <w:t xml:space="preserve"> for 7 years in </w:t>
            </w:r>
            <w:r w:rsidR="00B3746F">
              <w:rPr>
                <w:rFonts w:eastAsia="MS Mincho"/>
                <w:color w:val="auto"/>
                <w:sz w:val="20"/>
                <w:szCs w:val="20"/>
                <w:lang w:val="en-US"/>
              </w:rPr>
              <w:t>MNASRH</w:t>
            </w:r>
            <w:r w:rsidR="003C316F" w:rsidRPr="003C316F">
              <w:rPr>
                <w:rFonts w:eastAsia="MS Mincho"/>
                <w:color w:val="auto"/>
                <w:sz w:val="20"/>
                <w:szCs w:val="20"/>
                <w:lang w:val="en-US"/>
              </w:rPr>
              <w:t>, then decreasing)</w:t>
            </w:r>
          </w:p>
        </w:tc>
      </w:tr>
      <w:tr w:rsidR="0080401C" w:rsidRPr="0080401C" w14:paraId="60E15DE8" w14:textId="77777777" w:rsidTr="004B408A">
        <w:trPr>
          <w:trHeight w:val="480"/>
        </w:trPr>
        <w:tc>
          <w:tcPr>
            <w:tcW w:w="843" w:type="dxa"/>
            <w:vMerge/>
            <w:shd w:val="clear" w:color="auto" w:fill="auto"/>
            <w:vAlign w:val="center"/>
          </w:tcPr>
          <w:p w14:paraId="0F9B9D7A" w14:textId="77777777" w:rsidR="004F07DF" w:rsidRPr="0080401C" w:rsidRDefault="004F07DF" w:rsidP="009F6F46">
            <w:pPr>
              <w:spacing w:before="60" w:after="60"/>
              <w:jc w:val="center"/>
              <w:rPr>
                <w:rFonts w:eastAsia="MS Mincho"/>
                <w:color w:val="auto"/>
                <w:sz w:val="20"/>
                <w:szCs w:val="20"/>
                <w:lang w:val="en-US"/>
              </w:rPr>
            </w:pPr>
          </w:p>
        </w:tc>
        <w:tc>
          <w:tcPr>
            <w:tcW w:w="7780" w:type="dxa"/>
            <w:shd w:val="clear" w:color="auto" w:fill="auto"/>
          </w:tcPr>
          <w:p w14:paraId="5FF50851" w14:textId="2EEAF21F" w:rsidR="004F07DF" w:rsidRPr="0080401C" w:rsidRDefault="00590FB5" w:rsidP="009F6F46">
            <w:pPr>
              <w:pStyle w:val="ListParagraph"/>
              <w:spacing w:after="0" w:line="264" w:lineRule="auto"/>
              <w:ind w:left="0"/>
              <w:contextualSpacing w:val="0"/>
              <w:jc w:val="both"/>
              <w:rPr>
                <w:rFonts w:eastAsia="Times New Roman" w:cs="Calibri"/>
                <w:color w:val="auto"/>
                <w:sz w:val="20"/>
                <w:szCs w:val="20"/>
                <w:lang w:val="en-US"/>
              </w:rPr>
            </w:pPr>
            <w:r>
              <w:rPr>
                <w:rFonts w:eastAsia="Times New Roman" w:cs="Calibri"/>
                <w:color w:val="auto"/>
                <w:sz w:val="20"/>
                <w:szCs w:val="20"/>
                <w:lang w:val="en-US"/>
              </w:rPr>
              <w:t xml:space="preserve">Minimum </w:t>
            </w:r>
            <w:r w:rsidR="00A25BC7" w:rsidRPr="0080401C">
              <w:rPr>
                <w:rFonts w:eastAsia="Times New Roman" w:cs="Calibri"/>
                <w:color w:val="auto"/>
                <w:sz w:val="20"/>
                <w:szCs w:val="20"/>
                <w:lang w:val="en-US"/>
              </w:rPr>
              <w:t>3</w:t>
            </w:r>
            <w:r w:rsidR="004F07DF" w:rsidRPr="0080401C">
              <w:rPr>
                <w:rFonts w:eastAsia="Times New Roman" w:cs="Calibri"/>
                <w:color w:val="auto"/>
                <w:sz w:val="20"/>
                <w:szCs w:val="20"/>
                <w:lang w:val="en-US"/>
              </w:rPr>
              <w:t xml:space="preserve"> years’ experience </w:t>
            </w:r>
            <w:r w:rsidR="00A25BC7" w:rsidRPr="0080401C">
              <w:rPr>
                <w:rFonts w:eastAsia="Times New Roman" w:cs="Calibri"/>
                <w:color w:val="auto"/>
                <w:sz w:val="20"/>
                <w:szCs w:val="20"/>
                <w:lang w:val="en-US"/>
              </w:rPr>
              <w:t>of working with the community</w:t>
            </w:r>
          </w:p>
        </w:tc>
        <w:tc>
          <w:tcPr>
            <w:tcW w:w="1475" w:type="dxa"/>
            <w:shd w:val="clear" w:color="auto" w:fill="auto"/>
            <w:vAlign w:val="center"/>
          </w:tcPr>
          <w:p w14:paraId="26BD819F" w14:textId="77777777" w:rsidR="00BC7450" w:rsidRDefault="00590FB5" w:rsidP="009F6F46">
            <w:pPr>
              <w:spacing w:before="60" w:after="60"/>
              <w:jc w:val="center"/>
              <w:rPr>
                <w:rFonts w:eastAsia="MS Mincho"/>
                <w:b/>
                <w:bCs/>
                <w:color w:val="auto"/>
                <w:sz w:val="20"/>
                <w:szCs w:val="20"/>
                <w:lang w:val="en-US"/>
              </w:rPr>
            </w:pPr>
            <w:r>
              <w:rPr>
                <w:rFonts w:eastAsia="MS Mincho"/>
                <w:b/>
                <w:bCs/>
                <w:color w:val="auto"/>
                <w:sz w:val="20"/>
                <w:szCs w:val="20"/>
                <w:lang w:val="en-US"/>
              </w:rPr>
              <w:t>3</w:t>
            </w:r>
            <w:r w:rsidR="004F07DF" w:rsidRPr="0080401C">
              <w:rPr>
                <w:rFonts w:eastAsia="MS Mincho"/>
                <w:b/>
                <w:bCs/>
                <w:color w:val="auto"/>
                <w:sz w:val="20"/>
                <w:szCs w:val="20"/>
                <w:lang w:val="en-US"/>
              </w:rPr>
              <w:t xml:space="preserve"> Points</w:t>
            </w:r>
            <w:r>
              <w:rPr>
                <w:rFonts w:eastAsia="MS Mincho"/>
                <w:b/>
                <w:bCs/>
                <w:color w:val="auto"/>
                <w:sz w:val="20"/>
                <w:szCs w:val="20"/>
                <w:lang w:val="en-US"/>
              </w:rPr>
              <w:t xml:space="preserve"> </w:t>
            </w:r>
          </w:p>
          <w:p w14:paraId="564CF1B4" w14:textId="15061E1A" w:rsidR="004F07DF" w:rsidRPr="0080401C" w:rsidRDefault="00590FB5" w:rsidP="009F6F46">
            <w:pPr>
              <w:spacing w:before="60" w:after="60"/>
              <w:jc w:val="center"/>
              <w:rPr>
                <w:rFonts w:eastAsia="MS Mincho"/>
                <w:b/>
                <w:bCs/>
                <w:color w:val="auto"/>
                <w:sz w:val="20"/>
                <w:szCs w:val="20"/>
                <w:lang w:val="en-US"/>
              </w:rPr>
            </w:pPr>
            <w:r w:rsidRPr="00BC7450">
              <w:rPr>
                <w:rFonts w:eastAsia="MS Mincho"/>
                <w:color w:val="auto"/>
                <w:sz w:val="20"/>
                <w:szCs w:val="20"/>
                <w:lang w:val="en-US"/>
              </w:rPr>
              <w:t>(3 =</w:t>
            </w:r>
            <w:r w:rsidR="00204118" w:rsidRPr="00BC7450">
              <w:rPr>
                <w:rFonts w:eastAsia="MS Mincho"/>
                <w:color w:val="auto"/>
                <w:sz w:val="20"/>
                <w:szCs w:val="20"/>
                <w:lang w:val="en-US"/>
              </w:rPr>
              <w:t xml:space="preserve"> ≥ 5 years, 2 = 4</w:t>
            </w:r>
            <w:r w:rsidR="00BC7450" w:rsidRPr="00BC7450">
              <w:rPr>
                <w:rFonts w:eastAsia="MS Mincho"/>
                <w:color w:val="auto"/>
                <w:sz w:val="20"/>
                <w:szCs w:val="20"/>
                <w:lang w:val="en-US"/>
              </w:rPr>
              <w:t>, 1 =3)</w:t>
            </w:r>
          </w:p>
        </w:tc>
      </w:tr>
      <w:tr w:rsidR="00EE7045" w:rsidRPr="0080401C" w14:paraId="3E033832" w14:textId="77777777" w:rsidTr="00833E4D">
        <w:trPr>
          <w:trHeight w:val="480"/>
        </w:trPr>
        <w:tc>
          <w:tcPr>
            <w:tcW w:w="10098" w:type="dxa"/>
            <w:gridSpan w:val="3"/>
            <w:shd w:val="clear" w:color="auto" w:fill="auto"/>
            <w:vAlign w:val="center"/>
          </w:tcPr>
          <w:p w14:paraId="6BA1ECB8" w14:textId="7A0A86FA" w:rsidR="00EE7045" w:rsidRDefault="00EE7045" w:rsidP="009F6F46">
            <w:pPr>
              <w:spacing w:before="60" w:after="60"/>
              <w:jc w:val="center"/>
              <w:rPr>
                <w:rFonts w:eastAsia="MS Mincho"/>
                <w:b/>
                <w:bCs/>
                <w:color w:val="auto"/>
                <w:sz w:val="20"/>
                <w:szCs w:val="20"/>
                <w:lang w:val="en-US"/>
              </w:rPr>
            </w:pPr>
            <w:r w:rsidRPr="008A398C">
              <w:rPr>
                <w:rFonts w:eastAsia="MS Mincho"/>
                <w:b/>
                <w:bCs/>
                <w:color w:val="auto"/>
                <w:sz w:val="20"/>
                <w:szCs w:val="20"/>
                <w:highlight w:val="yellow"/>
                <w:lang w:val="en-US"/>
              </w:rPr>
              <w:t xml:space="preserve">For these 3 posts, </w:t>
            </w:r>
            <w:r w:rsidR="002D2173" w:rsidRPr="008A398C">
              <w:rPr>
                <w:rFonts w:eastAsia="MS Mincho"/>
                <w:b/>
                <w:bCs/>
                <w:color w:val="auto"/>
                <w:sz w:val="20"/>
                <w:szCs w:val="20"/>
                <w:highlight w:val="yellow"/>
                <w:lang w:val="en-US"/>
              </w:rPr>
              <w:t>f</w:t>
            </w:r>
            <w:r w:rsidRPr="008A398C">
              <w:rPr>
                <w:rFonts w:eastAsia="MS Mincho"/>
                <w:b/>
                <w:bCs/>
                <w:color w:val="auto"/>
                <w:sz w:val="20"/>
                <w:szCs w:val="20"/>
                <w:highlight w:val="yellow"/>
                <w:lang w:val="en-US"/>
              </w:rPr>
              <w:t xml:space="preserve">ailing to have </w:t>
            </w:r>
            <w:r w:rsidR="002D2173" w:rsidRPr="008A398C">
              <w:rPr>
                <w:rFonts w:eastAsia="MS Mincho"/>
                <w:b/>
                <w:bCs/>
                <w:color w:val="auto"/>
                <w:sz w:val="20"/>
                <w:szCs w:val="20"/>
                <w:highlight w:val="yellow"/>
                <w:lang w:val="en-US"/>
              </w:rPr>
              <w:t>required qualification</w:t>
            </w:r>
            <w:r w:rsidRPr="008A398C">
              <w:rPr>
                <w:rFonts w:eastAsia="MS Mincho"/>
                <w:b/>
                <w:bCs/>
                <w:color w:val="auto"/>
                <w:sz w:val="20"/>
                <w:szCs w:val="20"/>
                <w:highlight w:val="yellow"/>
                <w:lang w:val="en-US"/>
              </w:rPr>
              <w:t xml:space="preserve"> OR the minimum experience OR advanced level in English leads to the rejection of the bid</w:t>
            </w:r>
          </w:p>
        </w:tc>
      </w:tr>
      <w:tr w:rsidR="00A97024" w:rsidRPr="0080401C" w14:paraId="22436FC3" w14:textId="77777777" w:rsidTr="004B408A">
        <w:trPr>
          <w:trHeight w:val="480"/>
        </w:trPr>
        <w:tc>
          <w:tcPr>
            <w:tcW w:w="843" w:type="dxa"/>
            <w:shd w:val="clear" w:color="auto" w:fill="auto"/>
            <w:vAlign w:val="center"/>
          </w:tcPr>
          <w:p w14:paraId="61427925" w14:textId="1023611D" w:rsidR="00A97024" w:rsidRPr="0080401C" w:rsidRDefault="00A97024" w:rsidP="009F6F46">
            <w:pPr>
              <w:spacing w:before="60" w:after="60"/>
              <w:jc w:val="center"/>
              <w:rPr>
                <w:rFonts w:eastAsia="MS Mincho"/>
                <w:color w:val="auto"/>
                <w:sz w:val="20"/>
                <w:szCs w:val="20"/>
                <w:lang w:val="en-US"/>
              </w:rPr>
            </w:pPr>
            <w:r>
              <w:rPr>
                <w:rFonts w:eastAsia="MS Mincho"/>
                <w:color w:val="auto"/>
                <w:sz w:val="20"/>
                <w:szCs w:val="20"/>
                <w:lang w:val="en-US"/>
              </w:rPr>
              <w:t>4</w:t>
            </w:r>
          </w:p>
        </w:tc>
        <w:tc>
          <w:tcPr>
            <w:tcW w:w="7780" w:type="dxa"/>
            <w:shd w:val="clear" w:color="auto" w:fill="auto"/>
          </w:tcPr>
          <w:p w14:paraId="4E2E72B5" w14:textId="4F542322" w:rsidR="00A97024" w:rsidRPr="0012224A" w:rsidRDefault="00AD3DD4" w:rsidP="00231BA6">
            <w:pPr>
              <w:pStyle w:val="ListParagraph"/>
              <w:spacing w:after="0" w:line="264" w:lineRule="auto"/>
              <w:ind w:left="0"/>
              <w:contextualSpacing w:val="0"/>
              <w:jc w:val="both"/>
              <w:rPr>
                <w:rFonts w:eastAsia="Times New Roman" w:cs="Calibri"/>
                <w:b/>
                <w:bCs/>
                <w:color w:val="auto"/>
                <w:sz w:val="20"/>
                <w:szCs w:val="20"/>
                <w:lang w:val="en-US"/>
              </w:rPr>
            </w:pPr>
            <w:r>
              <w:rPr>
                <w:rFonts w:eastAsia="Times New Roman" w:cs="Calibri"/>
                <w:b/>
                <w:bCs/>
                <w:color w:val="auto"/>
                <w:sz w:val="20"/>
                <w:szCs w:val="20"/>
                <w:lang w:val="en-US"/>
              </w:rPr>
              <w:t xml:space="preserve">Social and </w:t>
            </w:r>
            <w:r w:rsidR="009639C2">
              <w:rPr>
                <w:rFonts w:eastAsia="Times New Roman" w:cs="Calibri"/>
                <w:b/>
                <w:bCs/>
                <w:color w:val="auto"/>
                <w:sz w:val="20"/>
                <w:szCs w:val="20"/>
                <w:lang w:val="en-US"/>
              </w:rPr>
              <w:t xml:space="preserve">Behavior </w:t>
            </w:r>
            <w:r w:rsidR="0012224A" w:rsidRPr="0012224A">
              <w:rPr>
                <w:rFonts w:eastAsia="Times New Roman" w:cs="Calibri"/>
                <w:b/>
                <w:bCs/>
                <w:color w:val="auto"/>
                <w:sz w:val="20"/>
                <w:szCs w:val="20"/>
                <w:lang w:val="en-US"/>
              </w:rPr>
              <w:t>Change</w:t>
            </w:r>
            <w:r w:rsidR="00732C5F">
              <w:rPr>
                <w:rFonts w:eastAsia="Times New Roman" w:cs="Calibri"/>
                <w:b/>
                <w:bCs/>
                <w:color w:val="auto"/>
                <w:sz w:val="20"/>
                <w:szCs w:val="20"/>
                <w:lang w:val="en-US"/>
              </w:rPr>
              <w:t xml:space="preserve"> (SBC)</w:t>
            </w:r>
            <w:r w:rsidR="0012224A" w:rsidRPr="0012224A">
              <w:rPr>
                <w:rFonts w:eastAsia="Times New Roman" w:cs="Calibri"/>
                <w:b/>
                <w:bCs/>
                <w:color w:val="auto"/>
                <w:sz w:val="20"/>
                <w:szCs w:val="20"/>
                <w:lang w:val="en-US"/>
              </w:rPr>
              <w:t xml:space="preserve"> Agent</w:t>
            </w:r>
            <w:r>
              <w:rPr>
                <w:rFonts w:eastAsia="Times New Roman" w:cs="Calibri"/>
                <w:b/>
                <w:bCs/>
                <w:color w:val="auto"/>
                <w:sz w:val="20"/>
                <w:szCs w:val="20"/>
                <w:lang w:val="en-US"/>
              </w:rPr>
              <w:t>/Specialist</w:t>
            </w:r>
          </w:p>
        </w:tc>
        <w:tc>
          <w:tcPr>
            <w:tcW w:w="1475" w:type="dxa"/>
            <w:shd w:val="clear" w:color="auto" w:fill="auto"/>
            <w:vAlign w:val="center"/>
          </w:tcPr>
          <w:p w14:paraId="66F363AA" w14:textId="29C487CA" w:rsidR="00A97024" w:rsidRPr="0080401C" w:rsidRDefault="0012224A" w:rsidP="009F6F46">
            <w:pPr>
              <w:spacing w:before="60" w:after="60"/>
              <w:jc w:val="center"/>
              <w:rPr>
                <w:rFonts w:eastAsia="MS Mincho"/>
                <w:b/>
                <w:bCs/>
                <w:color w:val="auto"/>
                <w:sz w:val="20"/>
                <w:szCs w:val="20"/>
                <w:lang w:val="en-US"/>
              </w:rPr>
            </w:pPr>
            <w:r>
              <w:rPr>
                <w:rFonts w:eastAsia="MS Mincho"/>
                <w:b/>
                <w:bCs/>
                <w:color w:val="auto"/>
                <w:sz w:val="20"/>
                <w:szCs w:val="20"/>
                <w:lang w:val="en-US"/>
              </w:rPr>
              <w:t>5 points</w:t>
            </w:r>
          </w:p>
        </w:tc>
      </w:tr>
      <w:tr w:rsidR="0012224A" w:rsidRPr="0080401C" w14:paraId="3806946C" w14:textId="77777777" w:rsidTr="004B408A">
        <w:trPr>
          <w:trHeight w:val="480"/>
        </w:trPr>
        <w:tc>
          <w:tcPr>
            <w:tcW w:w="843" w:type="dxa"/>
            <w:shd w:val="clear" w:color="auto" w:fill="auto"/>
            <w:vAlign w:val="center"/>
          </w:tcPr>
          <w:p w14:paraId="0B087D24" w14:textId="77777777" w:rsidR="0012224A" w:rsidRDefault="0012224A" w:rsidP="009F6F46">
            <w:pPr>
              <w:spacing w:before="60" w:after="60"/>
              <w:jc w:val="center"/>
              <w:rPr>
                <w:rFonts w:eastAsia="MS Mincho"/>
                <w:color w:val="auto"/>
                <w:sz w:val="20"/>
                <w:szCs w:val="20"/>
                <w:lang w:val="en-US"/>
              </w:rPr>
            </w:pPr>
          </w:p>
        </w:tc>
        <w:tc>
          <w:tcPr>
            <w:tcW w:w="7780" w:type="dxa"/>
            <w:shd w:val="clear" w:color="auto" w:fill="auto"/>
          </w:tcPr>
          <w:p w14:paraId="71A4C754" w14:textId="77879BE7" w:rsidR="00616E0F" w:rsidRDefault="00634EB2" w:rsidP="00231BA6">
            <w:pPr>
              <w:pStyle w:val="ListParagraph"/>
              <w:spacing w:after="0" w:line="264" w:lineRule="auto"/>
              <w:ind w:left="0"/>
              <w:contextualSpacing w:val="0"/>
              <w:jc w:val="both"/>
              <w:rPr>
                <w:rFonts w:eastAsia="Times New Roman" w:cs="Calibri"/>
                <w:color w:val="auto"/>
                <w:sz w:val="20"/>
                <w:szCs w:val="20"/>
                <w:lang w:val="en-US"/>
              </w:rPr>
            </w:pPr>
            <w:r w:rsidRPr="001A769B">
              <w:rPr>
                <w:rFonts w:eastAsia="Times New Roman" w:cs="Calibri"/>
                <w:color w:val="auto"/>
                <w:sz w:val="20"/>
                <w:szCs w:val="20"/>
                <w:lang w:val="en-US"/>
              </w:rPr>
              <w:t xml:space="preserve">The team should include </w:t>
            </w:r>
            <w:proofErr w:type="gramStart"/>
            <w:r w:rsidRPr="001A769B">
              <w:rPr>
                <w:rFonts w:eastAsia="Times New Roman" w:cs="Calibri"/>
                <w:color w:val="auto"/>
                <w:sz w:val="20"/>
                <w:szCs w:val="20"/>
                <w:lang w:val="en-US"/>
              </w:rPr>
              <w:t>a</w:t>
            </w:r>
            <w:proofErr w:type="gramEnd"/>
            <w:r w:rsidRPr="001A769B">
              <w:rPr>
                <w:rFonts w:eastAsia="Times New Roman" w:cs="Calibri"/>
                <w:color w:val="auto"/>
                <w:sz w:val="20"/>
                <w:szCs w:val="20"/>
                <w:lang w:val="en-US"/>
              </w:rPr>
              <w:t xml:space="preserve"> </w:t>
            </w:r>
            <w:r w:rsidR="00732C5F">
              <w:rPr>
                <w:rFonts w:eastAsia="Times New Roman" w:cs="Calibri"/>
                <w:color w:val="auto"/>
                <w:sz w:val="20"/>
                <w:szCs w:val="20"/>
                <w:lang w:val="en-US"/>
              </w:rPr>
              <w:t>S</w:t>
            </w:r>
            <w:r w:rsidR="009639C2">
              <w:rPr>
                <w:rFonts w:eastAsia="Times New Roman" w:cs="Calibri"/>
                <w:color w:val="auto"/>
                <w:sz w:val="20"/>
                <w:szCs w:val="20"/>
                <w:lang w:val="en-US"/>
              </w:rPr>
              <w:t>BC</w:t>
            </w:r>
            <w:r w:rsidR="00732C5F">
              <w:rPr>
                <w:rFonts w:eastAsia="Times New Roman" w:cs="Calibri"/>
                <w:color w:val="auto"/>
                <w:sz w:val="20"/>
                <w:szCs w:val="20"/>
                <w:lang w:val="en-US"/>
              </w:rPr>
              <w:t xml:space="preserve"> </w:t>
            </w:r>
            <w:r w:rsidR="009639C2">
              <w:rPr>
                <w:rFonts w:eastAsia="Times New Roman" w:cs="Calibri"/>
                <w:color w:val="auto"/>
                <w:sz w:val="20"/>
                <w:szCs w:val="20"/>
                <w:lang w:val="en-US"/>
              </w:rPr>
              <w:t>A</w:t>
            </w:r>
            <w:r w:rsidR="00732C5F">
              <w:rPr>
                <w:rFonts w:eastAsia="Times New Roman" w:cs="Calibri"/>
                <w:color w:val="auto"/>
                <w:sz w:val="20"/>
                <w:szCs w:val="20"/>
                <w:lang w:val="en-US"/>
              </w:rPr>
              <w:t xml:space="preserve">gent </w:t>
            </w:r>
            <w:r w:rsidR="006636D2">
              <w:rPr>
                <w:rFonts w:eastAsia="Times New Roman" w:cs="Calibri"/>
                <w:color w:val="auto"/>
                <w:sz w:val="20"/>
                <w:szCs w:val="20"/>
                <w:lang w:val="en-US"/>
              </w:rPr>
              <w:t xml:space="preserve">who could be </w:t>
            </w:r>
            <w:r w:rsidR="001A769B" w:rsidRPr="001A769B">
              <w:rPr>
                <w:rFonts w:eastAsia="Times New Roman" w:cs="Calibri"/>
                <w:color w:val="auto"/>
                <w:sz w:val="20"/>
                <w:szCs w:val="20"/>
                <w:lang w:val="en-US"/>
              </w:rPr>
              <w:t xml:space="preserve">a </w:t>
            </w:r>
            <w:r w:rsidR="00616E0F">
              <w:rPr>
                <w:rFonts w:eastAsia="Times New Roman" w:cs="Calibri"/>
                <w:color w:val="auto"/>
                <w:sz w:val="20"/>
                <w:szCs w:val="20"/>
                <w:lang w:val="en-US"/>
              </w:rPr>
              <w:t>health professional</w:t>
            </w:r>
            <w:r w:rsidR="001A769B" w:rsidRPr="001A769B">
              <w:rPr>
                <w:rFonts w:eastAsia="Times New Roman" w:cs="Calibri"/>
                <w:color w:val="auto"/>
                <w:sz w:val="20"/>
                <w:szCs w:val="20"/>
                <w:lang w:val="en-US"/>
              </w:rPr>
              <w:t xml:space="preserve"> member</w:t>
            </w:r>
            <w:r w:rsidR="007F4FF9">
              <w:rPr>
                <w:rFonts w:eastAsia="Times New Roman" w:cs="Calibri"/>
                <w:color w:val="auto"/>
                <w:sz w:val="20"/>
                <w:szCs w:val="20"/>
                <w:lang w:val="en-US"/>
              </w:rPr>
              <w:t>, a community health expert, a health manager</w:t>
            </w:r>
            <w:r w:rsidR="001A769B" w:rsidRPr="001A769B">
              <w:rPr>
                <w:rFonts w:eastAsia="Times New Roman" w:cs="Calibri"/>
                <w:color w:val="auto"/>
                <w:sz w:val="20"/>
                <w:szCs w:val="20"/>
                <w:lang w:val="en-US"/>
              </w:rPr>
              <w:t xml:space="preserve"> or another team member who understands behavioral sciences, and human intervention</w:t>
            </w:r>
            <w:r w:rsidR="00616E0F">
              <w:rPr>
                <w:rFonts w:eastAsia="Times New Roman" w:cs="Calibri"/>
                <w:color w:val="auto"/>
                <w:sz w:val="20"/>
                <w:szCs w:val="20"/>
                <w:lang w:val="en-US"/>
              </w:rPr>
              <w:t>s and who</w:t>
            </w:r>
            <w:r w:rsidR="007F4FF9">
              <w:rPr>
                <w:rFonts w:eastAsia="Times New Roman" w:cs="Calibri"/>
                <w:color w:val="auto"/>
                <w:sz w:val="20"/>
                <w:szCs w:val="20"/>
                <w:lang w:val="en-US"/>
              </w:rPr>
              <w:t>:</w:t>
            </w:r>
            <w:r w:rsidR="00616E0F">
              <w:rPr>
                <w:rFonts w:eastAsia="Times New Roman" w:cs="Calibri"/>
                <w:color w:val="auto"/>
                <w:sz w:val="20"/>
                <w:szCs w:val="20"/>
                <w:lang w:val="en-US"/>
              </w:rPr>
              <w:t xml:space="preserve"> </w:t>
            </w:r>
          </w:p>
          <w:p w14:paraId="4AC74381" w14:textId="77777777" w:rsidR="0012224A" w:rsidRDefault="00616E0F" w:rsidP="00231BA6">
            <w:pPr>
              <w:pStyle w:val="ListParagraph"/>
              <w:spacing w:after="0" w:line="264" w:lineRule="auto"/>
              <w:ind w:left="0"/>
              <w:contextualSpacing w:val="0"/>
              <w:jc w:val="both"/>
              <w:rPr>
                <w:rFonts w:eastAsia="Times New Roman" w:cs="Calibri"/>
                <w:color w:val="auto"/>
                <w:sz w:val="20"/>
                <w:szCs w:val="20"/>
                <w:lang w:val="en-US"/>
              </w:rPr>
            </w:pPr>
            <w:r>
              <w:rPr>
                <w:rFonts w:eastAsia="Times New Roman" w:cs="Calibri"/>
                <w:color w:val="auto"/>
                <w:sz w:val="20"/>
                <w:szCs w:val="20"/>
                <w:lang w:val="en-US"/>
              </w:rPr>
              <w:t>Has</w:t>
            </w:r>
            <w:r w:rsidR="00732C5F">
              <w:rPr>
                <w:rFonts w:eastAsia="Times New Roman" w:cs="Calibri"/>
                <w:color w:val="auto"/>
                <w:sz w:val="20"/>
                <w:szCs w:val="20"/>
                <w:lang w:val="en-US"/>
              </w:rPr>
              <w:t xml:space="preserve"> </w:t>
            </w:r>
            <w:r w:rsidR="006E4A71">
              <w:rPr>
                <w:rFonts w:eastAsia="Times New Roman" w:cs="Calibri"/>
                <w:color w:val="auto"/>
                <w:sz w:val="20"/>
                <w:szCs w:val="20"/>
                <w:lang w:val="en-US"/>
              </w:rPr>
              <w:t xml:space="preserve">certificate/training completion on </w:t>
            </w:r>
            <w:r w:rsidR="006E4A71" w:rsidRPr="006E4A71">
              <w:rPr>
                <w:rFonts w:eastAsia="Times New Roman" w:cs="Calibri"/>
                <w:color w:val="auto"/>
                <w:sz w:val="20"/>
                <w:szCs w:val="20"/>
                <w:lang w:val="en-US"/>
              </w:rPr>
              <w:t>Health Professionals as Agents of Change</w:t>
            </w:r>
          </w:p>
          <w:p w14:paraId="5FB575DD" w14:textId="0FA17BC7" w:rsidR="00616E0F" w:rsidRPr="00AB3D81" w:rsidRDefault="00616E0F" w:rsidP="00231BA6">
            <w:pPr>
              <w:pStyle w:val="ListParagraph"/>
              <w:spacing w:after="0" w:line="264" w:lineRule="auto"/>
              <w:ind w:left="0"/>
              <w:contextualSpacing w:val="0"/>
              <w:jc w:val="both"/>
              <w:rPr>
                <w:rFonts w:eastAsia="Times New Roman" w:cs="Calibri"/>
                <w:color w:val="auto"/>
                <w:sz w:val="20"/>
                <w:szCs w:val="20"/>
                <w:lang w:val="en-US"/>
              </w:rPr>
            </w:pPr>
            <w:r w:rsidRPr="00AB3D81">
              <w:rPr>
                <w:rFonts w:eastAsia="Times New Roman" w:cs="Calibri"/>
                <w:color w:val="auto"/>
                <w:sz w:val="20"/>
                <w:szCs w:val="20"/>
                <w:lang w:val="en-US"/>
              </w:rPr>
              <w:t xml:space="preserve">Has </w:t>
            </w:r>
            <w:r w:rsidR="003F6B21" w:rsidRPr="00AB3D81">
              <w:rPr>
                <w:rFonts w:eastAsia="Times New Roman" w:cs="Calibri"/>
                <w:color w:val="auto"/>
                <w:sz w:val="20"/>
                <w:szCs w:val="20"/>
                <w:lang w:val="en-US"/>
              </w:rPr>
              <w:t>proven experience working on</w:t>
            </w:r>
            <w:r w:rsidR="008B55F7" w:rsidRPr="00AB3D81">
              <w:rPr>
                <w:rFonts w:eastAsia="Times New Roman" w:cs="Calibri"/>
                <w:color w:val="auto"/>
                <w:sz w:val="20"/>
                <w:szCs w:val="20"/>
                <w:lang w:val="en-US"/>
              </w:rPr>
              <w:t xml:space="preserve"> personal, social, political, economic, cultural, institutional, and environmental factors </w:t>
            </w:r>
            <w:r w:rsidR="00AB3D81" w:rsidRPr="00AB3D81">
              <w:rPr>
                <w:rFonts w:eastAsia="Times New Roman" w:cs="Calibri"/>
                <w:color w:val="auto"/>
                <w:sz w:val="20"/>
                <w:szCs w:val="20"/>
                <w:lang w:val="en-US"/>
              </w:rPr>
              <w:t xml:space="preserve">that </w:t>
            </w:r>
            <w:r w:rsidR="008B55F7" w:rsidRPr="00AB3D81">
              <w:rPr>
                <w:rFonts w:eastAsia="Times New Roman" w:cs="Calibri"/>
                <w:color w:val="auto"/>
                <w:sz w:val="20"/>
                <w:szCs w:val="20"/>
                <w:lang w:val="en-US"/>
              </w:rPr>
              <w:t xml:space="preserve">play a critical role in shaping patterns of health </w:t>
            </w:r>
            <w:r w:rsidR="00AB3D81" w:rsidRPr="00AB3D81">
              <w:rPr>
                <w:rFonts w:eastAsia="Times New Roman" w:cs="Calibri"/>
                <w:color w:val="auto"/>
                <w:sz w:val="20"/>
                <w:szCs w:val="20"/>
                <w:lang w:val="en-US"/>
              </w:rPr>
              <w:t xml:space="preserve">and </w:t>
            </w:r>
            <w:r w:rsidR="00917FF5" w:rsidRPr="00AB3D81">
              <w:rPr>
                <w:rFonts w:eastAsia="Times New Roman" w:cs="Calibri"/>
                <w:color w:val="auto"/>
                <w:sz w:val="20"/>
                <w:szCs w:val="20"/>
                <w:lang w:val="en-US"/>
              </w:rPr>
              <w:t>on design</w:t>
            </w:r>
            <w:r w:rsidR="00AB3D81" w:rsidRPr="00AB3D81">
              <w:rPr>
                <w:rFonts w:eastAsia="Times New Roman" w:cs="Calibri"/>
                <w:color w:val="auto"/>
                <w:sz w:val="20"/>
                <w:szCs w:val="20"/>
                <w:lang w:val="en-US"/>
              </w:rPr>
              <w:t>ing</w:t>
            </w:r>
            <w:r w:rsidR="00917FF5" w:rsidRPr="00AB3D81">
              <w:rPr>
                <w:rFonts w:eastAsia="Times New Roman" w:cs="Calibri"/>
                <w:color w:val="auto"/>
                <w:sz w:val="20"/>
                <w:szCs w:val="20"/>
                <w:lang w:val="en-US"/>
              </w:rPr>
              <w:t xml:space="preserve"> </w:t>
            </w:r>
            <w:r w:rsidR="002455B4" w:rsidRPr="00AB3D81">
              <w:rPr>
                <w:rFonts w:eastAsia="Times New Roman" w:cs="Calibri"/>
                <w:color w:val="auto"/>
                <w:sz w:val="20"/>
                <w:szCs w:val="20"/>
                <w:lang w:val="en-US"/>
              </w:rPr>
              <w:t xml:space="preserve">changes factors in </w:t>
            </w:r>
            <w:r w:rsidR="008B55F7" w:rsidRPr="00AB3D81">
              <w:rPr>
                <w:rFonts w:eastAsia="Times New Roman" w:cs="Calibri"/>
                <w:color w:val="auto"/>
                <w:sz w:val="20"/>
                <w:szCs w:val="20"/>
                <w:lang w:val="en-US"/>
              </w:rPr>
              <w:t>various organizational and community settings</w:t>
            </w:r>
          </w:p>
        </w:tc>
        <w:tc>
          <w:tcPr>
            <w:tcW w:w="1475" w:type="dxa"/>
            <w:shd w:val="clear" w:color="auto" w:fill="auto"/>
            <w:vAlign w:val="center"/>
          </w:tcPr>
          <w:p w14:paraId="4597C32E" w14:textId="77777777" w:rsidR="0012224A" w:rsidRDefault="00EE7045" w:rsidP="009F6F46">
            <w:pPr>
              <w:spacing w:before="60" w:after="60"/>
              <w:jc w:val="center"/>
              <w:rPr>
                <w:rFonts w:eastAsia="MS Mincho"/>
                <w:b/>
                <w:bCs/>
                <w:color w:val="auto"/>
                <w:sz w:val="20"/>
                <w:szCs w:val="20"/>
                <w:lang w:val="en-US"/>
              </w:rPr>
            </w:pPr>
            <w:r>
              <w:rPr>
                <w:rFonts w:eastAsia="MS Mincho"/>
                <w:b/>
                <w:bCs/>
                <w:color w:val="auto"/>
                <w:sz w:val="20"/>
                <w:szCs w:val="20"/>
                <w:lang w:val="en-US"/>
              </w:rPr>
              <w:t xml:space="preserve">2 points </w:t>
            </w:r>
            <w:r w:rsidRPr="00EE7045">
              <w:rPr>
                <w:rFonts w:eastAsia="MS Mincho"/>
                <w:color w:val="auto"/>
                <w:sz w:val="20"/>
                <w:szCs w:val="20"/>
                <w:lang w:val="en-US"/>
              </w:rPr>
              <w:t>for training certificate</w:t>
            </w:r>
          </w:p>
          <w:p w14:paraId="4F778A6F" w14:textId="5310F4B6" w:rsidR="00EE7045" w:rsidRPr="0080401C" w:rsidRDefault="00EE7045" w:rsidP="009F6F46">
            <w:pPr>
              <w:spacing w:before="60" w:after="60"/>
              <w:jc w:val="center"/>
              <w:rPr>
                <w:rFonts w:eastAsia="MS Mincho"/>
                <w:b/>
                <w:bCs/>
                <w:color w:val="auto"/>
                <w:sz w:val="20"/>
                <w:szCs w:val="20"/>
                <w:lang w:val="en-US"/>
              </w:rPr>
            </w:pPr>
            <w:r>
              <w:rPr>
                <w:rFonts w:eastAsia="MS Mincho"/>
                <w:b/>
                <w:bCs/>
                <w:color w:val="auto"/>
                <w:sz w:val="20"/>
                <w:szCs w:val="20"/>
                <w:lang w:val="en-US"/>
              </w:rPr>
              <w:t xml:space="preserve">3 points </w:t>
            </w:r>
            <w:r w:rsidRPr="00EE7045">
              <w:rPr>
                <w:rFonts w:eastAsia="MS Mincho"/>
                <w:color w:val="auto"/>
                <w:sz w:val="20"/>
                <w:szCs w:val="20"/>
                <w:lang w:val="en-US"/>
              </w:rPr>
              <w:t>for experience being SBC agent in health</w:t>
            </w:r>
          </w:p>
        </w:tc>
      </w:tr>
      <w:tr w:rsidR="00F2424A" w:rsidRPr="0080401C" w14:paraId="385B9F36" w14:textId="77777777" w:rsidTr="00681C74">
        <w:trPr>
          <w:trHeight w:val="480"/>
        </w:trPr>
        <w:tc>
          <w:tcPr>
            <w:tcW w:w="10098" w:type="dxa"/>
            <w:gridSpan w:val="3"/>
            <w:shd w:val="clear" w:color="auto" w:fill="auto"/>
            <w:vAlign w:val="center"/>
          </w:tcPr>
          <w:p w14:paraId="74BC0966" w14:textId="3D6188A9" w:rsidR="00E75AD2" w:rsidRDefault="00856406" w:rsidP="009F6F46">
            <w:pPr>
              <w:spacing w:before="60" w:after="60"/>
              <w:jc w:val="center"/>
              <w:rPr>
                <w:rFonts w:eastAsia="MS Mincho"/>
                <w:b/>
                <w:bCs/>
                <w:color w:val="auto"/>
                <w:sz w:val="20"/>
                <w:szCs w:val="20"/>
                <w:lang w:val="en-US"/>
              </w:rPr>
            </w:pPr>
            <w:r>
              <w:rPr>
                <w:rFonts w:eastAsia="MS Mincho"/>
                <w:b/>
                <w:bCs/>
                <w:color w:val="auto"/>
                <w:sz w:val="20"/>
                <w:szCs w:val="20"/>
                <w:lang w:val="en-US"/>
              </w:rPr>
              <w:t xml:space="preserve">Minimum one team member should have an </w:t>
            </w:r>
            <w:r w:rsidRPr="00856406">
              <w:rPr>
                <w:rFonts w:eastAsia="MS Mincho"/>
                <w:b/>
                <w:bCs/>
                <w:color w:val="auto"/>
                <w:sz w:val="20"/>
                <w:szCs w:val="20"/>
                <w:lang w:val="en-US"/>
              </w:rPr>
              <w:t xml:space="preserve">advanced level of </w:t>
            </w:r>
            <w:r w:rsidR="00E75AD2">
              <w:rPr>
                <w:rFonts w:eastAsia="MS Mincho"/>
                <w:b/>
                <w:bCs/>
                <w:color w:val="auto"/>
                <w:sz w:val="20"/>
                <w:szCs w:val="20"/>
                <w:lang w:val="en-US"/>
              </w:rPr>
              <w:t>Kinyarwanda</w:t>
            </w:r>
            <w:r w:rsidRPr="00856406">
              <w:rPr>
                <w:rFonts w:eastAsia="MS Mincho"/>
                <w:b/>
                <w:bCs/>
                <w:color w:val="auto"/>
                <w:sz w:val="20"/>
                <w:szCs w:val="20"/>
                <w:lang w:val="en-US"/>
              </w:rPr>
              <w:t xml:space="preserve"> (writing and speaking</w:t>
            </w:r>
            <w:r w:rsidR="008D439E">
              <w:rPr>
                <w:rFonts w:eastAsia="MS Mincho"/>
                <w:b/>
                <w:bCs/>
                <w:color w:val="auto"/>
                <w:sz w:val="20"/>
                <w:szCs w:val="20"/>
                <w:lang w:val="en-US"/>
              </w:rPr>
              <w:t>)</w:t>
            </w:r>
          </w:p>
          <w:p w14:paraId="17266E21" w14:textId="2756440C" w:rsidR="00F2424A" w:rsidRDefault="00E75AD2" w:rsidP="009F6F46">
            <w:pPr>
              <w:spacing w:before="60" w:after="60"/>
              <w:jc w:val="center"/>
              <w:rPr>
                <w:rFonts w:eastAsia="MS Mincho"/>
                <w:b/>
                <w:bCs/>
                <w:color w:val="auto"/>
                <w:sz w:val="20"/>
                <w:szCs w:val="20"/>
                <w:lang w:val="en-US"/>
              </w:rPr>
            </w:pPr>
            <w:r w:rsidRPr="006C287A">
              <w:rPr>
                <w:rFonts w:eastAsia="MS Mincho"/>
                <w:b/>
                <w:bCs/>
                <w:color w:val="auto"/>
                <w:sz w:val="20"/>
                <w:szCs w:val="20"/>
                <w:highlight w:val="yellow"/>
                <w:lang w:val="en-US"/>
              </w:rPr>
              <w:t xml:space="preserve">Failing to have that required </w:t>
            </w:r>
            <w:r w:rsidR="006C287A" w:rsidRPr="006C287A">
              <w:rPr>
                <w:rFonts w:eastAsia="MS Mincho"/>
                <w:b/>
                <w:bCs/>
                <w:color w:val="auto"/>
                <w:sz w:val="20"/>
                <w:szCs w:val="20"/>
                <w:highlight w:val="yellow"/>
                <w:lang w:val="en-US"/>
              </w:rPr>
              <w:t xml:space="preserve">team member in the pool </w:t>
            </w:r>
            <w:r w:rsidRPr="006C287A">
              <w:rPr>
                <w:rFonts w:eastAsia="MS Mincho"/>
                <w:b/>
                <w:bCs/>
                <w:color w:val="auto"/>
                <w:sz w:val="20"/>
                <w:szCs w:val="20"/>
                <w:highlight w:val="yellow"/>
                <w:lang w:val="en-US"/>
              </w:rPr>
              <w:t>leads to the rejection of the bid</w:t>
            </w:r>
          </w:p>
        </w:tc>
      </w:tr>
    </w:tbl>
    <w:p w14:paraId="2F654587" w14:textId="289A034C" w:rsidR="004F07DF" w:rsidRPr="00C44D66" w:rsidRDefault="004F07DF" w:rsidP="005D4BFD">
      <w:pPr>
        <w:spacing w:before="240" w:line="259" w:lineRule="auto"/>
        <w:jc w:val="both"/>
        <w:rPr>
          <w:rFonts w:cs="Arial"/>
          <w:b/>
          <w:color w:val="auto"/>
        </w:rPr>
      </w:pPr>
      <w:r w:rsidRPr="00C44D66">
        <w:rPr>
          <w:rFonts w:cs="Arial"/>
          <w:b/>
          <w:color w:val="auto"/>
        </w:rPr>
        <w:t xml:space="preserve">For the technical award criteria, average score </w:t>
      </w:r>
      <w:proofErr w:type="gramStart"/>
      <w:r w:rsidRPr="00C44D66">
        <w:rPr>
          <w:rFonts w:cs="Arial"/>
          <w:b/>
          <w:color w:val="auto"/>
        </w:rPr>
        <w:t>has to</w:t>
      </w:r>
      <w:proofErr w:type="gramEnd"/>
      <w:r w:rsidRPr="00C44D66">
        <w:rPr>
          <w:rFonts w:cs="Arial"/>
          <w:b/>
          <w:color w:val="auto"/>
        </w:rPr>
        <w:t xml:space="preserve"> be at least </w:t>
      </w:r>
      <w:r w:rsidR="005D4BFD">
        <w:rPr>
          <w:rFonts w:cs="Arial"/>
          <w:b/>
          <w:color w:val="auto"/>
        </w:rPr>
        <w:t>8</w:t>
      </w:r>
      <w:r w:rsidRPr="00C44D66">
        <w:rPr>
          <w:rFonts w:cs="Arial"/>
          <w:b/>
          <w:color w:val="auto"/>
        </w:rPr>
        <w:t>0% to qualify for the Negotiation stage.</w:t>
      </w:r>
    </w:p>
    <w:p w14:paraId="5B291938" w14:textId="77777777" w:rsidR="004F07DF" w:rsidRPr="00F83E01" w:rsidRDefault="004F07DF" w:rsidP="00A41CAE">
      <w:pPr>
        <w:numPr>
          <w:ilvl w:val="0"/>
          <w:numId w:val="58"/>
        </w:numPr>
        <w:spacing w:line="259" w:lineRule="auto"/>
        <w:contextualSpacing/>
        <w:jc w:val="both"/>
        <w:rPr>
          <w:rFonts w:cs="Arial"/>
          <w:b/>
          <w:color w:val="auto"/>
        </w:rPr>
      </w:pPr>
      <w:r w:rsidRPr="00F83E01">
        <w:rPr>
          <w:rFonts w:cs="Arial"/>
          <w:b/>
          <w:color w:val="auto"/>
        </w:rPr>
        <w:t>Financial proposal (30%)</w:t>
      </w:r>
    </w:p>
    <w:p w14:paraId="52B956A1" w14:textId="77777777" w:rsidR="004F07DF" w:rsidRPr="00C44D66" w:rsidRDefault="004F07DF" w:rsidP="004F07DF">
      <w:pPr>
        <w:spacing w:line="259" w:lineRule="auto"/>
        <w:contextualSpacing/>
        <w:jc w:val="both"/>
        <w:rPr>
          <w:rFonts w:cs="Arial"/>
          <w:b/>
          <w:color w:val="auto"/>
        </w:rPr>
      </w:pPr>
    </w:p>
    <w:p w14:paraId="2B3D3DCC" w14:textId="77777777" w:rsidR="004F07DF" w:rsidRPr="00C44D66" w:rsidRDefault="004F07DF" w:rsidP="004F07DF">
      <w:pPr>
        <w:spacing w:line="259" w:lineRule="auto"/>
        <w:jc w:val="both"/>
        <w:rPr>
          <w:rFonts w:cs="Arial"/>
          <w:color w:val="auto"/>
        </w:rPr>
      </w:pPr>
      <w:r w:rsidRPr="00C44D66">
        <w:rPr>
          <w:rFonts w:cs="Arial"/>
          <w:color w:val="auto"/>
        </w:rPr>
        <w:t xml:space="preserve">With regards to the ‘price’ criterion, the following formula will be used: </w:t>
      </w:r>
    </w:p>
    <w:p w14:paraId="677896BF" w14:textId="77777777" w:rsidR="004F07DF" w:rsidRPr="00C44D66" w:rsidRDefault="004F07DF" w:rsidP="004F07DF">
      <w:pPr>
        <w:spacing w:line="259" w:lineRule="auto"/>
        <w:ind w:left="720"/>
        <w:contextualSpacing/>
        <w:jc w:val="both"/>
        <w:rPr>
          <w:rFonts w:cs="Arial"/>
          <w:color w:val="auto"/>
          <w:u w:val="single"/>
        </w:rPr>
      </w:pPr>
      <w:r w:rsidRPr="00C44D66">
        <w:rPr>
          <w:rFonts w:cs="Arial"/>
          <w:color w:val="auto"/>
        </w:rPr>
        <w:t xml:space="preserve">Points tender A = </w:t>
      </w:r>
      <w:r w:rsidRPr="00C44D66">
        <w:rPr>
          <w:rFonts w:cs="Arial"/>
          <w:color w:val="auto"/>
          <w:u w:val="single"/>
        </w:rPr>
        <w:t>amount of lowest tender * 30</w:t>
      </w:r>
    </w:p>
    <w:p w14:paraId="183BFCD9" w14:textId="77777777" w:rsidR="004F07DF" w:rsidRPr="00C44D66" w:rsidRDefault="004F07DF" w:rsidP="004F07DF">
      <w:pPr>
        <w:spacing w:line="259" w:lineRule="auto"/>
        <w:ind w:left="720"/>
        <w:contextualSpacing/>
        <w:jc w:val="both"/>
        <w:rPr>
          <w:rFonts w:cs="Arial"/>
          <w:color w:val="auto"/>
        </w:rPr>
      </w:pPr>
      <w:r w:rsidRPr="00C44D66">
        <w:rPr>
          <w:rFonts w:cs="Arial"/>
          <w:color w:val="auto"/>
        </w:rPr>
        <w:t xml:space="preserve">                                       Amount of tender A</w:t>
      </w:r>
    </w:p>
    <w:p w14:paraId="505FD40B" w14:textId="77777777" w:rsidR="004F07DF" w:rsidRPr="00210059" w:rsidRDefault="004F07DF" w:rsidP="004F07DF">
      <w:pPr>
        <w:pStyle w:val="Heading4"/>
        <w:keepLines w:val="0"/>
        <w:widowControl w:val="0"/>
        <w:numPr>
          <w:ilvl w:val="3"/>
          <w:numId w:val="5"/>
        </w:numPr>
        <w:tabs>
          <w:tab w:val="num" w:pos="864"/>
        </w:tabs>
        <w:suppressAutoHyphens/>
        <w:spacing w:before="120" w:after="120" w:line="240" w:lineRule="auto"/>
        <w:rPr>
          <w:color w:val="auto"/>
        </w:rPr>
      </w:pPr>
      <w:bookmarkStart w:id="88" w:name="_Toc117027489"/>
      <w:r w:rsidRPr="00210059">
        <w:rPr>
          <w:color w:val="auto"/>
        </w:rPr>
        <w:t>Final score</w:t>
      </w:r>
      <w:bookmarkEnd w:id="88"/>
    </w:p>
    <w:p w14:paraId="07568137" w14:textId="77777777" w:rsidR="004F07DF" w:rsidRPr="00210059" w:rsidRDefault="004F07DF" w:rsidP="004F07DF">
      <w:pPr>
        <w:pStyle w:val="BodyText"/>
      </w:pPr>
      <w:r w:rsidRPr="00210059">
        <w:rPr>
          <w:rFonts w:ascii="Georgia" w:hAnsi="Georgia"/>
          <w:sz w:val="21"/>
          <w:szCs w:val="21"/>
        </w:rPr>
        <w:t>The scores for the award criteria will be added up. The procurement contract will be awarded to the tenderer with the highest final score, after the contracting authority has verified the accuracy of the Declaration on honour of this tenderer and provided the control shows that the Declaration on honour corresponds with reality.</w:t>
      </w:r>
    </w:p>
    <w:p w14:paraId="1CA7DEF1" w14:textId="77777777" w:rsidR="004F07DF" w:rsidRPr="00210059" w:rsidRDefault="004F07DF" w:rsidP="004F07DF">
      <w:pPr>
        <w:pStyle w:val="Heading4"/>
        <w:keepLines w:val="0"/>
        <w:widowControl w:val="0"/>
        <w:numPr>
          <w:ilvl w:val="3"/>
          <w:numId w:val="5"/>
        </w:numPr>
        <w:tabs>
          <w:tab w:val="num" w:pos="864"/>
        </w:tabs>
        <w:suppressAutoHyphens/>
        <w:spacing w:before="120" w:after="120" w:line="240" w:lineRule="auto"/>
        <w:rPr>
          <w:color w:val="auto"/>
        </w:rPr>
      </w:pPr>
      <w:bookmarkStart w:id="89" w:name="_Toc257039853"/>
      <w:bookmarkStart w:id="90" w:name="_Toc117027490"/>
      <w:r w:rsidRPr="00210059">
        <w:rPr>
          <w:color w:val="auto"/>
        </w:rPr>
        <w:t>Awarding the procurement contract</w:t>
      </w:r>
      <w:bookmarkEnd w:id="89"/>
      <w:bookmarkEnd w:id="90"/>
    </w:p>
    <w:p w14:paraId="6F2093B9" w14:textId="77777777" w:rsidR="004F07DF" w:rsidRPr="00210059" w:rsidRDefault="004F07DF" w:rsidP="004F07DF">
      <w:pPr>
        <w:pStyle w:val="BodyText"/>
        <w:rPr>
          <w:i/>
          <w:sz w:val="18"/>
        </w:rPr>
      </w:pPr>
      <w:r w:rsidRPr="00C44D66">
        <w:rPr>
          <w:i/>
          <w:sz w:val="18"/>
          <w:highlight w:val="lightGray"/>
        </w:rPr>
        <w:t>Articles 41 and 81 of the Law</w:t>
      </w:r>
      <w:r w:rsidRPr="00210059">
        <w:rPr>
          <w:i/>
          <w:sz w:val="18"/>
        </w:rPr>
        <w:t xml:space="preserve">  </w:t>
      </w:r>
    </w:p>
    <w:p w14:paraId="4FD007AF" w14:textId="77777777" w:rsidR="004F07DF" w:rsidRPr="00210059" w:rsidRDefault="004F07DF" w:rsidP="004F07DF">
      <w:pPr>
        <w:pStyle w:val="BTCtextCTB"/>
        <w:rPr>
          <w:rFonts w:ascii="Georgia" w:eastAsia="DejaVu Sans" w:hAnsi="Georgia" w:cs="Tahoma"/>
          <w:kern w:val="18"/>
          <w:sz w:val="21"/>
          <w:szCs w:val="21"/>
        </w:rPr>
      </w:pPr>
      <w:r w:rsidRPr="00210059">
        <w:rPr>
          <w:rFonts w:ascii="Georgia" w:hAnsi="Georgia"/>
          <w:sz w:val="21"/>
          <w:szCs w:val="21"/>
        </w:rPr>
        <w:t>The procurement contract will be awarded to the tenderer who has submitted the most economically advantageous tender.</w:t>
      </w:r>
    </w:p>
    <w:p w14:paraId="7AC39891" w14:textId="77777777" w:rsidR="004F07DF" w:rsidRPr="00210059" w:rsidRDefault="004F07DF" w:rsidP="004F07DF">
      <w:pPr>
        <w:pStyle w:val="BTCtextCTB"/>
        <w:rPr>
          <w:rFonts w:ascii="Georgia" w:eastAsia="DejaVu Sans" w:hAnsi="Georgia" w:cs="Tahoma"/>
          <w:kern w:val="18"/>
          <w:sz w:val="21"/>
          <w:szCs w:val="21"/>
        </w:rPr>
      </w:pPr>
      <w:r w:rsidRPr="00210059">
        <w:rPr>
          <w:rFonts w:ascii="Georgia" w:hAnsi="Georgia"/>
          <w:sz w:val="21"/>
          <w:szCs w:val="21"/>
        </w:rPr>
        <w:t>Notice though that in accordance with Art. 85 of the Law of 17 June 2016, there is no obligation for the contracting authority to award the procurement contract.</w:t>
      </w:r>
    </w:p>
    <w:p w14:paraId="3CC0E445" w14:textId="77777777" w:rsidR="004F07DF" w:rsidRPr="00210059" w:rsidRDefault="004F07DF" w:rsidP="004F07DF">
      <w:pPr>
        <w:pStyle w:val="BTCtextCTB"/>
        <w:rPr>
          <w:rFonts w:ascii="Georgia" w:eastAsia="DejaVu Sans" w:hAnsi="Georgia" w:cs="Tahoma"/>
          <w:kern w:val="18"/>
          <w:sz w:val="21"/>
          <w:szCs w:val="21"/>
        </w:rPr>
      </w:pPr>
      <w:r w:rsidRPr="00210059">
        <w:rPr>
          <w:rFonts w:ascii="Georgia" w:hAnsi="Georgia"/>
          <w:sz w:val="21"/>
          <w:szCs w:val="21"/>
        </w:rPr>
        <w:t>The contracting authority may either decide not to award the procurement contract; either redo the procedure, if necessary, through another award procedure.</w:t>
      </w:r>
    </w:p>
    <w:p w14:paraId="4F01ECA1" w14:textId="77777777" w:rsidR="004F07DF" w:rsidRPr="00210059" w:rsidRDefault="004F07DF" w:rsidP="004F07DF">
      <w:pPr>
        <w:pStyle w:val="BTCtextCTB"/>
        <w:rPr>
          <w:rFonts w:ascii="Georgia" w:eastAsia="DejaVu Sans" w:hAnsi="Georgia" w:cs="Tahoma"/>
          <w:kern w:val="18"/>
          <w:sz w:val="21"/>
          <w:szCs w:val="21"/>
        </w:rPr>
      </w:pPr>
      <w:r w:rsidRPr="00210059">
        <w:rPr>
          <w:rFonts w:ascii="Georgia" w:hAnsi="Georgia"/>
          <w:sz w:val="21"/>
          <w:szCs w:val="21"/>
        </w:rPr>
        <w:t>The contracting authority maintains the right to award only a certain lot or certain lots.</w:t>
      </w:r>
    </w:p>
    <w:p w14:paraId="17DFB3DC" w14:textId="77777777" w:rsidR="004F07DF" w:rsidRPr="00210059"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91" w:name="_Toc257039854"/>
      <w:bookmarkStart w:id="92" w:name="_Toc366161168"/>
      <w:bookmarkStart w:id="93" w:name="_Toc117027491"/>
      <w:r w:rsidRPr="00210059">
        <w:rPr>
          <w:color w:val="auto"/>
        </w:rPr>
        <w:t>Concluding the procurement contract</w:t>
      </w:r>
      <w:bookmarkEnd w:id="91"/>
      <w:bookmarkEnd w:id="92"/>
      <w:bookmarkEnd w:id="93"/>
    </w:p>
    <w:p w14:paraId="7C03AA74" w14:textId="77777777" w:rsidR="004F07DF" w:rsidRPr="00210059" w:rsidRDefault="004F07DF" w:rsidP="004F07DF">
      <w:pPr>
        <w:pStyle w:val="BodyText"/>
        <w:rPr>
          <w:i/>
          <w:sz w:val="18"/>
        </w:rPr>
      </w:pPr>
      <w:r w:rsidRPr="00C44D66">
        <w:rPr>
          <w:i/>
          <w:sz w:val="18"/>
          <w:highlight w:val="lightGray"/>
        </w:rPr>
        <w:t>Art. 88 of the Royal Decree Award</w:t>
      </w:r>
      <w:r w:rsidRPr="00210059">
        <w:rPr>
          <w:i/>
          <w:sz w:val="18"/>
        </w:rPr>
        <w:t> </w:t>
      </w:r>
    </w:p>
    <w:p w14:paraId="33AF1270" w14:textId="77777777" w:rsidR="004F07DF" w:rsidRPr="00210059" w:rsidRDefault="004F07DF" w:rsidP="004F07DF">
      <w:pPr>
        <w:pStyle w:val="BTCtextCTB"/>
        <w:rPr>
          <w:rFonts w:ascii="Georgia" w:eastAsia="DejaVu Sans" w:hAnsi="Georgia" w:cs="Tahoma"/>
          <w:kern w:val="18"/>
          <w:sz w:val="21"/>
          <w:szCs w:val="21"/>
        </w:rPr>
      </w:pPr>
      <w:r w:rsidRPr="00210059">
        <w:rPr>
          <w:rFonts w:ascii="Georgia" w:hAnsi="Georgia"/>
          <w:sz w:val="21"/>
          <w:szCs w:val="21"/>
        </w:rPr>
        <w:lastRenderedPageBreak/>
        <w:t xml:space="preserve">In accordance with Art. 88 of the Royal Decree of 18 April 2017, the procurement contract occurs through the notification to the selected tenderer of the approval of his tender. </w:t>
      </w:r>
    </w:p>
    <w:p w14:paraId="5E63148C" w14:textId="77777777" w:rsidR="004F07DF" w:rsidRPr="00210059" w:rsidRDefault="004F07DF" w:rsidP="004F07DF">
      <w:pPr>
        <w:pStyle w:val="BTCtextCTB"/>
        <w:rPr>
          <w:rFonts w:ascii="Georgia" w:eastAsia="DejaVu Sans" w:hAnsi="Georgia" w:cs="Tahoma"/>
          <w:kern w:val="18"/>
          <w:sz w:val="21"/>
          <w:szCs w:val="21"/>
        </w:rPr>
      </w:pPr>
      <w:r w:rsidRPr="00210059">
        <w:rPr>
          <w:rFonts w:ascii="Georgia" w:hAnsi="Georgia"/>
          <w:sz w:val="21"/>
          <w:szCs w:val="21"/>
        </w:rPr>
        <w:t xml:space="preserve">Notification is via digital platforms, </w:t>
      </w:r>
      <w:proofErr w:type="gramStart"/>
      <w:r w:rsidRPr="00210059">
        <w:rPr>
          <w:rFonts w:ascii="Georgia" w:hAnsi="Georgia"/>
          <w:sz w:val="21"/>
          <w:szCs w:val="21"/>
        </w:rPr>
        <w:t>e-mail</w:t>
      </w:r>
      <w:proofErr w:type="gramEnd"/>
      <w:r w:rsidRPr="00210059">
        <w:rPr>
          <w:rFonts w:ascii="Georgia" w:hAnsi="Georgia"/>
          <w:sz w:val="21"/>
          <w:szCs w:val="21"/>
        </w:rPr>
        <w:t xml:space="preserve"> or fax and, on the same day, by registered post.  </w:t>
      </w:r>
    </w:p>
    <w:p w14:paraId="1A18321A" w14:textId="77777777" w:rsidR="004F07DF" w:rsidRPr="00210059" w:rsidRDefault="004F07DF" w:rsidP="004F07DF">
      <w:pPr>
        <w:pStyle w:val="BTCtextCTB"/>
        <w:rPr>
          <w:rFonts w:ascii="Georgia" w:eastAsia="DejaVu Sans" w:hAnsi="Georgia" w:cs="Tahoma"/>
          <w:kern w:val="18"/>
          <w:sz w:val="21"/>
          <w:szCs w:val="21"/>
        </w:rPr>
      </w:pPr>
      <w:r w:rsidRPr="00210059">
        <w:rPr>
          <w:rFonts w:ascii="Georgia" w:hAnsi="Georgia"/>
          <w:sz w:val="21"/>
        </w:rPr>
        <w:t>So, the full contract agreement consists of a procurement contract awarded by Enabel to the chosen tenderer in accordance with:</w:t>
      </w:r>
    </w:p>
    <w:p w14:paraId="2D46D0DC" w14:textId="77777777" w:rsidR="004F07DF" w:rsidRPr="00210059" w:rsidRDefault="004F07DF" w:rsidP="004F07DF">
      <w:pPr>
        <w:pStyle w:val="BTCbulletsCTB"/>
        <w:numPr>
          <w:ilvl w:val="0"/>
          <w:numId w:val="7"/>
        </w:numPr>
        <w:tabs>
          <w:tab w:val="left" w:pos="360"/>
        </w:tabs>
        <w:spacing w:after="120" w:line="288" w:lineRule="auto"/>
        <w:jc w:val="both"/>
        <w:rPr>
          <w:rFonts w:ascii="Georgia" w:hAnsi="Georgia"/>
          <w:sz w:val="21"/>
          <w:szCs w:val="21"/>
        </w:rPr>
      </w:pPr>
      <w:r w:rsidRPr="00210059">
        <w:rPr>
          <w:rFonts w:ascii="Georgia" w:hAnsi="Georgia"/>
          <w:sz w:val="21"/>
          <w:szCs w:val="21"/>
        </w:rPr>
        <w:t xml:space="preserve">These Tender Specifications and its </w:t>
      </w:r>
      <w:proofErr w:type="gramStart"/>
      <w:r w:rsidRPr="00210059">
        <w:rPr>
          <w:rFonts w:ascii="Georgia" w:hAnsi="Georgia"/>
          <w:sz w:val="21"/>
          <w:szCs w:val="21"/>
        </w:rPr>
        <w:t>annexes;</w:t>
      </w:r>
      <w:proofErr w:type="gramEnd"/>
    </w:p>
    <w:p w14:paraId="10C7515B" w14:textId="77777777" w:rsidR="004F07DF" w:rsidRPr="00210059" w:rsidRDefault="004F07DF" w:rsidP="004F07DF">
      <w:pPr>
        <w:pStyle w:val="ListParagraph"/>
        <w:numPr>
          <w:ilvl w:val="0"/>
          <w:numId w:val="7"/>
        </w:numPr>
        <w:rPr>
          <w:rFonts w:eastAsia="Times New Roman"/>
          <w:bCs/>
          <w:color w:val="auto"/>
          <w:szCs w:val="21"/>
          <w:lang w:eastAsia="nl-NL"/>
        </w:rPr>
      </w:pPr>
      <w:r w:rsidRPr="00210059">
        <w:rPr>
          <w:rFonts w:eastAsia="Times New Roman"/>
          <w:bCs/>
          <w:color w:val="auto"/>
          <w:szCs w:val="21"/>
          <w:lang w:eastAsia="nl-NL"/>
        </w:rPr>
        <w:t>if any, minutes of the information session and/or clarifications and/or the addendum,</w:t>
      </w:r>
    </w:p>
    <w:p w14:paraId="4988C3D5" w14:textId="77777777" w:rsidR="004F07DF" w:rsidRPr="00210059" w:rsidRDefault="004F07DF" w:rsidP="004F07DF">
      <w:pPr>
        <w:pStyle w:val="BTCbulletsCTB"/>
        <w:numPr>
          <w:ilvl w:val="0"/>
          <w:numId w:val="7"/>
        </w:numPr>
        <w:tabs>
          <w:tab w:val="left" w:pos="360"/>
        </w:tabs>
        <w:spacing w:after="120" w:line="288" w:lineRule="auto"/>
        <w:jc w:val="both"/>
        <w:rPr>
          <w:rFonts w:ascii="Georgia" w:hAnsi="Georgia"/>
          <w:sz w:val="21"/>
          <w:szCs w:val="21"/>
        </w:rPr>
      </w:pPr>
      <w:r w:rsidRPr="00210059">
        <w:rPr>
          <w:rFonts w:ascii="Georgia" w:hAnsi="Georgia"/>
          <w:sz w:val="21"/>
          <w:szCs w:val="21"/>
        </w:rPr>
        <w:t xml:space="preserve">The approved BAFO of the contractor and all of its </w:t>
      </w:r>
      <w:proofErr w:type="gramStart"/>
      <w:r w:rsidRPr="00210059">
        <w:rPr>
          <w:rFonts w:ascii="Georgia" w:hAnsi="Georgia"/>
          <w:sz w:val="21"/>
          <w:szCs w:val="21"/>
        </w:rPr>
        <w:t>annexes;</w:t>
      </w:r>
      <w:proofErr w:type="gramEnd"/>
    </w:p>
    <w:p w14:paraId="1ECDAFED" w14:textId="77777777" w:rsidR="004F07DF" w:rsidRPr="00210059" w:rsidRDefault="004F07DF" w:rsidP="004F07DF">
      <w:pPr>
        <w:pStyle w:val="BTCbulletsCTB"/>
        <w:numPr>
          <w:ilvl w:val="0"/>
          <w:numId w:val="7"/>
        </w:numPr>
        <w:tabs>
          <w:tab w:val="left" w:pos="360"/>
        </w:tabs>
        <w:spacing w:after="120" w:line="288" w:lineRule="auto"/>
        <w:jc w:val="both"/>
        <w:rPr>
          <w:rFonts w:ascii="Georgia" w:hAnsi="Georgia"/>
          <w:sz w:val="21"/>
          <w:szCs w:val="21"/>
        </w:rPr>
      </w:pPr>
      <w:r w:rsidRPr="00210059">
        <w:rPr>
          <w:rFonts w:ascii="Georgia" w:hAnsi="Georgia"/>
          <w:sz w:val="21"/>
          <w:szCs w:val="21"/>
        </w:rPr>
        <w:t xml:space="preserve">The registered letter of notification of the award </w:t>
      </w:r>
      <w:proofErr w:type="gramStart"/>
      <w:r w:rsidRPr="00210059">
        <w:rPr>
          <w:rFonts w:ascii="Georgia" w:hAnsi="Georgia"/>
          <w:sz w:val="21"/>
          <w:szCs w:val="21"/>
        </w:rPr>
        <w:t>decision;</w:t>
      </w:r>
      <w:proofErr w:type="gramEnd"/>
    </w:p>
    <w:p w14:paraId="53E2E001" w14:textId="77777777" w:rsidR="004F07DF" w:rsidRPr="00210059" w:rsidRDefault="004F07DF" w:rsidP="004F07DF">
      <w:pPr>
        <w:pStyle w:val="BTCbulletsCTB"/>
        <w:numPr>
          <w:ilvl w:val="0"/>
          <w:numId w:val="7"/>
        </w:numPr>
        <w:tabs>
          <w:tab w:val="left" w:pos="360"/>
        </w:tabs>
        <w:spacing w:after="120" w:line="288" w:lineRule="auto"/>
        <w:jc w:val="both"/>
        <w:rPr>
          <w:rFonts w:ascii="Georgia" w:hAnsi="Georgia"/>
          <w:sz w:val="21"/>
          <w:szCs w:val="21"/>
        </w:rPr>
      </w:pPr>
      <w:r w:rsidRPr="00210059">
        <w:rPr>
          <w:rFonts w:ascii="Georgia" w:hAnsi="Georgia"/>
          <w:sz w:val="21"/>
          <w:szCs w:val="21"/>
        </w:rPr>
        <w:t>Any later documents that are accepted and signed by both parties, as appropriate.</w:t>
      </w:r>
    </w:p>
    <w:p w14:paraId="41B85616" w14:textId="77777777" w:rsidR="004F07DF" w:rsidRDefault="004F07DF" w:rsidP="004F07DF">
      <w:pPr>
        <w:pStyle w:val="BodyText"/>
        <w:rPr>
          <w:rFonts w:ascii="Georgia" w:eastAsia="Calibri" w:hAnsi="Georgia" w:cs="Times New Roman"/>
          <w:kern w:val="0"/>
          <w:sz w:val="21"/>
          <w:szCs w:val="22"/>
        </w:rPr>
      </w:pPr>
      <w:r w:rsidRPr="00210059">
        <w:rPr>
          <w:rFonts w:ascii="Georgia" w:eastAsia="Calibri" w:hAnsi="Georgia" w:cs="Times New Roman"/>
          <w:kern w:val="0"/>
          <w:sz w:val="21"/>
          <w:szCs w:val="22"/>
        </w:rPr>
        <w:t>In an objective of transparency, Enabel undertakes to publish each year a list of recipients of its contracts. By introducing his tender, the successful tenderer declares that he agrees with the publication of the title of the contract, the nature and object of the contract, its name and location, and the amount of the contract.</w:t>
      </w:r>
    </w:p>
    <w:p w14:paraId="278D713E" w14:textId="77777777" w:rsidR="004F07DF" w:rsidRPr="003658B5" w:rsidRDefault="004F07DF" w:rsidP="004F07DF">
      <w:pPr>
        <w:pStyle w:val="Heading1"/>
        <w:numPr>
          <w:ilvl w:val="0"/>
          <w:numId w:val="5"/>
        </w:numPr>
      </w:pPr>
      <w:bookmarkStart w:id="94" w:name="_Toc117027492"/>
      <w:bookmarkEnd w:id="76"/>
      <w:bookmarkEnd w:id="77"/>
      <w:bookmarkEnd w:id="78"/>
      <w:bookmarkEnd w:id="79"/>
      <w:bookmarkEnd w:id="80"/>
      <w:r w:rsidRPr="003658B5">
        <w:t>Special contractual provisions</w:t>
      </w:r>
      <w:bookmarkEnd w:id="94"/>
    </w:p>
    <w:p w14:paraId="783E3255" w14:textId="77777777" w:rsidR="004F07DF" w:rsidRDefault="004F07DF" w:rsidP="004F07DF">
      <w:pPr>
        <w:pStyle w:val="BTCtextCTB"/>
        <w:rPr>
          <w:rFonts w:ascii="Georgia" w:hAnsi="Georgia"/>
          <w:color w:val="404040"/>
          <w:sz w:val="21"/>
          <w:szCs w:val="21"/>
        </w:rPr>
      </w:pPr>
      <w:r w:rsidRPr="000D5519">
        <w:rPr>
          <w:rFonts w:ascii="Georgia" w:hAnsi="Georgia"/>
          <w:color w:val="404040"/>
          <w:sz w:val="21"/>
          <w:szCs w:val="21"/>
        </w:rPr>
        <w:t>This chapter of these Tender Specifications holds the specific provisions that apply to this public procurement contract as a derogation of the 'General Implementing Rules for public procurement contracts and for public works concessions’ of the Royal Decree of 14 January 2013, hereinafter referred to as 'GIR', or as a complement or an elaboration thereof. The numbering of the articles below (between brackets) follows the numbering of the GIR articles. Unless indicated, the relevant provisions of the General Implementing Rules (GIR) apply in full.</w:t>
      </w:r>
    </w:p>
    <w:p w14:paraId="051DECC8" w14:textId="77777777" w:rsidR="004F07DF" w:rsidRPr="00DA742D" w:rsidRDefault="004F07DF" w:rsidP="004F07DF">
      <w:pPr>
        <w:pStyle w:val="BodyText"/>
        <w:shd w:val="clear" w:color="auto" w:fill="FFFFFF"/>
        <w:rPr>
          <w:rFonts w:ascii="Georgia" w:eastAsia="Calibri" w:hAnsi="Georgia" w:cs="Times New Roman"/>
          <w:i/>
          <w:kern w:val="0"/>
          <w:sz w:val="21"/>
          <w:szCs w:val="22"/>
        </w:rPr>
      </w:pPr>
      <w:r w:rsidRPr="001228B0">
        <w:rPr>
          <w:rFonts w:ascii="Georgia" w:hAnsi="Georgia"/>
          <w:sz w:val="21"/>
          <w:szCs w:val="22"/>
        </w:rPr>
        <w:t>These tender documents derogate from Art. 25-33 of the General Implementing Rules.</w:t>
      </w:r>
    </w:p>
    <w:p w14:paraId="6811588B" w14:textId="77777777" w:rsidR="004F07DF" w:rsidRPr="00C44D66" w:rsidRDefault="004F07DF" w:rsidP="004F07DF">
      <w:pPr>
        <w:keepNext/>
        <w:keepLines/>
        <w:numPr>
          <w:ilvl w:val="1"/>
          <w:numId w:val="2"/>
        </w:numPr>
        <w:spacing w:before="120" w:after="120" w:line="240" w:lineRule="auto"/>
        <w:ind w:left="1001"/>
        <w:outlineLvl w:val="1"/>
        <w:rPr>
          <w:rFonts w:ascii="Calibri" w:eastAsia="MS Gothic" w:hAnsi="Calibri"/>
          <w:b/>
          <w:color w:val="D81A1A"/>
          <w:sz w:val="28"/>
          <w:szCs w:val="26"/>
        </w:rPr>
      </w:pPr>
      <w:bookmarkStart w:id="95" w:name="_Toc52890447"/>
      <w:bookmarkStart w:id="96" w:name="_Toc117027493"/>
      <w:r w:rsidRPr="00C44D66">
        <w:rPr>
          <w:rFonts w:ascii="Calibri" w:eastAsia="MS Gothic" w:hAnsi="Calibri"/>
          <w:b/>
          <w:color w:val="D81A1A"/>
          <w:sz w:val="28"/>
          <w:szCs w:val="26"/>
        </w:rPr>
        <w:t>Definitions (Art. 2)</w:t>
      </w:r>
      <w:bookmarkEnd w:id="95"/>
      <w:bookmarkEnd w:id="96"/>
    </w:p>
    <w:p w14:paraId="7C7ECCEB" w14:textId="77777777" w:rsidR="004F07DF" w:rsidRPr="00C44D66" w:rsidRDefault="004F07DF" w:rsidP="004F07DF">
      <w:pPr>
        <w:numPr>
          <w:ilvl w:val="0"/>
          <w:numId w:val="50"/>
        </w:numPr>
        <w:spacing w:line="259" w:lineRule="auto"/>
        <w:ind w:left="284" w:hanging="284"/>
        <w:jc w:val="both"/>
        <w:rPr>
          <w:rFonts w:cs="Arial"/>
          <w:color w:val="auto"/>
        </w:rPr>
      </w:pPr>
      <w:r w:rsidRPr="00C44D66">
        <w:rPr>
          <w:rFonts w:cs="Arial"/>
          <w:color w:val="auto"/>
          <w:u w:val="single"/>
        </w:rPr>
        <w:t>Contract manager</w:t>
      </w:r>
      <w:r w:rsidRPr="00C44D66">
        <w:rPr>
          <w:rFonts w:cs="Arial"/>
          <w:color w:val="auto"/>
        </w:rPr>
        <w:t xml:space="preserve">: The official or any other person who manages and controls the performance of the </w:t>
      </w:r>
      <w:proofErr w:type="gramStart"/>
      <w:r w:rsidRPr="00C44D66">
        <w:rPr>
          <w:rFonts w:cs="Arial"/>
          <w:color w:val="auto"/>
        </w:rPr>
        <w:t>contract;</w:t>
      </w:r>
      <w:proofErr w:type="gramEnd"/>
    </w:p>
    <w:p w14:paraId="27886050" w14:textId="77777777" w:rsidR="004F07DF" w:rsidRPr="00C44D66" w:rsidRDefault="004F07DF" w:rsidP="004F07DF">
      <w:pPr>
        <w:numPr>
          <w:ilvl w:val="0"/>
          <w:numId w:val="50"/>
        </w:numPr>
        <w:spacing w:line="259" w:lineRule="auto"/>
        <w:ind w:left="284" w:hanging="284"/>
        <w:jc w:val="both"/>
        <w:rPr>
          <w:rFonts w:cs="Arial"/>
          <w:color w:val="auto"/>
        </w:rPr>
      </w:pPr>
      <w:r w:rsidRPr="00C44D66">
        <w:rPr>
          <w:rFonts w:cs="Arial"/>
          <w:color w:val="auto"/>
          <w:u w:val="single"/>
        </w:rPr>
        <w:t>Performance bond</w:t>
      </w:r>
      <w:r w:rsidRPr="00C44D66">
        <w:rPr>
          <w:rFonts w:cs="Arial"/>
          <w:color w:val="auto"/>
        </w:rPr>
        <w:t xml:space="preserve">: Financial guarantee given by the successful tenderer to cover its obligations until final and good performance of the </w:t>
      </w:r>
      <w:proofErr w:type="gramStart"/>
      <w:r w:rsidRPr="00C44D66">
        <w:rPr>
          <w:rFonts w:cs="Arial"/>
          <w:color w:val="auto"/>
        </w:rPr>
        <w:t>contract;</w:t>
      </w:r>
      <w:proofErr w:type="gramEnd"/>
    </w:p>
    <w:p w14:paraId="35E3AA2A" w14:textId="77777777" w:rsidR="004F07DF" w:rsidRPr="00C44D66" w:rsidRDefault="004F07DF" w:rsidP="004F07DF">
      <w:pPr>
        <w:numPr>
          <w:ilvl w:val="0"/>
          <w:numId w:val="50"/>
        </w:numPr>
        <w:spacing w:line="259" w:lineRule="auto"/>
        <w:ind w:left="284" w:hanging="284"/>
        <w:jc w:val="both"/>
        <w:rPr>
          <w:rFonts w:cs="Arial"/>
          <w:color w:val="auto"/>
        </w:rPr>
      </w:pPr>
      <w:r w:rsidRPr="00C44D66">
        <w:rPr>
          <w:rFonts w:cs="Arial"/>
          <w:color w:val="auto"/>
          <w:u w:val="single"/>
        </w:rPr>
        <w:t>Acceptance</w:t>
      </w:r>
      <w:r w:rsidRPr="00C44D66">
        <w:rPr>
          <w:rFonts w:cs="Arial"/>
          <w:color w:val="auto"/>
        </w:rPr>
        <w:t xml:space="preserve">: Observation by the contracting authority that the performance of all or part of the works, supplies or services is in compliance with good practice and with the terms and conditions of the </w:t>
      </w:r>
      <w:proofErr w:type="gramStart"/>
      <w:r w:rsidRPr="00C44D66">
        <w:rPr>
          <w:rFonts w:cs="Arial"/>
          <w:color w:val="auto"/>
        </w:rPr>
        <w:t>contract;</w:t>
      </w:r>
      <w:proofErr w:type="gramEnd"/>
    </w:p>
    <w:p w14:paraId="7A03E392" w14:textId="77777777" w:rsidR="004F07DF" w:rsidRPr="00C44D66" w:rsidRDefault="004F07DF" w:rsidP="004F07DF">
      <w:pPr>
        <w:numPr>
          <w:ilvl w:val="0"/>
          <w:numId w:val="50"/>
        </w:numPr>
        <w:spacing w:line="259" w:lineRule="auto"/>
        <w:ind w:left="284" w:hanging="284"/>
        <w:jc w:val="both"/>
        <w:rPr>
          <w:rFonts w:cs="Arial"/>
          <w:color w:val="auto"/>
        </w:rPr>
      </w:pPr>
      <w:r w:rsidRPr="00C44D66">
        <w:rPr>
          <w:rFonts w:cs="Arial"/>
          <w:color w:val="auto"/>
          <w:u w:val="single"/>
        </w:rPr>
        <w:t>Progress payment</w:t>
      </w:r>
      <w:r w:rsidRPr="00C44D66">
        <w:rPr>
          <w:rFonts w:cs="Arial"/>
          <w:color w:val="auto"/>
        </w:rPr>
        <w:t xml:space="preserve">: Payment of an instalment under the contract after service delivery is </w:t>
      </w:r>
      <w:proofErr w:type="gramStart"/>
      <w:r w:rsidRPr="00C44D66">
        <w:rPr>
          <w:rFonts w:cs="Arial"/>
          <w:color w:val="auto"/>
        </w:rPr>
        <w:t>accepted;</w:t>
      </w:r>
      <w:proofErr w:type="gramEnd"/>
    </w:p>
    <w:p w14:paraId="023E61D6" w14:textId="77777777" w:rsidR="004F07DF" w:rsidRPr="00C44D66" w:rsidRDefault="004F07DF" w:rsidP="004F07DF">
      <w:pPr>
        <w:numPr>
          <w:ilvl w:val="0"/>
          <w:numId w:val="50"/>
        </w:numPr>
        <w:spacing w:line="259" w:lineRule="auto"/>
        <w:ind w:left="284" w:hanging="284"/>
        <w:jc w:val="both"/>
        <w:rPr>
          <w:rFonts w:cs="Arial"/>
          <w:color w:val="auto"/>
        </w:rPr>
      </w:pPr>
      <w:r w:rsidRPr="00C44D66">
        <w:rPr>
          <w:rFonts w:cs="Arial"/>
          <w:color w:val="auto"/>
          <w:u w:val="single"/>
        </w:rPr>
        <w:t>Advance</w:t>
      </w:r>
      <w:r w:rsidRPr="00C44D66">
        <w:rPr>
          <w:rFonts w:cs="Arial"/>
          <w:color w:val="auto"/>
        </w:rPr>
        <w:t>: Payment of part of the contract before service delivery (if accepted</w:t>
      </w:r>
      <w:proofErr w:type="gramStart"/>
      <w:r w:rsidRPr="00C44D66">
        <w:rPr>
          <w:rFonts w:cs="Arial"/>
          <w:color w:val="auto"/>
        </w:rPr>
        <w:t>);</w:t>
      </w:r>
      <w:proofErr w:type="gramEnd"/>
    </w:p>
    <w:p w14:paraId="2E3C03B8" w14:textId="77777777" w:rsidR="004F07DF" w:rsidRPr="00C44D66" w:rsidRDefault="004F07DF" w:rsidP="004F07DF">
      <w:pPr>
        <w:numPr>
          <w:ilvl w:val="0"/>
          <w:numId w:val="50"/>
        </w:numPr>
        <w:spacing w:line="259" w:lineRule="auto"/>
        <w:ind w:left="284" w:hanging="284"/>
        <w:jc w:val="both"/>
        <w:rPr>
          <w:rFonts w:cs="Arial"/>
          <w:color w:val="auto"/>
        </w:rPr>
      </w:pPr>
      <w:r w:rsidRPr="00C44D66">
        <w:rPr>
          <w:rFonts w:cs="Arial"/>
          <w:color w:val="auto"/>
          <w:u w:val="single"/>
        </w:rPr>
        <w:t>Amendment</w:t>
      </w:r>
      <w:r w:rsidRPr="00C44D66">
        <w:rPr>
          <w:rFonts w:cs="Arial"/>
          <w:color w:val="auto"/>
        </w:rPr>
        <w:t>: Agreement established between the contracting parties during contract performance in view of changing documents applicable to the contract.</w:t>
      </w:r>
    </w:p>
    <w:p w14:paraId="4F676D6E" w14:textId="77777777" w:rsidR="004F07DF" w:rsidRDefault="004F07DF" w:rsidP="004F07DF">
      <w:pPr>
        <w:pStyle w:val="Heading2"/>
      </w:pPr>
      <w:bookmarkStart w:id="97" w:name="_Toc117027494"/>
      <w:r>
        <w:t>Correspondence with the service provider (Art. 10)</w:t>
      </w:r>
      <w:bookmarkEnd w:id="97"/>
      <w:r>
        <w:t xml:space="preserve"> </w:t>
      </w:r>
    </w:p>
    <w:p w14:paraId="4DDDFFA9" w14:textId="77777777" w:rsidR="004F07DF" w:rsidRPr="00C44D66" w:rsidRDefault="004F07DF" w:rsidP="004F07DF">
      <w:pPr>
        <w:spacing w:line="259" w:lineRule="auto"/>
        <w:jc w:val="both"/>
        <w:rPr>
          <w:rFonts w:cs="Arial"/>
        </w:rPr>
      </w:pPr>
      <w:r>
        <w:t>Notifications by the contracting authority are addressed to the domicile or to the registered office mentioned in the tender, except if the tender documents require the service provider to elect domicile elsewhere after conclusion of the contract.</w:t>
      </w:r>
    </w:p>
    <w:p w14:paraId="58A5C30C" w14:textId="77777777" w:rsidR="004F07DF" w:rsidRPr="003658B5" w:rsidRDefault="004F07DF" w:rsidP="004F07DF">
      <w:pPr>
        <w:pStyle w:val="Heading2"/>
        <w:keepLines w:val="0"/>
        <w:widowControl w:val="0"/>
        <w:tabs>
          <w:tab w:val="num" w:pos="576"/>
        </w:tabs>
        <w:suppressAutoHyphens/>
        <w:spacing w:after="240"/>
      </w:pPr>
      <w:bookmarkStart w:id="98" w:name="_Toc117027495"/>
      <w:r>
        <w:lastRenderedPageBreak/>
        <w:t>Managing official (Art. 11)</w:t>
      </w:r>
      <w:bookmarkEnd w:id="98"/>
    </w:p>
    <w:p w14:paraId="3B50E9DD" w14:textId="77777777" w:rsidR="009E20E1" w:rsidRDefault="004F07DF" w:rsidP="004F07DF">
      <w:pPr>
        <w:pStyle w:val="NormalWeb"/>
        <w:autoSpaceDE w:val="0"/>
        <w:autoSpaceDN w:val="0"/>
        <w:spacing w:after="0" w:afterAutospacing="0"/>
        <w:rPr>
          <w:rFonts w:ascii="Georgia" w:hAnsi="Georgia"/>
          <w:sz w:val="21"/>
          <w:szCs w:val="21"/>
          <w:lang w:val="en-US"/>
        </w:rPr>
      </w:pPr>
      <w:r w:rsidRPr="00000405">
        <w:rPr>
          <w:rFonts w:ascii="Georgia" w:hAnsi="Georgia"/>
          <w:sz w:val="21"/>
          <w:szCs w:val="21"/>
          <w:lang w:val="en-US"/>
        </w:rPr>
        <w:t>The managing official</w:t>
      </w:r>
      <w:r w:rsidR="009E20E1">
        <w:rPr>
          <w:rFonts w:ascii="Georgia" w:hAnsi="Georgia"/>
          <w:sz w:val="21"/>
          <w:szCs w:val="21"/>
          <w:lang w:val="en-US"/>
        </w:rPr>
        <w:t>s</w:t>
      </w:r>
      <w:r w:rsidRPr="00000405">
        <w:rPr>
          <w:rFonts w:ascii="Georgia" w:hAnsi="Georgia"/>
          <w:sz w:val="21"/>
          <w:szCs w:val="21"/>
          <w:lang w:val="en-US"/>
        </w:rPr>
        <w:t xml:space="preserve"> </w:t>
      </w:r>
      <w:r w:rsidR="009E20E1">
        <w:rPr>
          <w:rFonts w:ascii="Georgia" w:hAnsi="Georgia"/>
          <w:sz w:val="21"/>
          <w:szCs w:val="21"/>
          <w:lang w:val="en-US"/>
        </w:rPr>
        <w:t>are:</w:t>
      </w:r>
    </w:p>
    <w:p w14:paraId="45413E9F" w14:textId="3958A869" w:rsidR="00E653DC" w:rsidRPr="00A55DEB" w:rsidRDefault="00E653DC" w:rsidP="00A55DEB">
      <w:pPr>
        <w:pStyle w:val="NormalWeb"/>
        <w:autoSpaceDE w:val="0"/>
        <w:autoSpaceDN w:val="0"/>
        <w:spacing w:before="120" w:beforeAutospacing="0" w:after="0" w:afterAutospacing="0"/>
        <w:rPr>
          <w:rFonts w:ascii="Georgia" w:hAnsi="Georgia"/>
          <w:b/>
          <w:bCs/>
          <w:sz w:val="21"/>
          <w:szCs w:val="21"/>
          <w:lang w:val="en-US"/>
        </w:rPr>
      </w:pPr>
      <w:r w:rsidRPr="00A55DEB">
        <w:rPr>
          <w:rFonts w:ascii="Georgia" w:hAnsi="Georgia"/>
          <w:b/>
          <w:bCs/>
          <w:sz w:val="21"/>
          <w:szCs w:val="21"/>
          <w:lang w:val="en-US"/>
        </w:rPr>
        <w:t>Dr Véronique Zinnen,</w:t>
      </w:r>
      <w:r w:rsidR="002F2A77" w:rsidRPr="00A55DEB">
        <w:rPr>
          <w:rFonts w:ascii="Georgia" w:hAnsi="Georgia"/>
          <w:b/>
          <w:bCs/>
          <w:sz w:val="21"/>
          <w:szCs w:val="21"/>
          <w:lang w:val="en-US"/>
        </w:rPr>
        <w:t xml:space="preserve"> Senior Public Health Expert and </w:t>
      </w:r>
      <w:r w:rsidRPr="00A55DEB">
        <w:rPr>
          <w:rFonts w:ascii="Georgia" w:hAnsi="Georgia"/>
          <w:b/>
          <w:bCs/>
          <w:sz w:val="21"/>
          <w:szCs w:val="21"/>
          <w:lang w:val="en-US"/>
        </w:rPr>
        <w:t>Intervention manager</w:t>
      </w:r>
      <w:r w:rsidR="002F2A77" w:rsidRPr="00A55DEB">
        <w:rPr>
          <w:rFonts w:ascii="Georgia" w:hAnsi="Georgia"/>
          <w:b/>
          <w:bCs/>
          <w:sz w:val="21"/>
          <w:szCs w:val="21"/>
          <w:lang w:val="en-US"/>
        </w:rPr>
        <w:t xml:space="preserve"> of </w:t>
      </w:r>
      <w:r w:rsidR="00A55DEB">
        <w:rPr>
          <w:rFonts w:ascii="Georgia" w:hAnsi="Georgia"/>
          <w:b/>
          <w:bCs/>
          <w:sz w:val="21"/>
          <w:szCs w:val="21"/>
          <w:lang w:val="en-US"/>
        </w:rPr>
        <w:t>Barame/Enabel</w:t>
      </w:r>
      <w:r w:rsidR="002F2A77" w:rsidRPr="00A55DEB">
        <w:rPr>
          <w:rFonts w:ascii="Georgia" w:hAnsi="Georgia"/>
          <w:b/>
          <w:bCs/>
          <w:sz w:val="21"/>
          <w:szCs w:val="21"/>
          <w:lang w:val="en-US"/>
        </w:rPr>
        <w:t xml:space="preserve"> project</w:t>
      </w:r>
      <w:r w:rsidR="009B33EE" w:rsidRPr="00A55DEB">
        <w:rPr>
          <w:rFonts w:ascii="Georgia" w:hAnsi="Georgia"/>
          <w:b/>
          <w:bCs/>
          <w:sz w:val="21"/>
          <w:szCs w:val="21"/>
          <w:lang w:val="en-US"/>
        </w:rPr>
        <w:t xml:space="preserve">, </w:t>
      </w:r>
    </w:p>
    <w:p w14:paraId="52A9FE98" w14:textId="0E05E47B" w:rsidR="009B33EE" w:rsidRPr="008A398C" w:rsidRDefault="009B33EE" w:rsidP="003D6B41">
      <w:pPr>
        <w:pStyle w:val="NormalWeb"/>
        <w:autoSpaceDE w:val="0"/>
        <w:autoSpaceDN w:val="0"/>
        <w:spacing w:before="0" w:beforeAutospacing="0" w:after="0" w:afterAutospacing="0"/>
        <w:rPr>
          <w:rFonts w:ascii="Georgia" w:hAnsi="Georgia"/>
          <w:b/>
          <w:bCs/>
          <w:sz w:val="21"/>
          <w:szCs w:val="21"/>
        </w:rPr>
      </w:pPr>
      <w:proofErr w:type="gramStart"/>
      <w:r w:rsidRPr="008A398C">
        <w:rPr>
          <w:rFonts w:ascii="Georgia" w:hAnsi="Georgia"/>
          <w:b/>
          <w:bCs/>
          <w:sz w:val="21"/>
          <w:szCs w:val="21"/>
        </w:rPr>
        <w:t>Tel:</w:t>
      </w:r>
      <w:proofErr w:type="gramEnd"/>
      <w:r w:rsidRPr="008A398C">
        <w:rPr>
          <w:rFonts w:ascii="Georgia" w:hAnsi="Georgia"/>
          <w:b/>
          <w:bCs/>
          <w:sz w:val="21"/>
          <w:szCs w:val="21"/>
        </w:rPr>
        <w:t xml:space="preserve"> +250</w:t>
      </w:r>
      <w:r w:rsidR="003D6B41" w:rsidRPr="008A398C">
        <w:rPr>
          <w:rFonts w:ascii="Georgia" w:hAnsi="Georgia"/>
          <w:b/>
          <w:bCs/>
          <w:sz w:val="21"/>
          <w:szCs w:val="21"/>
        </w:rPr>
        <w:t xml:space="preserve"> 785 191 806</w:t>
      </w:r>
    </w:p>
    <w:p w14:paraId="131AEBE6" w14:textId="1E0672DE" w:rsidR="003D6B41" w:rsidRPr="00A55DEB" w:rsidRDefault="003D6B41" w:rsidP="003D6B41">
      <w:pPr>
        <w:pStyle w:val="NormalWeb"/>
        <w:autoSpaceDE w:val="0"/>
        <w:autoSpaceDN w:val="0"/>
        <w:spacing w:before="0" w:beforeAutospacing="0" w:after="0" w:afterAutospacing="0"/>
        <w:rPr>
          <w:rFonts w:ascii="Georgia" w:hAnsi="Georgia"/>
          <w:b/>
          <w:bCs/>
          <w:sz w:val="21"/>
          <w:szCs w:val="21"/>
        </w:rPr>
      </w:pPr>
      <w:proofErr w:type="gramStart"/>
      <w:r w:rsidRPr="00A55DEB">
        <w:rPr>
          <w:rFonts w:ascii="Georgia" w:hAnsi="Georgia"/>
          <w:b/>
          <w:bCs/>
          <w:sz w:val="21"/>
          <w:szCs w:val="21"/>
        </w:rPr>
        <w:t>e-mail:</w:t>
      </w:r>
      <w:proofErr w:type="gramEnd"/>
      <w:r w:rsidRPr="00A55DEB">
        <w:rPr>
          <w:rFonts w:ascii="Georgia" w:hAnsi="Georgia"/>
          <w:b/>
          <w:bCs/>
          <w:sz w:val="21"/>
          <w:szCs w:val="21"/>
        </w:rPr>
        <w:t xml:space="preserve"> </w:t>
      </w:r>
      <w:r w:rsidRPr="00CC6257">
        <w:rPr>
          <w:rStyle w:val="Hyperlink"/>
          <w:rFonts w:ascii="Georgia" w:hAnsi="Georgia"/>
          <w:b/>
          <w:bCs/>
          <w:sz w:val="21"/>
          <w:szCs w:val="21"/>
        </w:rPr>
        <w:t xml:space="preserve">veronique </w:t>
      </w:r>
      <w:hyperlink r:id="rId26" w:history="1">
        <w:r w:rsidR="00A55DEB" w:rsidRPr="00A55DEB">
          <w:rPr>
            <w:rStyle w:val="Hyperlink"/>
            <w:rFonts w:ascii="Georgia" w:hAnsi="Georgia"/>
            <w:b/>
            <w:bCs/>
            <w:sz w:val="21"/>
            <w:szCs w:val="21"/>
          </w:rPr>
          <w:t>zinnen@enabel.be</w:t>
        </w:r>
      </w:hyperlink>
    </w:p>
    <w:p w14:paraId="49160916" w14:textId="7BE26D0A" w:rsidR="004F07DF" w:rsidRPr="007160CE" w:rsidRDefault="004F07DF" w:rsidP="008A398C">
      <w:pPr>
        <w:pStyle w:val="BodyText"/>
        <w:spacing w:before="120"/>
        <w:rPr>
          <w:rFonts w:ascii="Georgia" w:hAnsi="Georgia"/>
          <w:sz w:val="21"/>
          <w:szCs w:val="21"/>
        </w:rPr>
      </w:pPr>
      <w:r w:rsidRPr="007160CE">
        <w:rPr>
          <w:rFonts w:ascii="Georgia" w:hAnsi="Georgia"/>
          <w:sz w:val="21"/>
          <w:szCs w:val="21"/>
        </w:rPr>
        <w:t>Once the procurement contract is concluded, the managing official is the main contact point for the service provider. Any correspondence or any questions with regards to the performance of the procurement contract will be addressed to him/her, unless explicitly mentioned otherwise in these Tender Specifications.</w:t>
      </w:r>
    </w:p>
    <w:p w14:paraId="6D6762BD" w14:textId="77777777" w:rsidR="004F07DF" w:rsidRPr="007160CE" w:rsidRDefault="004F07DF" w:rsidP="004F07DF">
      <w:pPr>
        <w:pStyle w:val="BodyText"/>
        <w:rPr>
          <w:rFonts w:ascii="Georgia" w:hAnsi="Georgia"/>
          <w:sz w:val="21"/>
          <w:szCs w:val="21"/>
        </w:rPr>
      </w:pPr>
      <w:r w:rsidRPr="007160CE">
        <w:rPr>
          <w:rFonts w:ascii="Georgia" w:hAnsi="Georgia"/>
          <w:sz w:val="21"/>
          <w:szCs w:val="21"/>
        </w:rPr>
        <w:t>The managing official is responsible for the follow-up of the performance of the contract.</w:t>
      </w:r>
    </w:p>
    <w:p w14:paraId="3243CD05" w14:textId="77777777" w:rsidR="004F07DF" w:rsidRPr="007160CE" w:rsidRDefault="004F07DF" w:rsidP="004F07DF">
      <w:pPr>
        <w:pStyle w:val="BTCtextCTB"/>
        <w:rPr>
          <w:rFonts w:ascii="Georgia" w:eastAsia="DejaVu Sans" w:hAnsi="Georgia" w:cs="Tahoma"/>
          <w:kern w:val="18"/>
          <w:sz w:val="21"/>
          <w:szCs w:val="21"/>
        </w:rPr>
      </w:pPr>
      <w:r w:rsidRPr="007160CE">
        <w:rPr>
          <w:rFonts w:ascii="Georgia" w:hAnsi="Georgia"/>
          <w:sz w:val="21"/>
          <w:szCs w:val="21"/>
        </w:rPr>
        <w:t>The managing official is fully competent for the follow-up of the satisfactory performance of the procurement contract, including issuing service orders, drawing up reports and states of affairs, approving the services, progress reports and reviews. (S)</w:t>
      </w:r>
      <w:r>
        <w:rPr>
          <w:rFonts w:ascii="Georgia" w:hAnsi="Georgia"/>
          <w:sz w:val="21"/>
          <w:szCs w:val="21"/>
        </w:rPr>
        <w:t xml:space="preserve"> </w:t>
      </w:r>
      <w:r w:rsidRPr="007160CE">
        <w:rPr>
          <w:rFonts w:ascii="Georgia" w:hAnsi="Georgia"/>
          <w:sz w:val="21"/>
          <w:szCs w:val="21"/>
        </w:rPr>
        <w:t xml:space="preserve">he may order any modifications to the procurement contract with regards to its subject-matter </w:t>
      </w:r>
      <w:proofErr w:type="gramStart"/>
      <w:r w:rsidRPr="007160CE">
        <w:rPr>
          <w:rFonts w:ascii="Georgia" w:hAnsi="Georgia"/>
          <w:sz w:val="21"/>
          <w:szCs w:val="21"/>
        </w:rPr>
        <w:t>provided that</w:t>
      </w:r>
      <w:proofErr w:type="gramEnd"/>
      <w:r w:rsidRPr="007160CE">
        <w:rPr>
          <w:rFonts w:ascii="Georgia" w:hAnsi="Georgia"/>
          <w:sz w:val="21"/>
          <w:szCs w:val="21"/>
        </w:rPr>
        <w:t xml:space="preserve"> they remain within its scope.</w:t>
      </w:r>
    </w:p>
    <w:p w14:paraId="6E1D0311" w14:textId="77777777" w:rsidR="004F07DF" w:rsidRPr="007160CE" w:rsidRDefault="004F07DF" w:rsidP="004F07DF">
      <w:pPr>
        <w:pStyle w:val="BTCtextCTB"/>
        <w:rPr>
          <w:rFonts w:ascii="Georgia" w:eastAsia="DejaVu Sans" w:hAnsi="Georgia" w:cs="Tahoma"/>
          <w:kern w:val="18"/>
          <w:sz w:val="21"/>
          <w:szCs w:val="21"/>
        </w:rPr>
      </w:pPr>
      <w:r w:rsidRPr="007160CE">
        <w:rPr>
          <w:rFonts w:ascii="Georgia" w:hAnsi="Georgia"/>
          <w:sz w:val="21"/>
          <w:szCs w:val="21"/>
        </w:rPr>
        <w:t xml:space="preserve">However, the signing of amendments or any other decision or agreement implying derogation from the essential terms and conditions of the procurement contract are not part of the competence of the managing official. For such decisions the contracting authority is represented as stipulated under the contracting authority. </w:t>
      </w:r>
    </w:p>
    <w:p w14:paraId="6A0BA39A" w14:textId="77777777" w:rsidR="004F07DF" w:rsidRPr="007160CE" w:rsidRDefault="004F07DF" w:rsidP="004F07DF">
      <w:pPr>
        <w:pStyle w:val="BTCtextCTB"/>
        <w:rPr>
          <w:rFonts w:ascii="Georgia" w:eastAsia="DejaVu Sans" w:hAnsi="Georgia" w:cs="Tahoma"/>
          <w:kern w:val="18"/>
          <w:sz w:val="21"/>
          <w:szCs w:val="21"/>
        </w:rPr>
      </w:pPr>
      <w:r w:rsidRPr="007160CE">
        <w:rPr>
          <w:rFonts w:ascii="Georgia" w:hAnsi="Georgia"/>
          <w:sz w:val="21"/>
          <w:szCs w:val="21"/>
        </w:rPr>
        <w:t>Under no circumstances is the managing official allowed to modify the terms and conditions (</w:t>
      </w:r>
      <w:proofErr w:type="gramStart"/>
      <w:r w:rsidRPr="007160CE">
        <w:rPr>
          <w:rFonts w:ascii="Georgia" w:hAnsi="Georgia"/>
          <w:sz w:val="21"/>
          <w:szCs w:val="21"/>
        </w:rPr>
        <w:t>e.g.</w:t>
      </w:r>
      <w:proofErr w:type="gramEnd"/>
      <w:r w:rsidRPr="007160CE">
        <w:rPr>
          <w:rFonts w:ascii="Georgia" w:hAnsi="Georgia"/>
          <w:sz w:val="21"/>
          <w:szCs w:val="21"/>
        </w:rPr>
        <w:t xml:space="preserve"> performance deadline) of the contract, even if the financial impact is nil or negative. Any commitment, change or agreement that deviates from the conditions in the Tender Specifications and that has not been notified by the contracting authority, will be considered null and void.</w:t>
      </w:r>
    </w:p>
    <w:p w14:paraId="5B9031AC" w14:textId="77777777" w:rsidR="004F07DF" w:rsidRPr="003658B5" w:rsidRDefault="004F07DF" w:rsidP="004F07DF">
      <w:pPr>
        <w:pStyle w:val="Heading2"/>
        <w:keepLines w:val="0"/>
        <w:widowControl w:val="0"/>
        <w:tabs>
          <w:tab w:val="num" w:pos="576"/>
        </w:tabs>
        <w:suppressAutoHyphens/>
        <w:spacing w:after="240"/>
      </w:pPr>
      <w:bookmarkStart w:id="99" w:name="_Toc361408323"/>
      <w:bookmarkStart w:id="100" w:name="_Toc117027496"/>
      <w:bookmarkStart w:id="101" w:name="_Toc361408324"/>
      <w:r>
        <w:t>Subcontractors (Art. 12 to 15)</w:t>
      </w:r>
      <w:bookmarkEnd w:id="99"/>
      <w:bookmarkEnd w:id="100"/>
    </w:p>
    <w:p w14:paraId="45CE6E73" w14:textId="77777777" w:rsidR="004F07DF" w:rsidRPr="00A12C44" w:rsidRDefault="004F07DF" w:rsidP="004F07DF">
      <w:pPr>
        <w:pStyle w:val="BodyText"/>
        <w:rPr>
          <w:rFonts w:ascii="Georgia" w:hAnsi="Georgia"/>
          <w:sz w:val="21"/>
          <w:szCs w:val="21"/>
        </w:rPr>
      </w:pPr>
      <w:r w:rsidRPr="007160CE">
        <w:rPr>
          <w:rFonts w:ascii="Georgia" w:hAnsi="Georgia"/>
          <w:sz w:val="21"/>
          <w:szCs w:val="21"/>
        </w:rPr>
        <w:t>T</w:t>
      </w:r>
      <w:r w:rsidRPr="00A12C44">
        <w:rPr>
          <w:rFonts w:ascii="Georgia" w:hAnsi="Georgia"/>
          <w:sz w:val="21"/>
          <w:szCs w:val="21"/>
        </w:rPr>
        <w:t>he fact that the contractor entrusts all or part of his commitments to subcontractors does not relieve him of liability to the contracting authority. The latter does not recognise any contractual relation with third parties.</w:t>
      </w:r>
    </w:p>
    <w:p w14:paraId="1B6FF8E3" w14:textId="77777777" w:rsidR="004F07DF" w:rsidRPr="00A12C44" w:rsidRDefault="004F07DF" w:rsidP="004F07DF">
      <w:pPr>
        <w:pStyle w:val="BodyText"/>
        <w:rPr>
          <w:rFonts w:ascii="Georgia" w:hAnsi="Georgia"/>
          <w:sz w:val="21"/>
          <w:szCs w:val="21"/>
        </w:rPr>
      </w:pPr>
      <w:r w:rsidRPr="00A12C44">
        <w:rPr>
          <w:rFonts w:ascii="Georgia" w:hAnsi="Georgia"/>
          <w:sz w:val="21"/>
          <w:szCs w:val="21"/>
        </w:rPr>
        <w:t>The contractor remains, in any case, solely liable to the contracting authority.</w:t>
      </w:r>
    </w:p>
    <w:p w14:paraId="31ABDE67" w14:textId="77777777" w:rsidR="004F07DF" w:rsidRPr="005E17D7" w:rsidRDefault="004F07DF" w:rsidP="004F07DF">
      <w:pPr>
        <w:pStyle w:val="BodyText"/>
        <w:rPr>
          <w:rFonts w:ascii="Georgia" w:hAnsi="Georgia"/>
          <w:sz w:val="21"/>
          <w:szCs w:val="21"/>
        </w:rPr>
      </w:pPr>
      <w:r w:rsidRPr="00A12C44">
        <w:rPr>
          <w:rFonts w:ascii="Georgia" w:hAnsi="Georgia"/>
          <w:sz w:val="21"/>
          <w:szCs w:val="21"/>
        </w:rPr>
        <w:t>The service provider commits to having the procurement contract performed by the persons indicated in the tender, except for force majeure. The persons mentioned or their replacements are all deemed to effectively be involved in the performance of the procurement contract. Any replacements must be approved by the contracting authority.</w:t>
      </w:r>
    </w:p>
    <w:p w14:paraId="297FE944" w14:textId="77777777" w:rsidR="004F07DF" w:rsidRPr="00A12C44" w:rsidRDefault="004F07DF" w:rsidP="004F07DF">
      <w:pPr>
        <w:pStyle w:val="BodyText"/>
        <w:rPr>
          <w:rFonts w:cs="Arial"/>
          <w:i/>
          <w:sz w:val="18"/>
          <w:szCs w:val="18"/>
        </w:rPr>
      </w:pPr>
      <w:r w:rsidRPr="00A12C44">
        <w:rPr>
          <w:i/>
          <w:sz w:val="18"/>
          <w:szCs w:val="18"/>
        </w:rPr>
        <w:t>Art. 12/3 § 2 of the Royal Decree of 14 January 2013:</w:t>
      </w:r>
    </w:p>
    <w:p w14:paraId="2B2492FF" w14:textId="77777777" w:rsidR="004F07DF" w:rsidRPr="00A12C44" w:rsidRDefault="004F07DF" w:rsidP="004F07DF">
      <w:pPr>
        <w:pStyle w:val="BodyText"/>
        <w:rPr>
          <w:i/>
          <w:sz w:val="18"/>
          <w:szCs w:val="18"/>
        </w:rPr>
      </w:pPr>
      <w:r w:rsidRPr="00A12C44">
        <w:rPr>
          <w:i/>
          <w:sz w:val="18"/>
          <w:szCs w:val="18"/>
        </w:rPr>
        <w:t>3° when this involves a service contract in a sector susceptible to fraud, the subcontracting chain may only have two levels at most, namely the contractor's direct subcontractor and the second level subcontractor.</w:t>
      </w:r>
    </w:p>
    <w:p w14:paraId="35280A71" w14:textId="77777777" w:rsidR="004F07DF" w:rsidRPr="00A12C44" w:rsidRDefault="004F07DF" w:rsidP="004F07DF">
      <w:pPr>
        <w:jc w:val="both"/>
        <w:rPr>
          <w:color w:val="auto"/>
          <w:lang w:val="en-US"/>
        </w:rPr>
      </w:pPr>
      <w:r w:rsidRPr="00A12C44">
        <w:rPr>
          <w:color w:val="auto"/>
          <w:lang w:val="en-US"/>
        </w:rPr>
        <w:t>When the contractor uses a subcontractor to carry out specific processing activities on behalf of the contracting authority, the same data protection obligations as those of the contractor are imposed on that subcontractor by contract or any other legal act.</w:t>
      </w:r>
    </w:p>
    <w:p w14:paraId="5C2567AB" w14:textId="77777777" w:rsidR="004F07DF" w:rsidRPr="00A12C44" w:rsidRDefault="004F07DF" w:rsidP="004F07DF">
      <w:pPr>
        <w:jc w:val="both"/>
        <w:rPr>
          <w:color w:val="auto"/>
          <w:lang w:val="en-US"/>
        </w:rPr>
      </w:pPr>
      <w:r w:rsidRPr="00A12C44">
        <w:rPr>
          <w:color w:val="auto"/>
          <w:lang w:val="en-US"/>
        </w:rPr>
        <w:t xml:space="preserve">In the same way, the contractor will respect and enforce to his subcontractors, the provisions of Regulation (EU) 2016/679 of the European Parliament and of the Council of 27 April 2016 on the protection of natural persons </w:t>
      </w:r>
      <w:proofErr w:type="gramStart"/>
      <w:r w:rsidRPr="00A12C44">
        <w:rPr>
          <w:color w:val="auto"/>
          <w:lang w:val="en-US"/>
        </w:rPr>
        <w:t>with regard to</w:t>
      </w:r>
      <w:proofErr w:type="gramEnd"/>
      <w:r w:rsidRPr="00A12C44">
        <w:rPr>
          <w:color w:val="auto"/>
          <w:lang w:val="en-US"/>
        </w:rPr>
        <w:t xml:space="preserve"> the processing of personal data and on the free movement of such data (General Data Protection Regulation, GDPR). The contracting authority </w:t>
      </w:r>
      <w:r w:rsidRPr="00A12C44">
        <w:rPr>
          <w:color w:val="auto"/>
          <w:lang w:val="en-US"/>
        </w:rPr>
        <w:lastRenderedPageBreak/>
        <w:t xml:space="preserve">may conduct an audit of the processing carried out </w:t>
      </w:r>
      <w:proofErr w:type="gramStart"/>
      <w:r w:rsidRPr="00A12C44">
        <w:rPr>
          <w:color w:val="auto"/>
          <w:lang w:val="en-US"/>
        </w:rPr>
        <w:t>in order to</w:t>
      </w:r>
      <w:proofErr w:type="gramEnd"/>
      <w:r w:rsidRPr="00A12C44">
        <w:rPr>
          <w:color w:val="auto"/>
          <w:lang w:val="en-US"/>
        </w:rPr>
        <w:t xml:space="preserve"> validate compliance with this legislation.</w:t>
      </w:r>
    </w:p>
    <w:p w14:paraId="2206E410" w14:textId="77777777" w:rsidR="004F07DF" w:rsidRPr="001F1CC8" w:rsidRDefault="004F07DF" w:rsidP="004F07DF">
      <w:pPr>
        <w:pStyle w:val="Heading2"/>
        <w:rPr>
          <w:lang w:val="en-US"/>
        </w:rPr>
      </w:pPr>
      <w:bookmarkStart w:id="102" w:name="_Toc117027497"/>
      <w:r w:rsidRPr="001F1CC8">
        <w:rPr>
          <w:lang w:val="en-US"/>
        </w:rPr>
        <w:t>Confidentiality (art. 18)</w:t>
      </w:r>
      <w:bookmarkEnd w:id="102"/>
    </w:p>
    <w:p w14:paraId="7D680496" w14:textId="77777777" w:rsidR="004F07DF" w:rsidRPr="007160CE" w:rsidRDefault="004F07DF" w:rsidP="004F07DF">
      <w:pPr>
        <w:rPr>
          <w:color w:val="auto"/>
          <w:lang w:val="en-US"/>
        </w:rPr>
      </w:pPr>
      <w:r w:rsidRPr="007160CE">
        <w:rPr>
          <w:color w:val="auto"/>
          <w:lang w:val="en-US"/>
        </w:rPr>
        <w:t>The knowledge and information gathered by the tenderer under the framework of this public contract is strictly confidential.</w:t>
      </w:r>
    </w:p>
    <w:p w14:paraId="1A84F956" w14:textId="77777777" w:rsidR="004F07DF" w:rsidRPr="007160CE" w:rsidRDefault="004F07DF" w:rsidP="004F07DF">
      <w:pPr>
        <w:rPr>
          <w:color w:val="auto"/>
          <w:lang w:val="en-US"/>
        </w:rPr>
      </w:pPr>
      <w:r w:rsidRPr="007160CE">
        <w:rPr>
          <w:color w:val="auto"/>
          <w:lang w:val="en-US"/>
        </w:rPr>
        <w:t>Under no circumstances can the information collected, regardless of its origin and nature, be transferred to third parties in any form.</w:t>
      </w:r>
    </w:p>
    <w:p w14:paraId="7A5E220B" w14:textId="77777777" w:rsidR="004F07DF" w:rsidRPr="007160CE" w:rsidRDefault="004F07DF" w:rsidP="004F07DF">
      <w:pPr>
        <w:rPr>
          <w:color w:val="auto"/>
          <w:lang w:val="en-US"/>
        </w:rPr>
      </w:pPr>
      <w:r w:rsidRPr="007160CE">
        <w:rPr>
          <w:color w:val="auto"/>
          <w:lang w:val="en-US"/>
        </w:rPr>
        <w:t>The tenderer is therefore bound by the duty of discretion.</w:t>
      </w:r>
    </w:p>
    <w:p w14:paraId="084CFCFB" w14:textId="77777777" w:rsidR="004F07DF" w:rsidRPr="007160CE" w:rsidRDefault="004F07DF" w:rsidP="004F07DF">
      <w:pPr>
        <w:jc w:val="both"/>
        <w:rPr>
          <w:color w:val="auto"/>
          <w:lang w:val="en-US"/>
        </w:rPr>
      </w:pPr>
      <w:r w:rsidRPr="007160CE">
        <w:rPr>
          <w:color w:val="auto"/>
          <w:lang w:val="en-US"/>
        </w:rPr>
        <w:t>In accordance with Article 18 of the Royal Decree of 14 January 2013 establishing the general rules for public procurement, the tenderer undertakes to consider and process in a strictly confidential manner any information, all facts, any documents and/or any data, whatever their nature and support, which have been communicated to him, in any form and by any means, or to which he has access, directly or indirectly, in the context or on the occasion of this public contract.  Confidential information covers</w:t>
      </w:r>
      <w:proofErr w:type="gramStart"/>
      <w:r w:rsidRPr="007160CE">
        <w:rPr>
          <w:color w:val="auto"/>
          <w:lang w:val="en-US"/>
        </w:rPr>
        <w:t>, in particular, the</w:t>
      </w:r>
      <w:proofErr w:type="gramEnd"/>
      <w:r w:rsidRPr="007160CE">
        <w:rPr>
          <w:color w:val="auto"/>
          <w:lang w:val="en-US"/>
        </w:rPr>
        <w:t xml:space="preserve"> very existence of this public contract, without this list being limited.</w:t>
      </w:r>
    </w:p>
    <w:p w14:paraId="0C91DBC3" w14:textId="77777777" w:rsidR="004F07DF" w:rsidRPr="007160CE" w:rsidRDefault="004F07DF" w:rsidP="004F07DF">
      <w:pPr>
        <w:rPr>
          <w:color w:val="auto"/>
          <w:lang w:val="en-US"/>
        </w:rPr>
      </w:pPr>
      <w:r w:rsidRPr="007160CE">
        <w:rPr>
          <w:color w:val="auto"/>
          <w:lang w:val="en-US"/>
        </w:rPr>
        <w:t>Therefore, he undertakes to:</w:t>
      </w:r>
    </w:p>
    <w:p w14:paraId="52A8929E" w14:textId="77777777" w:rsidR="004F07DF" w:rsidRPr="007160CE" w:rsidRDefault="004F07DF" w:rsidP="004F07DF">
      <w:pPr>
        <w:pStyle w:val="ListParagraph"/>
        <w:numPr>
          <w:ilvl w:val="0"/>
          <w:numId w:val="52"/>
        </w:numPr>
        <w:rPr>
          <w:color w:val="auto"/>
          <w:lang w:val="en-US"/>
        </w:rPr>
      </w:pPr>
      <w:r w:rsidRPr="007160CE">
        <w:rPr>
          <w:color w:val="auto"/>
          <w:lang w:val="en-US"/>
        </w:rPr>
        <w:t>Respect and enforce the strict confidentiality of these elements and to take all necessary precautions in order to preserve their secrecy (these precautions cannot in any case be inferior to those taken by the tenderer for the protection of his own confidential information</w:t>
      </w:r>
      <w:proofErr w:type="gramStart"/>
      <w:r w:rsidRPr="007160CE">
        <w:rPr>
          <w:color w:val="auto"/>
          <w:lang w:val="en-US"/>
        </w:rPr>
        <w:t>);</w:t>
      </w:r>
      <w:proofErr w:type="gramEnd"/>
    </w:p>
    <w:p w14:paraId="280D9BE1" w14:textId="77777777" w:rsidR="004F07DF" w:rsidRPr="007160CE" w:rsidRDefault="004F07DF" w:rsidP="004F07DF">
      <w:pPr>
        <w:pStyle w:val="ListParagraph"/>
        <w:numPr>
          <w:ilvl w:val="0"/>
          <w:numId w:val="52"/>
        </w:numPr>
        <w:rPr>
          <w:color w:val="auto"/>
          <w:lang w:val="en-US"/>
        </w:rPr>
      </w:pPr>
      <w:r w:rsidRPr="007160CE">
        <w:rPr>
          <w:color w:val="auto"/>
          <w:lang w:val="en-US"/>
        </w:rPr>
        <w:t>Consult, use and/or exploit, directly or indirectly, all of the above elements only to the extent strictly necessary to prepare and, if necessary, to carry out this public contract (particularly in accordance with the privacy legislation with respect to personal data processing</w:t>
      </w:r>
      <w:proofErr w:type="gramStart"/>
      <w:r w:rsidRPr="007160CE">
        <w:rPr>
          <w:color w:val="auto"/>
          <w:lang w:val="en-US"/>
        </w:rPr>
        <w:t>);</w:t>
      </w:r>
      <w:proofErr w:type="gramEnd"/>
    </w:p>
    <w:p w14:paraId="2D21D078" w14:textId="77777777" w:rsidR="004F07DF" w:rsidRPr="007160CE" w:rsidRDefault="004F07DF" w:rsidP="004F07DF">
      <w:pPr>
        <w:pStyle w:val="ListParagraph"/>
        <w:numPr>
          <w:ilvl w:val="0"/>
          <w:numId w:val="52"/>
        </w:numPr>
        <w:jc w:val="both"/>
        <w:rPr>
          <w:color w:val="auto"/>
          <w:lang w:val="en-US"/>
        </w:rPr>
      </w:pPr>
      <w:r w:rsidRPr="007160CE">
        <w:rPr>
          <w:color w:val="auto"/>
          <w:lang w:val="en-US"/>
        </w:rPr>
        <w:t xml:space="preserve">Not reproduce, distribute, disclose, transmit or otherwise make available to third parties the above elements, in whole or in part, and in any form, unless having obtained prior and written consent of the contracting </w:t>
      </w:r>
      <w:proofErr w:type="gramStart"/>
      <w:r w:rsidRPr="007160CE">
        <w:rPr>
          <w:color w:val="auto"/>
          <w:lang w:val="en-US"/>
        </w:rPr>
        <w:t>authority;</w:t>
      </w:r>
      <w:proofErr w:type="gramEnd"/>
    </w:p>
    <w:p w14:paraId="05475B3F" w14:textId="77777777" w:rsidR="004F07DF" w:rsidRPr="007160CE" w:rsidRDefault="004F07DF" w:rsidP="004F07DF">
      <w:pPr>
        <w:pStyle w:val="ListParagraph"/>
        <w:numPr>
          <w:ilvl w:val="0"/>
          <w:numId w:val="52"/>
        </w:numPr>
        <w:rPr>
          <w:color w:val="auto"/>
          <w:lang w:val="en-US"/>
        </w:rPr>
      </w:pPr>
      <w:r w:rsidRPr="007160CE">
        <w:rPr>
          <w:color w:val="auto"/>
          <w:lang w:val="en-US"/>
        </w:rPr>
        <w:t xml:space="preserve">Return, at the first request of the contracting authority, the above </w:t>
      </w:r>
      <w:proofErr w:type="gramStart"/>
      <w:r w:rsidRPr="007160CE">
        <w:rPr>
          <w:color w:val="auto"/>
          <w:lang w:val="en-US"/>
        </w:rPr>
        <w:t>elements;</w:t>
      </w:r>
      <w:proofErr w:type="gramEnd"/>
    </w:p>
    <w:p w14:paraId="1D843696" w14:textId="3F6D184D" w:rsidR="008A398C" w:rsidRDefault="004F07DF" w:rsidP="004F07DF">
      <w:pPr>
        <w:pStyle w:val="ListParagraph"/>
        <w:numPr>
          <w:ilvl w:val="0"/>
          <w:numId w:val="52"/>
        </w:numPr>
        <w:rPr>
          <w:color w:val="auto"/>
          <w:lang w:val="en-US"/>
        </w:rPr>
      </w:pPr>
      <w:r w:rsidRPr="007160CE">
        <w:rPr>
          <w:color w:val="auto"/>
          <w:lang w:val="en-US"/>
        </w:rPr>
        <w:t>In general, not disclose directly or indirectly to third parties, whether for advertising or any other reason, the content of this public contract.</w:t>
      </w:r>
    </w:p>
    <w:p w14:paraId="742EE2E5" w14:textId="77777777" w:rsidR="004F07DF" w:rsidRDefault="004F07DF" w:rsidP="004F07DF">
      <w:pPr>
        <w:pStyle w:val="Heading2"/>
        <w:rPr>
          <w:lang w:val="en-US"/>
        </w:rPr>
      </w:pPr>
      <w:bookmarkStart w:id="103" w:name="_Toc117027498"/>
      <w:r w:rsidRPr="006E67C5">
        <w:rPr>
          <w:lang w:val="en-US"/>
        </w:rPr>
        <w:t>Protection of personal data</w:t>
      </w:r>
      <w:bookmarkEnd w:id="103"/>
    </w:p>
    <w:p w14:paraId="45C35331" w14:textId="77777777" w:rsidR="004F07DF" w:rsidRPr="007160CE" w:rsidRDefault="004F07DF" w:rsidP="004F07DF">
      <w:pPr>
        <w:pStyle w:val="Heading3"/>
        <w:rPr>
          <w:color w:val="auto"/>
        </w:rPr>
      </w:pPr>
      <w:bookmarkStart w:id="104" w:name="_Toc117027499"/>
      <w:r w:rsidRPr="007160CE">
        <w:rPr>
          <w:color w:val="auto"/>
        </w:rPr>
        <w:t>Processing of personal data by the contracting authority</w:t>
      </w:r>
      <w:bookmarkEnd w:id="104"/>
      <w:r w:rsidRPr="007160CE">
        <w:rPr>
          <w:color w:val="auto"/>
        </w:rPr>
        <w:t xml:space="preserve"> </w:t>
      </w:r>
    </w:p>
    <w:p w14:paraId="715B5D22" w14:textId="77777777" w:rsidR="004F07DF" w:rsidRPr="007160CE" w:rsidRDefault="004F07DF" w:rsidP="004F07DF">
      <w:pPr>
        <w:rPr>
          <w:color w:val="auto"/>
          <w:lang w:val="en-US"/>
        </w:rPr>
      </w:pPr>
      <w:r w:rsidRPr="007160CE">
        <w:rPr>
          <w:color w:val="auto"/>
          <w:lang w:val="en-US"/>
        </w:rPr>
        <w:t xml:space="preserve">The contracting authority undertakes to process the personal data that are communicated to it in response to the Call for Tenders with the greatest care, in accordance with legislation on the protection of personal data (General Data Protection Regulation, GDPR). Where the Belgian law of 30 July 2018 on the protection of natural persons </w:t>
      </w:r>
      <w:proofErr w:type="gramStart"/>
      <w:r w:rsidRPr="007160CE">
        <w:rPr>
          <w:color w:val="auto"/>
          <w:lang w:val="en-US"/>
        </w:rPr>
        <w:t>with regard to</w:t>
      </w:r>
      <w:proofErr w:type="gramEnd"/>
      <w:r w:rsidRPr="007160CE">
        <w:rPr>
          <w:color w:val="auto"/>
          <w:lang w:val="en-US"/>
        </w:rPr>
        <w:t xml:space="preserve"> the processing of personal data contains stricter provisions, the contracting authority will act in accordance with said law.</w:t>
      </w:r>
    </w:p>
    <w:p w14:paraId="5910D57D" w14:textId="77777777" w:rsidR="004F07DF" w:rsidRPr="007160CE" w:rsidRDefault="004F07DF" w:rsidP="004F07DF">
      <w:pPr>
        <w:pStyle w:val="Heading3"/>
        <w:rPr>
          <w:color w:val="auto"/>
        </w:rPr>
      </w:pPr>
      <w:bookmarkStart w:id="105" w:name="_Toc117027500"/>
      <w:r w:rsidRPr="007160CE">
        <w:rPr>
          <w:color w:val="auto"/>
        </w:rPr>
        <w:t>PROCESSING OF PERSONAL DATA BY A SUBCONTRACTOR</w:t>
      </w:r>
      <w:bookmarkEnd w:id="105"/>
    </w:p>
    <w:p w14:paraId="6F4AA2B5" w14:textId="77777777" w:rsidR="004F07DF" w:rsidRPr="00791CF8" w:rsidRDefault="004F07DF" w:rsidP="004F07DF">
      <w:pPr>
        <w:jc w:val="both"/>
        <w:rPr>
          <w:color w:val="auto"/>
          <w:lang w:val="en-US"/>
        </w:rPr>
      </w:pPr>
      <w:r w:rsidRPr="00791CF8">
        <w:rPr>
          <w:color w:val="auto"/>
          <w:lang w:val="en-US"/>
        </w:rPr>
        <w:t xml:space="preserve">During contract performance, the contractor may process personal data of the contracting authority exclusively in the name and on behalf of the contracting authority, for the sole purpose of performing the services in accordance with the provisions of the Tender Specifications or in execution of a legal obligation.  </w:t>
      </w:r>
    </w:p>
    <w:p w14:paraId="1D50F6A9" w14:textId="77777777" w:rsidR="004F07DF" w:rsidRPr="00791CF8" w:rsidRDefault="004F07DF" w:rsidP="004F07DF">
      <w:pPr>
        <w:jc w:val="both"/>
        <w:rPr>
          <w:color w:val="auto"/>
          <w:lang w:val="en-US"/>
        </w:rPr>
      </w:pPr>
      <w:r w:rsidRPr="00791CF8">
        <w:rPr>
          <w:color w:val="auto"/>
          <w:lang w:val="en-US"/>
        </w:rPr>
        <w:lastRenderedPageBreak/>
        <w:t>For any processing of personal data carried out in connection with this public contract, the contractor is required to comply with Regulation (EU) 2016/679 of the European Parliament and of the Council of 27 April 2016 on the protection of natural persons with regard to the processing of personal data and on the free movement of such data (GDPR) and the Belgian law of 30 July 2018 on the protection of natural persons with regard to the processing of personal data.</w:t>
      </w:r>
    </w:p>
    <w:p w14:paraId="46138371" w14:textId="77777777" w:rsidR="004F07DF" w:rsidRPr="00791CF8" w:rsidRDefault="004F07DF" w:rsidP="004F07DF">
      <w:pPr>
        <w:jc w:val="both"/>
        <w:rPr>
          <w:color w:val="auto"/>
          <w:lang w:val="en-US"/>
        </w:rPr>
      </w:pPr>
      <w:r w:rsidRPr="00791CF8">
        <w:rPr>
          <w:color w:val="auto"/>
          <w:lang w:val="en-US"/>
        </w:rPr>
        <w:t xml:space="preserve">By simply participating in the contracting process, the tenderer certifies that he will strictly comply with the obligations of the GDPR for any processing of personal data conducted in connection with that public contract. </w:t>
      </w:r>
    </w:p>
    <w:p w14:paraId="75A65BEA" w14:textId="77777777" w:rsidR="004F07DF" w:rsidRPr="00791CF8" w:rsidRDefault="004F07DF" w:rsidP="004F07DF">
      <w:pPr>
        <w:jc w:val="both"/>
        <w:rPr>
          <w:color w:val="auto"/>
          <w:lang w:val="en-US"/>
        </w:rPr>
      </w:pPr>
      <w:r w:rsidRPr="00791CF8">
        <w:rPr>
          <w:color w:val="auto"/>
          <w:lang w:val="en-US"/>
        </w:rPr>
        <w:t xml:space="preserve">The personal data that will be processed are confidential.  The contractor will therefore limit access to data to the strictly necessary personnel for the performance, </w:t>
      </w:r>
      <w:proofErr w:type="gramStart"/>
      <w:r w:rsidRPr="00791CF8">
        <w:rPr>
          <w:color w:val="auto"/>
          <w:lang w:val="en-US"/>
        </w:rPr>
        <w:t>management</w:t>
      </w:r>
      <w:proofErr w:type="gramEnd"/>
      <w:r w:rsidRPr="00791CF8">
        <w:rPr>
          <w:color w:val="auto"/>
          <w:lang w:val="en-US"/>
        </w:rPr>
        <w:t xml:space="preserve"> and monitoring of the public contract.</w:t>
      </w:r>
    </w:p>
    <w:p w14:paraId="0A21265C" w14:textId="77777777" w:rsidR="004F07DF" w:rsidRPr="00791CF8" w:rsidRDefault="004F07DF" w:rsidP="004F07DF">
      <w:pPr>
        <w:jc w:val="both"/>
        <w:rPr>
          <w:color w:val="auto"/>
          <w:lang w:val="en-US"/>
        </w:rPr>
      </w:pPr>
      <w:r w:rsidRPr="00791CF8">
        <w:rPr>
          <w:color w:val="auto"/>
          <w:lang w:val="en-US"/>
        </w:rPr>
        <w:t xml:space="preserve">For the performance of the public contract, the contracting authority will determine the purposes and means of processing personal data. In this case, the contracting authority will be responsible for the processing and the contractor will be its processor, within the meaning of Article 28 of the GDPR. </w:t>
      </w:r>
    </w:p>
    <w:p w14:paraId="34C93EC3" w14:textId="77777777" w:rsidR="004F07DF" w:rsidRPr="00791CF8" w:rsidRDefault="004F07DF" w:rsidP="004F07DF">
      <w:pPr>
        <w:jc w:val="both"/>
        <w:rPr>
          <w:color w:val="auto"/>
          <w:lang w:val="en-US"/>
        </w:rPr>
      </w:pPr>
      <w:r w:rsidRPr="00791CF8">
        <w:rPr>
          <w:color w:val="auto"/>
          <w:lang w:val="en-US"/>
        </w:rPr>
        <w:t xml:space="preserve">Processing carried out on behalf of a controller must be governed by a contract or other legal act that is binding on the processor with regard to the personal data controller and that sets out that the subcontractor acts only on the instruction of the person in charge of the processing and that the confidentiality and security obligations regarding the processing of personal data are also the responsibility of the subcontractor   Article 28 §3 of the GDPR). </w:t>
      </w:r>
    </w:p>
    <w:p w14:paraId="2779802E" w14:textId="77777777" w:rsidR="004F07DF" w:rsidRPr="00791CF8" w:rsidRDefault="004F07DF" w:rsidP="004F07DF">
      <w:pPr>
        <w:jc w:val="both"/>
        <w:rPr>
          <w:color w:val="auto"/>
          <w:lang w:val="en-US"/>
        </w:rPr>
      </w:pPr>
      <w:r w:rsidRPr="00791CF8">
        <w:rPr>
          <w:color w:val="auto"/>
          <w:lang w:val="en-US"/>
        </w:rPr>
        <w:t xml:space="preserve">To this end, the tenderer must fill out, </w:t>
      </w:r>
      <w:proofErr w:type="gramStart"/>
      <w:r w:rsidRPr="00791CF8">
        <w:rPr>
          <w:color w:val="auto"/>
          <w:lang w:val="en-US"/>
        </w:rPr>
        <w:t>sign</w:t>
      </w:r>
      <w:proofErr w:type="gramEnd"/>
      <w:r w:rsidRPr="00791CF8">
        <w:rPr>
          <w:color w:val="auto"/>
          <w:lang w:val="en-US"/>
        </w:rPr>
        <w:t xml:space="preserve"> and submit to the contracting authority the subcontracting agreement given in Annex </w:t>
      </w:r>
      <w:r>
        <w:rPr>
          <w:color w:val="auto"/>
          <w:lang w:val="en-US"/>
        </w:rPr>
        <w:t>6.16</w:t>
      </w:r>
      <w:r w:rsidRPr="00791CF8">
        <w:rPr>
          <w:color w:val="auto"/>
          <w:lang w:val="en-US"/>
        </w:rPr>
        <w:t xml:space="preserve">. </w:t>
      </w:r>
    </w:p>
    <w:p w14:paraId="7B37272B" w14:textId="77777777" w:rsidR="004F07DF" w:rsidRPr="003658B5" w:rsidRDefault="004F07DF" w:rsidP="004F07DF">
      <w:pPr>
        <w:pStyle w:val="Heading2"/>
        <w:keepLines w:val="0"/>
        <w:widowControl w:val="0"/>
        <w:tabs>
          <w:tab w:val="num" w:pos="576"/>
        </w:tabs>
        <w:suppressAutoHyphens/>
        <w:spacing w:after="240"/>
      </w:pPr>
      <w:bookmarkStart w:id="106" w:name="_Toc361408325"/>
      <w:bookmarkStart w:id="107" w:name="_Toc117027501"/>
      <w:bookmarkEnd w:id="101"/>
      <w:r>
        <w:t>Intellectual property (Art. 19 to 23)</w:t>
      </w:r>
      <w:bookmarkEnd w:id="106"/>
      <w:bookmarkEnd w:id="107"/>
    </w:p>
    <w:p w14:paraId="0DE6A13F" w14:textId="77777777" w:rsidR="004F07DF" w:rsidRPr="00791CF8" w:rsidRDefault="004F07DF" w:rsidP="004F07DF">
      <w:pPr>
        <w:pStyle w:val="BodyText"/>
        <w:rPr>
          <w:rFonts w:ascii="Georgia" w:hAnsi="Georgia"/>
          <w:sz w:val="21"/>
          <w:szCs w:val="21"/>
        </w:rPr>
      </w:pPr>
      <w:r w:rsidRPr="00791CF8">
        <w:rPr>
          <w:rFonts w:ascii="Georgia" w:hAnsi="Georgia"/>
          <w:sz w:val="21"/>
          <w:szCs w:val="21"/>
        </w:rPr>
        <w:t xml:space="preserve">§1 the contracting authority acquires the intellectual property rights created, </w:t>
      </w:r>
      <w:proofErr w:type="gramStart"/>
      <w:r w:rsidRPr="00791CF8">
        <w:rPr>
          <w:rFonts w:ascii="Georgia" w:hAnsi="Georgia"/>
          <w:sz w:val="21"/>
          <w:szCs w:val="21"/>
        </w:rPr>
        <w:t>developed</w:t>
      </w:r>
      <w:proofErr w:type="gramEnd"/>
      <w:r w:rsidRPr="00791CF8">
        <w:rPr>
          <w:rFonts w:ascii="Georgia" w:hAnsi="Georgia"/>
          <w:sz w:val="21"/>
          <w:szCs w:val="21"/>
        </w:rPr>
        <w:t xml:space="preserve"> or used during performance of the contract.</w:t>
      </w:r>
    </w:p>
    <w:p w14:paraId="63C4B4D8" w14:textId="77777777" w:rsidR="004F07DF" w:rsidRPr="00791CF8" w:rsidRDefault="004F07DF" w:rsidP="004F07DF">
      <w:pPr>
        <w:pStyle w:val="BodyText"/>
        <w:rPr>
          <w:rFonts w:ascii="Georgia" w:hAnsi="Georgia"/>
          <w:sz w:val="21"/>
          <w:szCs w:val="21"/>
        </w:rPr>
      </w:pPr>
      <w:r w:rsidRPr="00791CF8">
        <w:rPr>
          <w:rFonts w:ascii="Georgia" w:hAnsi="Georgia"/>
          <w:sz w:val="21"/>
          <w:szCs w:val="21"/>
        </w:rPr>
        <w:t xml:space="preserve">Without prejudice to clause 1 and unless otherwise stipulated in the procurement documents, when the subject-matter of the procurement contract consists of the creation, </w:t>
      </w:r>
      <w:proofErr w:type="gramStart"/>
      <w:r w:rsidRPr="00791CF8">
        <w:rPr>
          <w:rFonts w:ascii="Georgia" w:hAnsi="Georgia"/>
          <w:sz w:val="21"/>
          <w:szCs w:val="21"/>
        </w:rPr>
        <w:t>manufacture</w:t>
      </w:r>
      <w:proofErr w:type="gramEnd"/>
      <w:r w:rsidRPr="00791CF8">
        <w:rPr>
          <w:rFonts w:ascii="Georgia" w:hAnsi="Georgia"/>
          <w:sz w:val="21"/>
          <w:szCs w:val="21"/>
        </w:rPr>
        <w:t xml:space="preserve"> or the development of designs or of logos, the contracting authority acquires the intellectual property thereof, as well as the right to trademark them, to have them registered and to have them protected.</w:t>
      </w:r>
    </w:p>
    <w:p w14:paraId="0C5A9CD6" w14:textId="77777777" w:rsidR="004F07DF" w:rsidRPr="00791CF8" w:rsidRDefault="004F07DF" w:rsidP="004F07DF">
      <w:pPr>
        <w:pStyle w:val="BodyText"/>
        <w:rPr>
          <w:rFonts w:ascii="Georgia" w:hAnsi="Georgia"/>
          <w:sz w:val="21"/>
          <w:szCs w:val="21"/>
        </w:rPr>
      </w:pPr>
      <w:r w:rsidRPr="00791CF8">
        <w:rPr>
          <w:rFonts w:ascii="Georgia" w:hAnsi="Georgia"/>
          <w:sz w:val="21"/>
          <w:szCs w:val="21"/>
        </w:rPr>
        <w:t>For domain names created under the procurement contract, the contracting authority also acquires the right to register and protect them, unless otherwise stipulated in the procurement documents.</w:t>
      </w:r>
      <w:r>
        <w:rPr>
          <w:rFonts w:ascii="Georgia" w:hAnsi="Georgia"/>
          <w:sz w:val="21"/>
          <w:szCs w:val="21"/>
        </w:rPr>
        <w:t xml:space="preserve"> </w:t>
      </w:r>
    </w:p>
    <w:p w14:paraId="0B3F7378" w14:textId="77777777" w:rsidR="004F07DF" w:rsidRPr="00791CF8" w:rsidRDefault="004F07DF" w:rsidP="004F07DF">
      <w:pPr>
        <w:pStyle w:val="BodyText"/>
        <w:rPr>
          <w:rFonts w:ascii="Georgia" w:hAnsi="Georgia"/>
          <w:sz w:val="21"/>
          <w:szCs w:val="21"/>
        </w:rPr>
      </w:pPr>
      <w:r w:rsidRPr="00791CF8">
        <w:rPr>
          <w:rFonts w:ascii="Georgia" w:hAnsi="Georgia"/>
          <w:sz w:val="21"/>
          <w:szCs w:val="21"/>
        </w:rPr>
        <w:t>When the contracting authority does not acquire the intellectual property rights, it obtains a patent licence of the results protected by intellectual property law for the exploitation modes that are mentioned in the procurement documents.</w:t>
      </w:r>
    </w:p>
    <w:p w14:paraId="1C3D7F23" w14:textId="77777777" w:rsidR="004F07DF" w:rsidRDefault="004F07DF" w:rsidP="004F07DF">
      <w:pPr>
        <w:pStyle w:val="Heading2"/>
        <w:keepLines w:val="0"/>
        <w:widowControl w:val="0"/>
        <w:tabs>
          <w:tab w:val="num" w:pos="576"/>
        </w:tabs>
        <w:suppressAutoHyphens/>
        <w:spacing w:after="240"/>
      </w:pPr>
      <w:bookmarkStart w:id="108" w:name="_Toc117027502"/>
      <w:r>
        <w:t>Performance bond (Art. 25 to 33)</w:t>
      </w:r>
      <w:bookmarkEnd w:id="108"/>
    </w:p>
    <w:p w14:paraId="7E43328F" w14:textId="77777777" w:rsidR="004F07DF" w:rsidRPr="00AC4B24" w:rsidRDefault="004F07DF" w:rsidP="004F07DF">
      <w:pPr>
        <w:jc w:val="both"/>
        <w:rPr>
          <w:rFonts w:eastAsia="DejaVu Sans" w:cs="Tahoma"/>
          <w:color w:val="404040"/>
          <w:kern w:val="18"/>
          <w:szCs w:val="21"/>
        </w:rPr>
      </w:pPr>
      <w:bookmarkStart w:id="109" w:name="_Toc361393825"/>
      <w:bookmarkStart w:id="110" w:name="_Toc361408327"/>
      <w:r w:rsidRPr="00AC4B24">
        <w:rPr>
          <w:color w:val="404040"/>
          <w:szCs w:val="21"/>
        </w:rPr>
        <w:t>The performance bond is set at 5% of the total value, excluding VAT, of procurement. The value thus obtained is rounded up to the nearest 10 euros.</w:t>
      </w:r>
    </w:p>
    <w:p w14:paraId="72F797C6" w14:textId="77777777" w:rsidR="004F07DF" w:rsidRPr="00AC4B24" w:rsidRDefault="004F07DF" w:rsidP="004F07DF">
      <w:pPr>
        <w:jc w:val="both"/>
        <w:rPr>
          <w:rFonts w:eastAsia="DejaVu Sans" w:cs="Tahoma"/>
          <w:color w:val="404040"/>
          <w:kern w:val="18"/>
          <w:szCs w:val="21"/>
        </w:rPr>
      </w:pPr>
      <w:r w:rsidRPr="00AC4B24">
        <w:rPr>
          <w:color w:val="404040"/>
          <w:szCs w:val="21"/>
        </w:rPr>
        <w:t>In accordance with the legal and regulatory provisions, the performance bond may be constituted either of cash or of public funds or may take the form of a joint performance bond.</w:t>
      </w:r>
    </w:p>
    <w:p w14:paraId="1F8682A3" w14:textId="77777777" w:rsidR="004F07DF" w:rsidRPr="00AC4B24" w:rsidRDefault="004F07DF" w:rsidP="004F07DF">
      <w:pPr>
        <w:jc w:val="both"/>
        <w:rPr>
          <w:rFonts w:eastAsia="DejaVu Sans" w:cs="Tahoma"/>
          <w:color w:val="404040"/>
          <w:kern w:val="18"/>
          <w:szCs w:val="21"/>
        </w:rPr>
      </w:pPr>
      <w:r w:rsidRPr="00AC4B24">
        <w:rPr>
          <w:color w:val="404040"/>
          <w:szCs w:val="21"/>
        </w:rPr>
        <w:lastRenderedPageBreak/>
        <w:t>The performance bond may also take the form of a surety bond issued by a credit institution</w:t>
      </w:r>
      <w:r>
        <w:rPr>
          <w:color w:val="404040"/>
          <w:szCs w:val="21"/>
        </w:rPr>
        <w:t xml:space="preserve"> (Bank </w:t>
      </w:r>
      <w:proofErr w:type="gramStart"/>
      <w:r>
        <w:rPr>
          <w:color w:val="404040"/>
          <w:szCs w:val="21"/>
        </w:rPr>
        <w:t>Guarantee)</w:t>
      </w:r>
      <w:r w:rsidRPr="00AC4B24">
        <w:rPr>
          <w:color w:val="404040"/>
          <w:szCs w:val="21"/>
        </w:rPr>
        <w:t xml:space="preserve"> </w:t>
      </w:r>
      <w:r>
        <w:rPr>
          <w:color w:val="404040"/>
          <w:szCs w:val="21"/>
        </w:rPr>
        <w:t xml:space="preserve"> </w:t>
      </w:r>
      <w:r w:rsidRPr="00AC4B24">
        <w:rPr>
          <w:color w:val="404040"/>
          <w:szCs w:val="21"/>
        </w:rPr>
        <w:t>meeting</w:t>
      </w:r>
      <w:proofErr w:type="gramEnd"/>
      <w:r w:rsidRPr="00AC4B24">
        <w:rPr>
          <w:color w:val="404040"/>
          <w:szCs w:val="21"/>
        </w:rPr>
        <w:t xml:space="preserve"> the requirements of the law on the statute and control of credit institutions.</w:t>
      </w:r>
    </w:p>
    <w:p w14:paraId="064E7CDD" w14:textId="77777777" w:rsidR="004F07DF" w:rsidRPr="00AC4B24" w:rsidRDefault="004F07DF" w:rsidP="004F07DF">
      <w:pPr>
        <w:jc w:val="both"/>
        <w:rPr>
          <w:rFonts w:eastAsia="DejaVu Sans" w:cs="Tahoma"/>
          <w:color w:val="404040"/>
          <w:kern w:val="18"/>
          <w:szCs w:val="21"/>
        </w:rPr>
      </w:pPr>
      <w:r w:rsidRPr="00AC4B24">
        <w:rPr>
          <w:color w:val="404040"/>
          <w:szCs w:val="21"/>
        </w:rPr>
        <w:t>By way of derogation from Article 26, the performance bond may be posted through an establishment that has its registered office in one of the countries of destination of the services. The contracting authority reserves the right to accept or refuse the posting of the bond through that institution. The contractor shall mention the name and address of this institution in the tender.</w:t>
      </w:r>
    </w:p>
    <w:p w14:paraId="0C18CF01" w14:textId="77777777" w:rsidR="004F07DF" w:rsidRPr="00AC4B24" w:rsidRDefault="004F07DF" w:rsidP="004F07DF">
      <w:pPr>
        <w:jc w:val="both"/>
        <w:rPr>
          <w:rFonts w:eastAsia="DejaVu Sans" w:cs="Tahoma"/>
          <w:color w:val="404040"/>
          <w:kern w:val="18"/>
          <w:szCs w:val="21"/>
        </w:rPr>
      </w:pPr>
      <w:r w:rsidRPr="00AC4B24">
        <w:rPr>
          <w:color w:val="404040"/>
          <w:szCs w:val="21"/>
        </w:rPr>
        <w:t>This derogation is founded on the idea of providing possible local tenderers with an opportunity to submit a tender. This measure is made essential by the specific requirements of the contract.</w:t>
      </w:r>
    </w:p>
    <w:p w14:paraId="2ECA0CFE" w14:textId="77777777" w:rsidR="004F07DF" w:rsidRPr="00AC4B24" w:rsidRDefault="004F07DF" w:rsidP="004F07DF">
      <w:pPr>
        <w:jc w:val="both"/>
        <w:rPr>
          <w:rFonts w:eastAsia="DejaVu Sans" w:cs="Tahoma"/>
          <w:color w:val="404040"/>
          <w:kern w:val="18"/>
          <w:szCs w:val="21"/>
        </w:rPr>
      </w:pPr>
      <w:r w:rsidRPr="00AC4B24">
        <w:rPr>
          <w:color w:val="404040"/>
          <w:szCs w:val="21"/>
        </w:rPr>
        <w:t>The contractor must, within 30 calendar days from the day of contract conclusion, furnish proof that he or a third party has posted the bond in one of the ways set out below:</w:t>
      </w:r>
    </w:p>
    <w:p w14:paraId="18612585" w14:textId="77777777" w:rsidR="004F07DF" w:rsidRPr="00AC4B24" w:rsidRDefault="004F07DF" w:rsidP="004F07DF">
      <w:pPr>
        <w:ind w:left="284" w:hanging="284"/>
        <w:jc w:val="both"/>
        <w:rPr>
          <w:rFonts w:cs="Arial"/>
          <w:kern w:val="18"/>
          <w:szCs w:val="21"/>
        </w:rPr>
      </w:pPr>
      <w:r w:rsidRPr="00AC4B24">
        <w:rPr>
          <w:szCs w:val="21"/>
        </w:rPr>
        <w:t xml:space="preserve">1° in the case of cash, by transfer of the amount to the </w:t>
      </w:r>
      <w:proofErr w:type="spellStart"/>
      <w:r w:rsidRPr="00AC4B24">
        <w:rPr>
          <w:szCs w:val="21"/>
        </w:rPr>
        <w:t>bpost</w:t>
      </w:r>
      <w:proofErr w:type="spellEnd"/>
      <w:r w:rsidRPr="00AC4B24">
        <w:rPr>
          <w:szCs w:val="21"/>
        </w:rPr>
        <w:t xml:space="preserve"> bank account number of the Deposit and Consignment Office. Complete the following form as well as possible</w:t>
      </w:r>
      <w:r w:rsidRPr="00AC4B24">
        <w:rPr>
          <w:color w:val="404040"/>
          <w:szCs w:val="21"/>
        </w:rPr>
        <w:t xml:space="preserve"> </w:t>
      </w:r>
      <w:hyperlink r:id="rId27" w:history="1">
        <w:r w:rsidRPr="00AC4B24">
          <w:rPr>
            <w:rStyle w:val="Hyperlink"/>
            <w:szCs w:val="21"/>
          </w:rPr>
          <w:t>https://finances.belgium.be/sites/default/files/01_marche_public.pdf</w:t>
        </w:r>
      </w:hyperlink>
      <w:r w:rsidRPr="00AC4B24">
        <w:rPr>
          <w:color w:val="404040"/>
          <w:szCs w:val="21"/>
        </w:rPr>
        <w:t xml:space="preserve">  (PDF, 1.34 Mo), and forward it by e-mail to </w:t>
      </w:r>
      <w:hyperlink r:id="rId28" w:history="1">
        <w:r w:rsidRPr="00AC4B24">
          <w:rPr>
            <w:rStyle w:val="Hyperlink"/>
            <w:szCs w:val="21"/>
          </w:rPr>
          <w:t>info.cdcdck@minfin.fed.be</w:t>
        </w:r>
      </w:hyperlink>
      <w:r w:rsidRPr="00AC4B24">
        <w:rPr>
          <w:color w:val="404040"/>
          <w:szCs w:val="21"/>
        </w:rPr>
        <w:t xml:space="preserve"> </w:t>
      </w:r>
    </w:p>
    <w:p w14:paraId="61E93076" w14:textId="77777777" w:rsidR="004F07DF" w:rsidRPr="00AC4B24" w:rsidRDefault="004F07DF" w:rsidP="004F07DF">
      <w:pPr>
        <w:ind w:left="284" w:hanging="284"/>
        <w:jc w:val="both"/>
        <w:rPr>
          <w:rFonts w:cs="Arial"/>
          <w:kern w:val="18"/>
          <w:szCs w:val="21"/>
        </w:rPr>
      </w:pPr>
      <w:r w:rsidRPr="00AC4B24">
        <w:rPr>
          <w:szCs w:val="21"/>
        </w:rPr>
        <w:t>2° in the case of public funds, by depositing such funds, for the account of the Deposit and Consignment Office, with the State Cashier at the head office of the National Bank in Brussels or at one of its provincial agencies or with a public institution with an equivalent function</w:t>
      </w:r>
    </w:p>
    <w:p w14:paraId="49F51434" w14:textId="77777777" w:rsidR="004F07DF" w:rsidRPr="00AC4B24" w:rsidRDefault="004F07DF" w:rsidP="004F07DF">
      <w:pPr>
        <w:ind w:left="284" w:hanging="284"/>
        <w:jc w:val="both"/>
        <w:rPr>
          <w:rFonts w:cs="Arial"/>
          <w:kern w:val="18"/>
          <w:szCs w:val="21"/>
        </w:rPr>
      </w:pPr>
      <w:r w:rsidRPr="00AC4B24">
        <w:rPr>
          <w:szCs w:val="21"/>
        </w:rPr>
        <w:t>3° in the case of a joint surety, by deposit via an institution that lawfully carries out this activity of a deed of joint surety with the Deposit and Consignment Office or with a public institution with an equivalent function</w:t>
      </w:r>
    </w:p>
    <w:p w14:paraId="5A14F9F6" w14:textId="77777777" w:rsidR="004F07DF" w:rsidRPr="00AC4B24" w:rsidRDefault="004F07DF" w:rsidP="004F07DF">
      <w:pPr>
        <w:ind w:left="284" w:hanging="284"/>
        <w:jc w:val="both"/>
        <w:rPr>
          <w:rFonts w:cs="Arial"/>
          <w:kern w:val="18"/>
          <w:szCs w:val="21"/>
        </w:rPr>
      </w:pPr>
      <w:r w:rsidRPr="00AC4B24">
        <w:rPr>
          <w:szCs w:val="21"/>
        </w:rPr>
        <w:t>4° in the case of a guaranty, by the deed of undertaking of the credit institution or the insurance company.</w:t>
      </w:r>
    </w:p>
    <w:p w14:paraId="71C641DC" w14:textId="77777777" w:rsidR="004F07DF" w:rsidRPr="00AC4B24" w:rsidRDefault="004F07DF" w:rsidP="004F07DF">
      <w:pPr>
        <w:jc w:val="both"/>
        <w:rPr>
          <w:rFonts w:cs="Arial"/>
          <w:kern w:val="18"/>
          <w:szCs w:val="21"/>
        </w:rPr>
      </w:pPr>
      <w:r w:rsidRPr="00AC4B24">
        <w:rPr>
          <w:szCs w:val="21"/>
        </w:rPr>
        <w:t>This proof must be provided as applicable by submission to the contracting authority of:</w:t>
      </w:r>
    </w:p>
    <w:p w14:paraId="5DD9798D" w14:textId="77777777" w:rsidR="004F07DF" w:rsidRPr="00AC4B24" w:rsidRDefault="004F07DF" w:rsidP="004F07DF">
      <w:pPr>
        <w:ind w:left="567" w:hanging="567"/>
        <w:jc w:val="both"/>
        <w:rPr>
          <w:rFonts w:cs="Arial"/>
          <w:kern w:val="18"/>
          <w:szCs w:val="21"/>
        </w:rPr>
      </w:pPr>
      <w:r w:rsidRPr="00AC4B24">
        <w:rPr>
          <w:szCs w:val="21"/>
        </w:rPr>
        <w:t>1° the deposit receipt of the Deposit and Consignment Office or of a public institution with an equivalent function; or</w:t>
      </w:r>
    </w:p>
    <w:p w14:paraId="7B18EDF6" w14:textId="77777777" w:rsidR="004F07DF" w:rsidRPr="00AC4B24" w:rsidRDefault="004F07DF" w:rsidP="004F07DF">
      <w:pPr>
        <w:ind w:left="567" w:hanging="567"/>
        <w:jc w:val="both"/>
        <w:rPr>
          <w:rFonts w:cs="Arial"/>
          <w:kern w:val="18"/>
          <w:szCs w:val="21"/>
        </w:rPr>
      </w:pPr>
      <w:r w:rsidRPr="00AC4B24">
        <w:rPr>
          <w:szCs w:val="21"/>
        </w:rPr>
        <w:t>2° a debit notice issued by the credit institution or the insurance company; or</w:t>
      </w:r>
    </w:p>
    <w:p w14:paraId="066DEB1C" w14:textId="77777777" w:rsidR="004F07DF" w:rsidRPr="00AC4B24" w:rsidRDefault="004F07DF" w:rsidP="004F07DF">
      <w:pPr>
        <w:ind w:left="567" w:hanging="567"/>
        <w:jc w:val="both"/>
        <w:rPr>
          <w:rFonts w:cs="Arial"/>
          <w:kern w:val="18"/>
          <w:szCs w:val="21"/>
        </w:rPr>
      </w:pPr>
      <w:r w:rsidRPr="00AC4B24">
        <w:rPr>
          <w:szCs w:val="21"/>
        </w:rPr>
        <w:t>3° the deposit certificate issued by the State Cashier or public institution with an equivalent function; or</w:t>
      </w:r>
    </w:p>
    <w:p w14:paraId="41E144A6" w14:textId="77777777" w:rsidR="004F07DF" w:rsidRPr="00AC4B24" w:rsidRDefault="004F07DF" w:rsidP="004F07DF">
      <w:pPr>
        <w:ind w:left="567" w:hanging="567"/>
        <w:jc w:val="both"/>
        <w:rPr>
          <w:rFonts w:cs="Arial"/>
          <w:kern w:val="18"/>
          <w:szCs w:val="21"/>
        </w:rPr>
      </w:pPr>
      <w:r w:rsidRPr="00AC4B24">
        <w:rPr>
          <w:szCs w:val="21"/>
        </w:rPr>
        <w:t>4° the original copy of the deed of joint surety stamped by the Depot and Consignment Office or by a public institution with an equivalent function; or</w:t>
      </w:r>
    </w:p>
    <w:p w14:paraId="7A1365F9" w14:textId="77777777" w:rsidR="004F07DF" w:rsidRPr="00AC4B24" w:rsidRDefault="004F07DF" w:rsidP="004F07DF">
      <w:pPr>
        <w:ind w:left="567" w:hanging="567"/>
        <w:jc w:val="both"/>
        <w:rPr>
          <w:rFonts w:cs="Arial"/>
          <w:kern w:val="18"/>
          <w:szCs w:val="21"/>
        </w:rPr>
      </w:pPr>
      <w:r w:rsidRPr="00AC4B24">
        <w:rPr>
          <w:szCs w:val="21"/>
        </w:rPr>
        <w:t>5° the original copy of the deed of undertaking issued by the credit institution or the insurance company granting a guaranty.</w:t>
      </w:r>
    </w:p>
    <w:p w14:paraId="553C0135" w14:textId="77777777" w:rsidR="004F07DF" w:rsidRPr="00AC4B24" w:rsidRDefault="004F07DF" w:rsidP="004F07DF">
      <w:pPr>
        <w:jc w:val="both"/>
        <w:rPr>
          <w:rFonts w:cs="Arial"/>
          <w:kern w:val="18"/>
          <w:szCs w:val="21"/>
        </w:rPr>
      </w:pPr>
      <w:r w:rsidRPr="00AC4B24">
        <w:rPr>
          <w:szCs w:val="21"/>
        </w:rPr>
        <w:t>These documents, signed by the depositor, must state why the performance bond was posted and its precise usage, consisting of a concise indication of the subject-matter of the contract and a reference to the procurement documents, as well as the name, first names and full address of the contractor and, where relevant, that of the third party that made the deposit on the contractor’s account, bearing the statement ‘lender’ or ‘mandatary’ as appropriate.</w:t>
      </w:r>
    </w:p>
    <w:p w14:paraId="7A0742EA" w14:textId="77777777" w:rsidR="004F07DF" w:rsidRPr="00AC4B24" w:rsidRDefault="004F07DF" w:rsidP="004F07DF">
      <w:pPr>
        <w:tabs>
          <w:tab w:val="left" w:pos="284"/>
          <w:tab w:val="left" w:pos="1134"/>
          <w:tab w:val="left" w:pos="1985"/>
          <w:tab w:val="left" w:pos="3686"/>
          <w:tab w:val="left" w:pos="5245"/>
        </w:tabs>
        <w:jc w:val="both"/>
        <w:rPr>
          <w:rFonts w:cs="Arial"/>
          <w:kern w:val="18"/>
          <w:szCs w:val="21"/>
        </w:rPr>
      </w:pPr>
      <w:r w:rsidRPr="00AC4B24">
        <w:rPr>
          <w:szCs w:val="21"/>
        </w:rPr>
        <w:t>The period of 30 calendar days specified above is suspended during the period of closure of the contractor’s business for paid annual holidays and the days off in lieu stipulated by regulation or by a collective binding labour agreement.</w:t>
      </w:r>
    </w:p>
    <w:p w14:paraId="039F0419" w14:textId="77777777" w:rsidR="004F07DF" w:rsidRPr="00AC4B24" w:rsidRDefault="004F07DF" w:rsidP="004F07DF">
      <w:pPr>
        <w:jc w:val="both"/>
        <w:rPr>
          <w:rFonts w:cs="Arial"/>
          <w:kern w:val="18"/>
          <w:szCs w:val="21"/>
        </w:rPr>
      </w:pPr>
      <w:r w:rsidRPr="00AC4B24">
        <w:rPr>
          <w:szCs w:val="21"/>
        </w:rPr>
        <w:lastRenderedPageBreak/>
        <w:t>Proof that the required performance bond has been posted must be sent to the address that will be mentioned in the contract conclusion notification.</w:t>
      </w:r>
    </w:p>
    <w:p w14:paraId="066CD494" w14:textId="77777777" w:rsidR="004F07DF" w:rsidRPr="00AC4B24" w:rsidRDefault="004F07DF" w:rsidP="004F07DF">
      <w:pPr>
        <w:rPr>
          <w:rFonts w:cs="Arial"/>
          <w:b/>
          <w:kern w:val="18"/>
          <w:szCs w:val="21"/>
        </w:rPr>
      </w:pPr>
      <w:r w:rsidRPr="00AC4B24">
        <w:rPr>
          <w:b/>
          <w:szCs w:val="21"/>
        </w:rPr>
        <w:t>Request by the contractor for the acceptance procedure to be carried out:</w:t>
      </w:r>
    </w:p>
    <w:p w14:paraId="1823ECA9" w14:textId="77777777" w:rsidR="004F07DF" w:rsidRPr="00AC4B24" w:rsidRDefault="004F07DF" w:rsidP="004F07DF">
      <w:pPr>
        <w:ind w:left="284" w:hanging="284"/>
        <w:jc w:val="both"/>
        <w:rPr>
          <w:rFonts w:cs="Arial"/>
          <w:kern w:val="18"/>
          <w:szCs w:val="21"/>
        </w:rPr>
      </w:pPr>
      <w:r w:rsidRPr="00AC4B24">
        <w:rPr>
          <w:szCs w:val="21"/>
        </w:rPr>
        <w:t>1° For the provisional acceptance: This is equal to a request to release the first half of the performance bond</w:t>
      </w:r>
    </w:p>
    <w:p w14:paraId="353AE065" w14:textId="77777777" w:rsidR="004F07DF" w:rsidRPr="00AC4B24" w:rsidRDefault="004F07DF" w:rsidP="004F07DF">
      <w:pPr>
        <w:ind w:left="284" w:hanging="284"/>
        <w:jc w:val="both"/>
        <w:rPr>
          <w:rFonts w:cs="Arial"/>
          <w:kern w:val="18"/>
          <w:szCs w:val="21"/>
        </w:rPr>
      </w:pPr>
      <w:r w:rsidRPr="00AC4B24">
        <w:rPr>
          <w:szCs w:val="21"/>
        </w:rPr>
        <w:t>2° For the final acceptance: This is equal to a request to release the second half of the performance bond, or, in case no provisional acceptance applied, to release the whole of the performance bond.</w:t>
      </w:r>
    </w:p>
    <w:p w14:paraId="2EBF43BB" w14:textId="77777777" w:rsidR="004F07DF" w:rsidRPr="003658B5" w:rsidRDefault="004F07DF" w:rsidP="004F07DF">
      <w:pPr>
        <w:pStyle w:val="Heading2"/>
        <w:keepLines w:val="0"/>
        <w:widowControl w:val="0"/>
        <w:tabs>
          <w:tab w:val="num" w:pos="576"/>
        </w:tabs>
        <w:suppressAutoHyphens/>
        <w:spacing w:after="240"/>
      </w:pPr>
      <w:bookmarkStart w:id="111" w:name="_Toc117027503"/>
      <w:r>
        <w:t>Conformity of performance (Art. 34)</w:t>
      </w:r>
      <w:bookmarkEnd w:id="109"/>
      <w:bookmarkEnd w:id="110"/>
      <w:bookmarkEnd w:id="111"/>
      <w:r>
        <w:t xml:space="preserve"> </w:t>
      </w:r>
    </w:p>
    <w:p w14:paraId="7A9629E2" w14:textId="77777777" w:rsidR="004F07DF" w:rsidRPr="00AC4B24" w:rsidRDefault="004F07DF" w:rsidP="004F07DF">
      <w:pPr>
        <w:tabs>
          <w:tab w:val="left" w:pos="284"/>
          <w:tab w:val="left" w:pos="1134"/>
          <w:tab w:val="left" w:pos="1985"/>
          <w:tab w:val="left" w:pos="3686"/>
          <w:tab w:val="left" w:pos="5245"/>
        </w:tabs>
        <w:jc w:val="both"/>
        <w:rPr>
          <w:rFonts w:cs="Arial"/>
          <w:color w:val="auto"/>
          <w:kern w:val="18"/>
          <w:szCs w:val="21"/>
        </w:rPr>
      </w:pPr>
      <w:r w:rsidRPr="00AC4B24">
        <w:rPr>
          <w:color w:val="auto"/>
          <w:szCs w:val="21"/>
        </w:rPr>
        <w:t>The services must comply in all respects with the procurement documents. Even in the absence of technical specifications in the procurement documents, the works, supplies and services must comply in all aspects with good practice.</w:t>
      </w:r>
    </w:p>
    <w:p w14:paraId="6DD1B1D8" w14:textId="77777777" w:rsidR="004F07DF" w:rsidRPr="003658B5" w:rsidRDefault="004F07DF" w:rsidP="004F07DF">
      <w:pPr>
        <w:pStyle w:val="Heading2"/>
        <w:keepLines w:val="0"/>
        <w:widowControl w:val="0"/>
        <w:tabs>
          <w:tab w:val="num" w:pos="576"/>
        </w:tabs>
        <w:suppressAutoHyphens/>
        <w:spacing w:after="240"/>
      </w:pPr>
      <w:bookmarkStart w:id="112" w:name="_Toc117027504"/>
      <w:r>
        <w:t>Changes to the procurement contract (Art. 37 to 38/19)</w:t>
      </w:r>
      <w:bookmarkEnd w:id="112"/>
    </w:p>
    <w:p w14:paraId="20A0974B" w14:textId="77777777" w:rsidR="004F07DF" w:rsidRPr="007160CE"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13" w:name="_Toc117027505"/>
      <w:r w:rsidRPr="007160CE">
        <w:rPr>
          <w:color w:val="auto"/>
        </w:rPr>
        <w:t>Replacement of the contractor (Art. 38/3)</w:t>
      </w:r>
      <w:bookmarkEnd w:id="113"/>
    </w:p>
    <w:p w14:paraId="4BD8DA68" w14:textId="77777777" w:rsidR="004F07DF" w:rsidRPr="00AC4B24" w:rsidRDefault="004F07DF" w:rsidP="004F07DF">
      <w:pPr>
        <w:pStyle w:val="BodyText"/>
        <w:rPr>
          <w:rFonts w:ascii="Georgia" w:eastAsia="Calibri" w:hAnsi="Georgia" w:cs="Arial"/>
          <w:sz w:val="21"/>
          <w:szCs w:val="21"/>
        </w:rPr>
      </w:pPr>
      <w:r w:rsidRPr="00AC4B24">
        <w:rPr>
          <w:rFonts w:ascii="Georgia" w:hAnsi="Georgia"/>
          <w:sz w:val="21"/>
          <w:szCs w:val="21"/>
        </w:rPr>
        <w:t xml:space="preserve">Provided that he meets the selection and exclusion criteria set out in this document, a new contractor may replace the contractor with whom the initial procurement contract was agreed in cases other than those provided for in Art. 38/3 of the General Implementing Rules (GIR). </w:t>
      </w:r>
    </w:p>
    <w:p w14:paraId="593FB088" w14:textId="77777777" w:rsidR="004F07DF" w:rsidRPr="00AC4B24" w:rsidRDefault="004F07DF" w:rsidP="004F07DF">
      <w:pPr>
        <w:pStyle w:val="BodyText"/>
        <w:rPr>
          <w:rFonts w:ascii="Georgia" w:eastAsia="Calibri" w:hAnsi="Georgia" w:cs="Arial"/>
          <w:sz w:val="21"/>
          <w:szCs w:val="21"/>
        </w:rPr>
      </w:pPr>
      <w:r w:rsidRPr="00AC4B24">
        <w:rPr>
          <w:rFonts w:ascii="Georgia" w:hAnsi="Georgia"/>
          <w:sz w:val="21"/>
          <w:szCs w:val="21"/>
        </w:rPr>
        <w:t>The contractor submits his request as quickly as possible by registered post, stating the reasons for this replacement and providing a detailed inventory of the state of supplies and services already performed, the new contractor's contact details and the documents and certificates which the contracting authority cannot access free of charge.</w:t>
      </w:r>
    </w:p>
    <w:p w14:paraId="7B6428B2" w14:textId="77777777" w:rsidR="004F07DF" w:rsidRPr="00AC4B24" w:rsidRDefault="004F07DF" w:rsidP="004F07DF">
      <w:pPr>
        <w:pStyle w:val="BodyText"/>
        <w:rPr>
          <w:sz w:val="21"/>
          <w:szCs w:val="21"/>
        </w:rPr>
      </w:pPr>
      <w:r w:rsidRPr="00AC4B24">
        <w:rPr>
          <w:rFonts w:ascii="Georgia" w:hAnsi="Georgia"/>
          <w:sz w:val="21"/>
          <w:szCs w:val="21"/>
        </w:rPr>
        <w:t xml:space="preserve">The replacement will be recorded in an amendment dated and signed by all three parties. The initial contractor remains liable to the contracting authority for the performance of the remainder of the procurement contract. </w:t>
      </w:r>
    </w:p>
    <w:p w14:paraId="4C7A25F5" w14:textId="77777777" w:rsidR="004F07DF" w:rsidRPr="007160CE"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14" w:name="_Toc117027506"/>
      <w:r w:rsidRPr="007160CE">
        <w:rPr>
          <w:color w:val="auto"/>
        </w:rPr>
        <w:t>Adjusting the prices (Art. 38/7)</w:t>
      </w:r>
      <w:bookmarkEnd w:id="114"/>
    </w:p>
    <w:p w14:paraId="050EF40F" w14:textId="77777777" w:rsidR="004F07DF" w:rsidRPr="00AC4B24" w:rsidRDefault="004F07DF" w:rsidP="004F07DF">
      <w:pPr>
        <w:pStyle w:val="BTCtextCTB"/>
        <w:rPr>
          <w:sz w:val="21"/>
          <w:szCs w:val="21"/>
        </w:rPr>
      </w:pPr>
      <w:r w:rsidRPr="00AC4B24">
        <w:rPr>
          <w:rFonts w:ascii="Georgia" w:hAnsi="Georgia"/>
          <w:sz w:val="21"/>
          <w:szCs w:val="21"/>
        </w:rPr>
        <w:t>For this procurement contract, price reviews are not permitted.</w:t>
      </w:r>
    </w:p>
    <w:p w14:paraId="29B5A4F0" w14:textId="77777777" w:rsidR="004F07DF" w:rsidRPr="007160CE"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15" w:name="_Toc117027507"/>
      <w:r w:rsidRPr="007160CE">
        <w:rPr>
          <w:color w:val="auto"/>
        </w:rPr>
        <w:t>Indemnities following the suspensions ordered by the contracting authority during performance (Art. 38/12)</w:t>
      </w:r>
      <w:bookmarkEnd w:id="115"/>
    </w:p>
    <w:p w14:paraId="38855B96" w14:textId="77777777" w:rsidR="004F07DF" w:rsidRPr="00AC4B24" w:rsidRDefault="004F07DF" w:rsidP="004F07DF">
      <w:pPr>
        <w:pStyle w:val="BTCtextCTB"/>
        <w:rPr>
          <w:rFonts w:ascii="Georgia" w:eastAsia="Calibri" w:hAnsi="Georgia" w:cs="Arial"/>
          <w:kern w:val="18"/>
          <w:sz w:val="21"/>
          <w:szCs w:val="21"/>
        </w:rPr>
      </w:pPr>
      <w:r w:rsidRPr="00AC4B24">
        <w:rPr>
          <w:rFonts w:ascii="Georgia" w:hAnsi="Georgia"/>
          <w:sz w:val="21"/>
          <w:szCs w:val="21"/>
          <w:u w:val="single"/>
        </w:rPr>
        <w:t>The contracting authority</w:t>
      </w:r>
      <w:r w:rsidRPr="00AC4B24">
        <w:rPr>
          <w:rFonts w:ascii="Georgia" w:hAnsi="Georgia"/>
          <w:sz w:val="21"/>
          <w:szCs w:val="21"/>
        </w:rPr>
        <w:t xml:space="preserve"> reserves the right to suspend the performance of the procurement contract for a given period, mainly when it considers that the procurement contract cannot be performed without inconvenience at that time.</w:t>
      </w:r>
    </w:p>
    <w:p w14:paraId="6F175F82" w14:textId="77777777" w:rsidR="004F07DF" w:rsidRPr="00AC4B24" w:rsidRDefault="004F07DF" w:rsidP="004F07DF">
      <w:pPr>
        <w:pStyle w:val="BTCtextCTB"/>
        <w:rPr>
          <w:rFonts w:ascii="Georgia" w:eastAsia="Calibri" w:hAnsi="Georgia" w:cs="Arial"/>
          <w:kern w:val="18"/>
          <w:sz w:val="21"/>
          <w:szCs w:val="21"/>
        </w:rPr>
      </w:pPr>
      <w:r w:rsidRPr="00AC4B24">
        <w:rPr>
          <w:rFonts w:ascii="Georgia" w:hAnsi="Georgia"/>
          <w:sz w:val="21"/>
          <w:szCs w:val="21"/>
        </w:rPr>
        <w:t>The performance period is extended by the period of delay caused by this suspension, provided that the contractual performance period has not expired. If it has expired, the return of fines for late performance will be agreed.</w:t>
      </w:r>
    </w:p>
    <w:p w14:paraId="6EB7EC25" w14:textId="77777777" w:rsidR="004F07DF" w:rsidRPr="00AC4B24" w:rsidRDefault="004F07DF" w:rsidP="004F07DF">
      <w:pPr>
        <w:pStyle w:val="BTCtextCTB"/>
        <w:rPr>
          <w:rFonts w:ascii="Georgia" w:eastAsia="Calibri" w:hAnsi="Georgia" w:cs="Arial"/>
          <w:kern w:val="18"/>
          <w:sz w:val="21"/>
          <w:szCs w:val="21"/>
        </w:rPr>
      </w:pPr>
      <w:r w:rsidRPr="00AC4B24">
        <w:rPr>
          <w:rFonts w:ascii="Georgia" w:hAnsi="Georgia"/>
          <w:sz w:val="21"/>
          <w:szCs w:val="21"/>
        </w:rPr>
        <w:t xml:space="preserve">When activities are suspended, based on this clause, the contractor is required to take all necessary precautions, at his expense, to protect the services already performed and the materials from potential damage caused by unfavourable weather conditions, </w:t>
      </w:r>
      <w:proofErr w:type="gramStart"/>
      <w:r w:rsidRPr="00AC4B24">
        <w:rPr>
          <w:rFonts w:ascii="Georgia" w:hAnsi="Georgia"/>
          <w:sz w:val="21"/>
          <w:szCs w:val="21"/>
        </w:rPr>
        <w:t>theft</w:t>
      </w:r>
      <w:proofErr w:type="gramEnd"/>
      <w:r w:rsidRPr="00AC4B24">
        <w:rPr>
          <w:rFonts w:ascii="Georgia" w:hAnsi="Georgia"/>
          <w:sz w:val="21"/>
          <w:szCs w:val="21"/>
        </w:rPr>
        <w:t xml:space="preserve"> or other malicious acts.</w:t>
      </w:r>
    </w:p>
    <w:p w14:paraId="20EB3344" w14:textId="77777777" w:rsidR="004F07DF" w:rsidRPr="00AC4B24" w:rsidRDefault="004F07DF" w:rsidP="004F07DF">
      <w:pPr>
        <w:pStyle w:val="BodyText"/>
        <w:rPr>
          <w:rFonts w:ascii="Georgia" w:eastAsia="Calibri" w:hAnsi="Georgia" w:cs="Arial"/>
          <w:sz w:val="21"/>
          <w:szCs w:val="21"/>
        </w:rPr>
      </w:pPr>
      <w:r w:rsidRPr="00AC4B24">
        <w:rPr>
          <w:rFonts w:ascii="Georgia" w:hAnsi="Georgia"/>
          <w:sz w:val="21"/>
          <w:szCs w:val="21"/>
          <w:u w:val="single"/>
        </w:rPr>
        <w:t>The contractor</w:t>
      </w:r>
      <w:r w:rsidRPr="00AC4B24">
        <w:rPr>
          <w:rFonts w:ascii="Georgia" w:hAnsi="Georgia"/>
          <w:sz w:val="21"/>
          <w:szCs w:val="21"/>
        </w:rPr>
        <w:t xml:space="preserve"> has a right to damages for suspensions ordered by the contracting authority when:</w:t>
      </w:r>
    </w:p>
    <w:p w14:paraId="7A1A79DD" w14:textId="77777777" w:rsidR="004F07DF" w:rsidRPr="00AC4B24" w:rsidRDefault="004F07DF" w:rsidP="004F07DF">
      <w:pPr>
        <w:pStyle w:val="BodyText"/>
        <w:numPr>
          <w:ilvl w:val="0"/>
          <w:numId w:val="8"/>
        </w:numPr>
        <w:rPr>
          <w:rFonts w:ascii="Georgia" w:eastAsia="Calibri" w:hAnsi="Georgia" w:cs="Arial"/>
          <w:sz w:val="21"/>
          <w:szCs w:val="21"/>
        </w:rPr>
      </w:pPr>
      <w:r w:rsidRPr="00AC4B24">
        <w:rPr>
          <w:rFonts w:ascii="Georgia" w:hAnsi="Georgia"/>
          <w:sz w:val="21"/>
          <w:szCs w:val="21"/>
        </w:rPr>
        <w:t xml:space="preserve">The suspension lasts in total longer than one twentieth of the performance time and at least ten working days or two calendar weeks, depending on whether the performance </w:t>
      </w:r>
      <w:r w:rsidRPr="00AC4B24">
        <w:rPr>
          <w:rFonts w:ascii="Georgia" w:hAnsi="Georgia"/>
          <w:sz w:val="21"/>
          <w:szCs w:val="21"/>
        </w:rPr>
        <w:lastRenderedPageBreak/>
        <w:t xml:space="preserve">time is expressed in working days or calendar </w:t>
      </w:r>
      <w:proofErr w:type="gramStart"/>
      <w:r w:rsidRPr="00AC4B24">
        <w:rPr>
          <w:rFonts w:ascii="Georgia" w:hAnsi="Georgia"/>
          <w:sz w:val="21"/>
          <w:szCs w:val="21"/>
        </w:rPr>
        <w:t>days;</w:t>
      </w:r>
      <w:proofErr w:type="gramEnd"/>
      <w:r w:rsidRPr="00AC4B24">
        <w:rPr>
          <w:rFonts w:ascii="Georgia" w:hAnsi="Georgia"/>
          <w:sz w:val="21"/>
          <w:szCs w:val="21"/>
        </w:rPr>
        <w:t xml:space="preserve"> </w:t>
      </w:r>
    </w:p>
    <w:p w14:paraId="64C1FC08" w14:textId="77777777" w:rsidR="004F07DF" w:rsidRPr="00AC4B24" w:rsidRDefault="004F07DF" w:rsidP="004F07DF">
      <w:pPr>
        <w:pStyle w:val="BodyText"/>
        <w:numPr>
          <w:ilvl w:val="0"/>
          <w:numId w:val="8"/>
        </w:numPr>
        <w:rPr>
          <w:rFonts w:ascii="Georgia" w:eastAsia="Calibri" w:hAnsi="Georgia" w:cs="Arial"/>
          <w:sz w:val="21"/>
          <w:szCs w:val="21"/>
        </w:rPr>
      </w:pPr>
      <w:r w:rsidRPr="00AC4B24">
        <w:rPr>
          <w:rFonts w:ascii="Georgia" w:hAnsi="Georgia"/>
          <w:sz w:val="21"/>
          <w:szCs w:val="21"/>
        </w:rPr>
        <w:t xml:space="preserve">The suspension is not due to unfavourable weather </w:t>
      </w:r>
      <w:proofErr w:type="gramStart"/>
      <w:r w:rsidRPr="00AC4B24">
        <w:rPr>
          <w:rFonts w:ascii="Georgia" w:hAnsi="Georgia"/>
          <w:sz w:val="21"/>
          <w:szCs w:val="21"/>
        </w:rPr>
        <w:t>conditions;</w:t>
      </w:r>
      <w:proofErr w:type="gramEnd"/>
      <w:r w:rsidRPr="00AC4B24">
        <w:rPr>
          <w:rFonts w:ascii="Georgia" w:hAnsi="Georgia"/>
          <w:sz w:val="21"/>
          <w:szCs w:val="21"/>
        </w:rPr>
        <w:t xml:space="preserve"> </w:t>
      </w:r>
    </w:p>
    <w:p w14:paraId="00EEBCB7" w14:textId="77777777" w:rsidR="004F07DF" w:rsidRPr="00AC4B24" w:rsidRDefault="004F07DF" w:rsidP="004F07DF">
      <w:pPr>
        <w:pStyle w:val="BodyText"/>
        <w:numPr>
          <w:ilvl w:val="0"/>
          <w:numId w:val="8"/>
        </w:numPr>
        <w:rPr>
          <w:rFonts w:ascii="Georgia" w:eastAsia="Calibri" w:hAnsi="Georgia" w:cs="Arial"/>
          <w:sz w:val="21"/>
          <w:szCs w:val="21"/>
        </w:rPr>
      </w:pPr>
      <w:r w:rsidRPr="00AC4B24">
        <w:rPr>
          <w:rFonts w:ascii="Georgia" w:hAnsi="Georgia"/>
          <w:sz w:val="21"/>
          <w:szCs w:val="21"/>
        </w:rPr>
        <w:t>The suspension occurred during the contract performance period.</w:t>
      </w:r>
    </w:p>
    <w:p w14:paraId="61CA6AFB" w14:textId="77777777" w:rsidR="004F07DF" w:rsidRPr="00AC4B24" w:rsidRDefault="004F07DF" w:rsidP="004F07DF">
      <w:pPr>
        <w:pStyle w:val="BTCtextCTB"/>
        <w:rPr>
          <w:rFonts w:ascii="Georgia" w:eastAsia="Calibri" w:hAnsi="Georgia" w:cs="Arial"/>
          <w:kern w:val="18"/>
          <w:sz w:val="21"/>
          <w:szCs w:val="21"/>
        </w:rPr>
      </w:pPr>
      <w:r w:rsidRPr="00AC4B24">
        <w:rPr>
          <w:rFonts w:ascii="Georgia" w:hAnsi="Georgia"/>
          <w:sz w:val="21"/>
          <w:szCs w:val="21"/>
        </w:rPr>
        <w:t xml:space="preserve">Within thirty days of their occurrence or the date on which the contractor or the contracting authority would normally have become aware of them, the contractor reports the facts or circumstances succinctly to the contracting authority and </w:t>
      </w:r>
      <w:proofErr w:type="gramStart"/>
      <w:r w:rsidRPr="00AC4B24">
        <w:rPr>
          <w:rFonts w:ascii="Georgia" w:hAnsi="Georgia"/>
          <w:sz w:val="21"/>
          <w:szCs w:val="21"/>
        </w:rPr>
        <w:t>describes precisely</w:t>
      </w:r>
      <w:proofErr w:type="gramEnd"/>
      <w:r w:rsidRPr="00AC4B24">
        <w:rPr>
          <w:rFonts w:ascii="Georgia" w:hAnsi="Georgia"/>
          <w:sz w:val="21"/>
          <w:szCs w:val="21"/>
        </w:rPr>
        <w:t xml:space="preserve"> their impact on the progress and cost of the procurement contract.  </w:t>
      </w:r>
    </w:p>
    <w:p w14:paraId="2D77095C" w14:textId="77777777" w:rsidR="004F07DF" w:rsidRPr="007160CE"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16" w:name="_Toc117027508"/>
      <w:r w:rsidRPr="007160CE">
        <w:rPr>
          <w:color w:val="auto"/>
        </w:rPr>
        <w:t>Unforeseen circumstances</w:t>
      </w:r>
      <w:bookmarkEnd w:id="116"/>
    </w:p>
    <w:p w14:paraId="4AAEDC1F" w14:textId="77777777" w:rsidR="004F07DF" w:rsidRPr="00AC4B24" w:rsidRDefault="004F07DF" w:rsidP="004F07DF">
      <w:pPr>
        <w:jc w:val="both"/>
        <w:rPr>
          <w:color w:val="auto"/>
          <w:kern w:val="18"/>
          <w:szCs w:val="21"/>
        </w:rPr>
      </w:pPr>
      <w:r w:rsidRPr="00AC4B24">
        <w:rPr>
          <w:color w:val="auto"/>
          <w:szCs w:val="21"/>
        </w:rPr>
        <w:t xml:space="preserve">As a rule, the contractor is not entitled to any modification of the contractual terms due to circumstances of which the contracting authority was unaware. </w:t>
      </w:r>
    </w:p>
    <w:p w14:paraId="313F78F7" w14:textId="77777777" w:rsidR="004F07DF" w:rsidRPr="00AC4B24" w:rsidRDefault="004F07DF" w:rsidP="004F07DF">
      <w:pPr>
        <w:jc w:val="both"/>
        <w:rPr>
          <w:color w:val="auto"/>
          <w:kern w:val="18"/>
          <w:szCs w:val="21"/>
        </w:rPr>
      </w:pPr>
      <w:r w:rsidRPr="00AC4B24">
        <w:rPr>
          <w:color w:val="auto"/>
          <w:szCs w:val="21"/>
        </w:rPr>
        <w:t>A decision of the Belgian State to suspend cooperation with a partner country is deemed to be unforeseeable circumstances within the meaning of this article. Should the Belgian State break off or cease activities which implies therefore the financing of this procurement contract, Enabel will do everything reasonable to agree a maximum compensation figure.</w:t>
      </w:r>
    </w:p>
    <w:p w14:paraId="6B105E31" w14:textId="77777777" w:rsidR="004F07DF" w:rsidRPr="003658B5" w:rsidRDefault="004F07DF" w:rsidP="004F07DF">
      <w:pPr>
        <w:pStyle w:val="Heading2"/>
        <w:keepLines w:val="0"/>
        <w:widowControl w:val="0"/>
        <w:tabs>
          <w:tab w:val="num" w:pos="576"/>
        </w:tabs>
        <w:suppressAutoHyphens/>
        <w:spacing w:after="240"/>
      </w:pPr>
      <w:bookmarkStart w:id="117" w:name="_Toc361393826"/>
      <w:bookmarkStart w:id="118" w:name="_Toc361408328"/>
      <w:bookmarkStart w:id="119" w:name="_Toc117027509"/>
      <w:r>
        <w:t>Preliminary technical acceptance (Art. 42)</w:t>
      </w:r>
      <w:bookmarkEnd w:id="117"/>
      <w:bookmarkEnd w:id="118"/>
      <w:bookmarkEnd w:id="119"/>
    </w:p>
    <w:p w14:paraId="6DFA5C0F" w14:textId="77777777" w:rsidR="004F07DF" w:rsidRPr="00AC4B24" w:rsidRDefault="004F07DF" w:rsidP="004F07DF">
      <w:pPr>
        <w:pStyle w:val="BodyText"/>
        <w:rPr>
          <w:rFonts w:ascii="Georgia" w:eastAsia="Calibri" w:hAnsi="Georgia" w:cs="Times New Roman"/>
          <w:sz w:val="21"/>
          <w:szCs w:val="21"/>
        </w:rPr>
      </w:pPr>
      <w:r w:rsidRPr="00AC4B24">
        <w:rPr>
          <w:rFonts w:ascii="Georgia" w:hAnsi="Georgia"/>
          <w:sz w:val="21"/>
          <w:szCs w:val="21"/>
        </w:rPr>
        <w:t>The contracting authority reserves the right to demand an activity report at any time of the assignment to the service provider (meetings held, persons met, institutions visited, summary of results, problems encountered and unresolved issues, deviations from the planning and deviations from the ToR…).</w:t>
      </w:r>
    </w:p>
    <w:p w14:paraId="38AA98C5" w14:textId="77777777" w:rsidR="004F07DF" w:rsidRPr="00500FF5" w:rsidRDefault="004F07DF" w:rsidP="004F07DF">
      <w:pPr>
        <w:pStyle w:val="Heading2"/>
        <w:keepLines w:val="0"/>
        <w:widowControl w:val="0"/>
        <w:tabs>
          <w:tab w:val="num" w:pos="576"/>
        </w:tabs>
        <w:suppressAutoHyphens/>
        <w:spacing w:after="240"/>
        <w:rPr>
          <w:lang w:val="fr-FR"/>
        </w:rPr>
      </w:pPr>
      <w:bookmarkStart w:id="120" w:name="_Toc361393827"/>
      <w:bookmarkStart w:id="121" w:name="_Toc361408329"/>
      <w:bookmarkStart w:id="122" w:name="_Toc117027510"/>
      <w:r w:rsidRPr="6EA30113">
        <w:rPr>
          <w:lang w:val="fr-FR"/>
        </w:rPr>
        <w:t xml:space="preserve">Performance </w:t>
      </w:r>
      <w:proofErr w:type="spellStart"/>
      <w:r w:rsidRPr="6EA30113">
        <w:rPr>
          <w:lang w:val="fr-FR"/>
        </w:rPr>
        <w:t>modalities</w:t>
      </w:r>
      <w:proofErr w:type="spellEnd"/>
      <w:r w:rsidRPr="6EA30113">
        <w:rPr>
          <w:lang w:val="fr-FR"/>
        </w:rPr>
        <w:t xml:space="preserve"> (Art. 146 et </w:t>
      </w:r>
      <w:proofErr w:type="spellStart"/>
      <w:r w:rsidRPr="6EA30113">
        <w:rPr>
          <w:lang w:val="fr-FR"/>
        </w:rPr>
        <w:t>seq</w:t>
      </w:r>
      <w:proofErr w:type="spellEnd"/>
      <w:r w:rsidRPr="6EA30113">
        <w:rPr>
          <w:lang w:val="fr-FR"/>
        </w:rPr>
        <w:t>.)</w:t>
      </w:r>
      <w:bookmarkEnd w:id="120"/>
      <w:bookmarkEnd w:id="121"/>
      <w:bookmarkEnd w:id="122"/>
    </w:p>
    <w:p w14:paraId="03B39802" w14:textId="77777777" w:rsidR="004F07DF" w:rsidRPr="007160CE"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23" w:name="_Toc117027511"/>
      <w:r w:rsidRPr="007160CE">
        <w:rPr>
          <w:color w:val="auto"/>
        </w:rPr>
        <w:t>Deadlines and terms (Art. 147)</w:t>
      </w:r>
      <w:bookmarkEnd w:id="123"/>
    </w:p>
    <w:p w14:paraId="1BDB416C" w14:textId="5690EEEA" w:rsidR="004F07DF" w:rsidRPr="00AC4B24" w:rsidRDefault="004F07DF" w:rsidP="004F07DF">
      <w:pPr>
        <w:pStyle w:val="BodyText"/>
        <w:rPr>
          <w:rFonts w:ascii="Georgia" w:eastAsia="Calibri" w:hAnsi="Georgia" w:cs="Times New Roman"/>
          <w:sz w:val="21"/>
          <w:szCs w:val="21"/>
        </w:rPr>
      </w:pPr>
      <w:r w:rsidRPr="00DF0728">
        <w:rPr>
          <w:rFonts w:ascii="Georgia" w:hAnsi="Georgia"/>
          <w:b/>
          <w:bCs/>
          <w:sz w:val="21"/>
          <w:szCs w:val="21"/>
          <w:highlight w:val="yellow"/>
        </w:rPr>
        <w:t xml:space="preserve">The services must be performed within </w:t>
      </w:r>
      <w:r w:rsidR="00945344" w:rsidRPr="00DF0728">
        <w:rPr>
          <w:rFonts w:ascii="Georgia" w:hAnsi="Georgia"/>
          <w:b/>
          <w:bCs/>
          <w:sz w:val="21"/>
          <w:szCs w:val="21"/>
          <w:highlight w:val="yellow"/>
        </w:rPr>
        <w:t>12</w:t>
      </w:r>
      <w:r w:rsidRPr="00DF0728">
        <w:rPr>
          <w:rFonts w:ascii="Georgia" w:hAnsi="Georgia"/>
          <w:b/>
          <w:bCs/>
          <w:sz w:val="21"/>
          <w:szCs w:val="21"/>
          <w:highlight w:val="yellow"/>
        </w:rPr>
        <w:t xml:space="preserve"> months</w:t>
      </w:r>
      <w:r w:rsidRPr="007F6AB1">
        <w:rPr>
          <w:rFonts w:ascii="Georgia" w:hAnsi="Georgia"/>
          <w:sz w:val="21"/>
          <w:szCs w:val="21"/>
          <w:highlight w:val="yellow"/>
        </w:rPr>
        <w:t>,</w:t>
      </w:r>
      <w:r w:rsidR="007F6AB1">
        <w:rPr>
          <w:rFonts w:ascii="Georgia" w:hAnsi="Georgia"/>
          <w:sz w:val="21"/>
          <w:szCs w:val="21"/>
        </w:rPr>
        <w:t xml:space="preserve"> </w:t>
      </w:r>
      <w:r w:rsidRPr="00AC4B24">
        <w:rPr>
          <w:rFonts w:ascii="Georgia" w:hAnsi="Georgia"/>
          <w:sz w:val="21"/>
          <w:szCs w:val="21"/>
        </w:rPr>
        <w:t xml:space="preserve">as from one day after the date on which the service provider received the contract conclusion notification letter. </w:t>
      </w:r>
      <w:r w:rsidRPr="00AC4B24">
        <w:rPr>
          <w:rFonts w:ascii="Georgia" w:hAnsi="Georgia"/>
          <w:b/>
          <w:sz w:val="21"/>
          <w:szCs w:val="21"/>
        </w:rPr>
        <w:t>The closure of the service provider’s business for annual holidays is included in this calculation.</w:t>
      </w:r>
    </w:p>
    <w:p w14:paraId="456984A8" w14:textId="77777777" w:rsidR="004F07DF" w:rsidRPr="007160CE"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24" w:name="_Toc117027512"/>
      <w:r w:rsidRPr="007160CE">
        <w:rPr>
          <w:color w:val="auto"/>
        </w:rPr>
        <w:t>Place where the services must be performed and formalities (Art. 149)</w:t>
      </w:r>
      <w:bookmarkEnd w:id="124"/>
    </w:p>
    <w:p w14:paraId="7C12F240" w14:textId="77777777" w:rsidR="004F07DF" w:rsidRPr="00AC4B24" w:rsidRDefault="004F07DF" w:rsidP="004F07DF">
      <w:pPr>
        <w:pStyle w:val="BodyText"/>
        <w:rPr>
          <w:rFonts w:ascii="Georgia" w:hAnsi="Georgia"/>
          <w:szCs w:val="20"/>
        </w:rPr>
      </w:pPr>
      <w:r w:rsidRPr="00AC4B24">
        <w:rPr>
          <w:rFonts w:ascii="Georgia" w:hAnsi="Georgia"/>
          <w:szCs w:val="20"/>
        </w:rPr>
        <w:t>The services will be performed in Rwanda</w:t>
      </w:r>
    </w:p>
    <w:p w14:paraId="7DE47D8D" w14:textId="77777777" w:rsidR="004F07DF" w:rsidRDefault="004F07DF" w:rsidP="004F07DF">
      <w:pPr>
        <w:numPr>
          <w:ilvl w:val="2"/>
          <w:numId w:val="2"/>
        </w:numPr>
        <w:autoSpaceDE w:val="0"/>
        <w:autoSpaceDN w:val="0"/>
        <w:adjustRightInd w:val="0"/>
        <w:spacing w:before="60" w:after="60" w:line="240" w:lineRule="auto"/>
        <w:contextualSpacing/>
        <w:outlineLvl w:val="2"/>
        <w:rPr>
          <w:rFonts w:ascii="Calibri" w:hAnsi="Calibri" w:cs="Calibri-Bold"/>
          <w:b/>
          <w:bCs/>
          <w:color w:val="auto"/>
          <w:sz w:val="24"/>
          <w:szCs w:val="24"/>
          <w:lang w:val="en-US"/>
        </w:rPr>
      </w:pPr>
      <w:bookmarkStart w:id="125" w:name="_Toc117027513"/>
      <w:r w:rsidRPr="00C44D66">
        <w:rPr>
          <w:rFonts w:ascii="Calibri" w:hAnsi="Calibri" w:cs="Calibri-Bold"/>
          <w:b/>
          <w:bCs/>
          <w:color w:val="auto"/>
          <w:sz w:val="24"/>
          <w:szCs w:val="24"/>
          <w:lang w:val="en-US"/>
        </w:rPr>
        <w:t>Evaluation of the services performed</w:t>
      </w:r>
      <w:bookmarkEnd w:id="125"/>
    </w:p>
    <w:p w14:paraId="55123295" w14:textId="77777777" w:rsidR="004F07DF" w:rsidRPr="00C44D66" w:rsidRDefault="004F07DF" w:rsidP="004F07DF">
      <w:pPr>
        <w:spacing w:line="259" w:lineRule="auto"/>
        <w:jc w:val="both"/>
        <w:rPr>
          <w:rFonts w:cs="Arial"/>
          <w:color w:val="auto"/>
        </w:rPr>
      </w:pPr>
      <w:r w:rsidRPr="00C44D66">
        <w:rPr>
          <w:rFonts w:cs="Arial"/>
          <w:color w:val="auto"/>
        </w:rPr>
        <w:t>If during contract performance irregularities are found, the contractor shall be notified about this immediately by fax or e-mail, which shall be confirmed consequently. The contractor is bound to perform the non-complying services again.</w:t>
      </w:r>
    </w:p>
    <w:p w14:paraId="362B6216" w14:textId="77777777" w:rsidR="004F07DF" w:rsidRPr="00C44D66" w:rsidRDefault="004F07DF" w:rsidP="004F07DF">
      <w:pPr>
        <w:spacing w:line="259" w:lineRule="auto"/>
        <w:jc w:val="both"/>
        <w:rPr>
          <w:rFonts w:cs="Arial"/>
          <w:color w:val="auto"/>
        </w:rPr>
      </w:pPr>
      <w:r w:rsidRPr="00C44D66">
        <w:rPr>
          <w:rFonts w:cs="Arial"/>
          <w:color w:val="auto"/>
        </w:rPr>
        <w:t>When the services have been performed, the quality and conformity of the services shall be evaluated. A report of this evaluation shall be drawn up. The original copy of this report will be sent to the contractor. Any services that have not been performed correctly or in conformity shall be started again.</w:t>
      </w:r>
    </w:p>
    <w:p w14:paraId="395EA54F" w14:textId="77777777" w:rsidR="004F07DF" w:rsidRPr="003658B5" w:rsidRDefault="004F07DF" w:rsidP="004F07DF">
      <w:pPr>
        <w:pStyle w:val="Heading2"/>
        <w:keepLines w:val="0"/>
        <w:widowControl w:val="0"/>
        <w:tabs>
          <w:tab w:val="num" w:pos="576"/>
        </w:tabs>
        <w:suppressAutoHyphens/>
        <w:spacing w:after="240"/>
      </w:pPr>
      <w:bookmarkStart w:id="126" w:name="_Toc117027514"/>
      <w:r>
        <w:t>Inspection of the services (Art. 150)</w:t>
      </w:r>
      <w:bookmarkEnd w:id="126"/>
    </w:p>
    <w:p w14:paraId="7EF88DD4"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If during contract performance irregularities are found, the contractor will be notified about this immediately by fax or e-mail, which will be confirmed consequently by registered letter. The contractor is bound to perform the non-complying services again.</w:t>
      </w:r>
    </w:p>
    <w:p w14:paraId="2065FED2" w14:textId="77777777" w:rsidR="004F07DF" w:rsidRPr="003658B5" w:rsidRDefault="004F07DF" w:rsidP="004F07DF">
      <w:pPr>
        <w:pStyle w:val="BodyText"/>
        <w:rPr>
          <w:rFonts w:ascii="Georgia" w:eastAsia="Calibri" w:hAnsi="Georgia" w:cs="Times New Roman"/>
          <w:color w:val="585756"/>
          <w:szCs w:val="22"/>
        </w:rPr>
      </w:pPr>
      <w:r w:rsidRPr="007160CE">
        <w:rPr>
          <w:rFonts w:ascii="Georgia" w:hAnsi="Georgia"/>
          <w:szCs w:val="22"/>
        </w:rPr>
        <w:t xml:space="preserve">The service provider advises the managing official by registered post or e-mail showing the exact date </w:t>
      </w:r>
      <w:r w:rsidRPr="007160CE">
        <w:rPr>
          <w:rFonts w:ascii="Georgia" w:hAnsi="Georgia"/>
          <w:szCs w:val="22"/>
        </w:rPr>
        <w:lastRenderedPageBreak/>
        <w:t>of dispatch, at which date the services can be controlled</w:t>
      </w:r>
      <w:r w:rsidRPr="003658B5">
        <w:rPr>
          <w:rFonts w:ascii="Georgia" w:hAnsi="Georgia"/>
          <w:color w:val="585756"/>
          <w:szCs w:val="22"/>
        </w:rPr>
        <w:t>.</w:t>
      </w:r>
    </w:p>
    <w:p w14:paraId="03ED7B0F" w14:textId="77777777" w:rsidR="004F07DF" w:rsidRPr="003658B5" w:rsidRDefault="004F07DF" w:rsidP="004F07DF">
      <w:pPr>
        <w:pStyle w:val="Heading2"/>
        <w:keepLines w:val="0"/>
        <w:widowControl w:val="0"/>
        <w:tabs>
          <w:tab w:val="num" w:pos="576"/>
        </w:tabs>
        <w:suppressAutoHyphens/>
        <w:spacing w:after="240"/>
      </w:pPr>
      <w:bookmarkStart w:id="127" w:name="_Toc361393828"/>
      <w:bookmarkStart w:id="128" w:name="_Toc361408330"/>
      <w:bookmarkStart w:id="129" w:name="_Toc117027515"/>
      <w:r>
        <w:t>Liability of the service provider (Art. 152-153)</w:t>
      </w:r>
      <w:bookmarkEnd w:id="127"/>
      <w:bookmarkEnd w:id="128"/>
      <w:bookmarkEnd w:id="129"/>
    </w:p>
    <w:p w14:paraId="4896ADD7"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The service provider takes the full responsibility for mistakes and deficiencies in the services provided.</w:t>
      </w:r>
    </w:p>
    <w:p w14:paraId="5797DE35" w14:textId="77777777" w:rsidR="004F07DF" w:rsidRDefault="004F07DF" w:rsidP="004F07DF">
      <w:pPr>
        <w:pStyle w:val="BodyText"/>
        <w:rPr>
          <w:rFonts w:ascii="Georgia" w:hAnsi="Georgia"/>
          <w:color w:val="585756"/>
        </w:rPr>
      </w:pPr>
      <w:r w:rsidRPr="007160CE">
        <w:rPr>
          <w:rFonts w:ascii="Georgia" w:hAnsi="Georgia"/>
        </w:rPr>
        <w:t>Moreover, the service provider indemnifies the contracting authority against damages for which it is liable towards third parties due to late performance of the services or due to failure of the service provider.</w:t>
      </w:r>
    </w:p>
    <w:p w14:paraId="78346D91" w14:textId="77777777" w:rsidR="004F07DF" w:rsidRDefault="004F07DF" w:rsidP="004F07DF">
      <w:pPr>
        <w:pStyle w:val="Heading2"/>
      </w:pPr>
      <w:bookmarkStart w:id="130" w:name="_Toc117027516"/>
      <w:r>
        <w:t>Zero tolerance Sexual exploitation and abuse</w:t>
      </w:r>
      <w:bookmarkEnd w:id="130"/>
    </w:p>
    <w:p w14:paraId="0E5C5D79" w14:textId="77777777" w:rsidR="004F07DF" w:rsidRPr="007160CE" w:rsidRDefault="004F07DF" w:rsidP="004F07DF">
      <w:pPr>
        <w:rPr>
          <w:color w:val="auto"/>
        </w:rPr>
      </w:pPr>
      <w:r w:rsidRPr="007160CE">
        <w:rPr>
          <w:color w:val="auto"/>
        </w:rPr>
        <w:t>In application of Enabel’s Policy regarding sexual exploitation and abuse of June 2019 there will be zero tolerance towards any misconduct that could impact the professional credibility of the tenderer.</w:t>
      </w:r>
    </w:p>
    <w:p w14:paraId="087A9FEF" w14:textId="77777777" w:rsidR="004F07DF" w:rsidRPr="003658B5" w:rsidRDefault="004F07DF" w:rsidP="004F07DF">
      <w:pPr>
        <w:pStyle w:val="Heading2"/>
        <w:keepLines w:val="0"/>
        <w:widowControl w:val="0"/>
        <w:tabs>
          <w:tab w:val="num" w:pos="576"/>
        </w:tabs>
        <w:suppressAutoHyphens/>
        <w:spacing w:after="240"/>
      </w:pPr>
      <w:bookmarkStart w:id="131" w:name="_Toc361393829"/>
      <w:bookmarkStart w:id="132" w:name="_Toc361408331"/>
      <w:bookmarkStart w:id="133" w:name="_Toc117027517"/>
      <w:r>
        <w:t>Means of action of the contracting authority (Art. 44-51 and 154-155)</w:t>
      </w:r>
      <w:bookmarkEnd w:id="131"/>
      <w:bookmarkEnd w:id="132"/>
      <w:bookmarkEnd w:id="133"/>
    </w:p>
    <w:p w14:paraId="63565768"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The service provider's default is not solely related to services as such but also to the whole of the service provider's obligations.</w:t>
      </w:r>
    </w:p>
    <w:p w14:paraId="02642AD8"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In order to avoid any impression of risk of partiality or connivance in the follow-up and control of the performance of the procurement contract, it is strictly forbidden to the service provider to offer, directly or indirectly, gifts, meals or any other material or immaterial advantage, of whatever value, to the employees of the contracting authority who are concerned, directly or indirectly, by the follow-up and/or control of the performance of the procurement contract, regardless of their hierarchical rank.</w:t>
      </w:r>
    </w:p>
    <w:p w14:paraId="57CC4FD3"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In case of violation, the contracting authority may impose a lump-sum fine to the service provider for each violation, which can be to up to three times the amount obtained by adding up the (estimated) values of the advantage offered to the employee and of the advantage that the contractor hoped to obtain by offering the advantage to the employee. The contracting authority will decide independently about the application and the amount of this fine.</w:t>
      </w:r>
    </w:p>
    <w:p w14:paraId="541F23B3"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This clause is without prejudice to the possible application of other measures as of right provided in the GIR, namely the unilateral termination of the procurement contract and/or the exclusion of procurement contracts of the contracting authority for a determined duration.</w:t>
      </w:r>
    </w:p>
    <w:p w14:paraId="49A976E6" w14:textId="77777777" w:rsidR="004F07DF" w:rsidRPr="007160CE"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34" w:name="_Toc117027518"/>
      <w:r w:rsidRPr="007160CE">
        <w:rPr>
          <w:color w:val="auto"/>
        </w:rPr>
        <w:t>Failure of performance (Art. 44)</w:t>
      </w:r>
      <w:bookmarkEnd w:id="134"/>
    </w:p>
    <w:p w14:paraId="05432C7A"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 xml:space="preserve">§1 The contractor </w:t>
      </w:r>
      <w:proofErr w:type="gramStart"/>
      <w:r w:rsidRPr="007160CE">
        <w:rPr>
          <w:rFonts w:ascii="Georgia" w:hAnsi="Georgia"/>
          <w:szCs w:val="22"/>
        </w:rPr>
        <w:t>is considered to be</w:t>
      </w:r>
      <w:proofErr w:type="gramEnd"/>
      <w:r w:rsidRPr="007160CE">
        <w:rPr>
          <w:rFonts w:ascii="Georgia" w:hAnsi="Georgia"/>
          <w:szCs w:val="22"/>
        </w:rPr>
        <w:t xml:space="preserve"> in failure of performance under the procurement contract:</w:t>
      </w:r>
    </w:p>
    <w:p w14:paraId="7D0DEC67"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 xml:space="preserve">1° when the delivery is not carried out in accordance with the conditions specified in the procurement </w:t>
      </w:r>
      <w:proofErr w:type="gramStart"/>
      <w:r w:rsidRPr="007160CE">
        <w:rPr>
          <w:rFonts w:ascii="Georgia" w:hAnsi="Georgia"/>
          <w:szCs w:val="22"/>
        </w:rPr>
        <w:t>documents;</w:t>
      </w:r>
      <w:proofErr w:type="gramEnd"/>
    </w:p>
    <w:p w14:paraId="1A333271"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 xml:space="preserve">2° at any time, when the delivery has not progressed in such a way that it can be fully completed on the due </w:t>
      </w:r>
      <w:proofErr w:type="gramStart"/>
      <w:r w:rsidRPr="007160CE">
        <w:rPr>
          <w:rFonts w:ascii="Georgia" w:hAnsi="Georgia"/>
          <w:szCs w:val="22"/>
        </w:rPr>
        <w:t>dates;</w:t>
      </w:r>
      <w:proofErr w:type="gramEnd"/>
    </w:p>
    <w:p w14:paraId="3922D8D1"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3° when he does not observe written orders, which are given in due form by the contracting authority.</w:t>
      </w:r>
    </w:p>
    <w:p w14:paraId="08E49382"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§2 Any failure to comply with the provisions of the procurement contract, including the non-observance of orders of the contracting authority, is recorded in a report (‘process verbal’), a copy of which will be sent immediately to the contractor by registered mail.</w:t>
      </w:r>
    </w:p>
    <w:p w14:paraId="43FBA3F0"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The contractor must repair the defects without any delay. He may assert his right of defence by registered letter addressed to the contracting authority within fifteen days from the date of dispatch of the report (process verbal). Silence on his part after this period shall be deemed as acknowledgement of the reported facts.</w:t>
      </w:r>
    </w:p>
    <w:p w14:paraId="27CD137E"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 xml:space="preserve">Any defects detected that can be attributed to the contractor render him liable to one or more of the </w:t>
      </w:r>
      <w:r w:rsidRPr="007160CE">
        <w:rPr>
          <w:rFonts w:ascii="Georgia" w:hAnsi="Georgia"/>
          <w:szCs w:val="22"/>
        </w:rPr>
        <w:lastRenderedPageBreak/>
        <w:t>measures provided for in Articles 45 to 49, 154 and 155.</w:t>
      </w:r>
    </w:p>
    <w:p w14:paraId="0171926F" w14:textId="77777777" w:rsidR="004F07DF" w:rsidRPr="007160CE"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35" w:name="_Toc117027519"/>
      <w:r w:rsidRPr="007160CE">
        <w:rPr>
          <w:color w:val="auto"/>
        </w:rPr>
        <w:t>Fines for delay (Art. 46 and 154)</w:t>
      </w:r>
      <w:bookmarkEnd w:id="135"/>
    </w:p>
    <w:p w14:paraId="7D0B4EA3"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The fines for delay differ from the penalties referred to in Article 45. They are due, without the need for notice, by the mere lapse of the performance term without the issuing of a report and they are automatically applied for the total number of days of delay.</w:t>
      </w:r>
    </w:p>
    <w:p w14:paraId="35D4CAC3"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Without prejudice to the application of fines for delay, the contractor continues to guarantee the contracting authority against any damages for which it may be liable to third parties due to late performance of the procurement contract.</w:t>
      </w:r>
    </w:p>
    <w:p w14:paraId="3F73707C" w14:textId="77777777" w:rsidR="004F07DF" w:rsidRPr="007160CE"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36" w:name="_Toc117027520"/>
      <w:r w:rsidRPr="007160CE">
        <w:rPr>
          <w:color w:val="auto"/>
        </w:rPr>
        <w:t>Measures as of right (Art. 47 and 155)</w:t>
      </w:r>
      <w:bookmarkEnd w:id="136"/>
    </w:p>
    <w:p w14:paraId="4AAF1020"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 xml:space="preserve">§1 When, upon expiry of the term given in Article 44, §2, the contractor has not </w:t>
      </w:r>
      <w:proofErr w:type="gramStart"/>
      <w:r w:rsidRPr="007160CE">
        <w:rPr>
          <w:rFonts w:ascii="Georgia" w:hAnsi="Georgia"/>
          <w:szCs w:val="22"/>
        </w:rPr>
        <w:t>taken action</w:t>
      </w:r>
      <w:proofErr w:type="gramEnd"/>
      <w:r w:rsidRPr="007160CE">
        <w:rPr>
          <w:rFonts w:ascii="Georgia" w:hAnsi="Georgia"/>
          <w:szCs w:val="22"/>
        </w:rPr>
        <w:t xml:space="preserve"> or has presented means deemed unjustified by the contracting authority, the contracting authority may apply the measures as of right described in paragraph 2.</w:t>
      </w:r>
    </w:p>
    <w:p w14:paraId="390A759D"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However, the contracting authority may apply measures as of right without waiting for the expiry of the term given in Article 44, §2, when the contractor has explicitly recognised the defects found.</w:t>
      </w:r>
    </w:p>
    <w:p w14:paraId="614EE7A4"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§2 The measures as of right are:</w:t>
      </w:r>
    </w:p>
    <w:p w14:paraId="2B197617"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 xml:space="preserve">1° Unilateral termination of the procurement contract. In this case the entire performance bond, or if no bond has been posted an equivalent amount, is acquired as of right by the contracting authority as lump sum damages. This measure excludes the application of any fine for delay in performance in respect of the terminated </w:t>
      </w:r>
      <w:proofErr w:type="gramStart"/>
      <w:r w:rsidRPr="007160CE">
        <w:rPr>
          <w:rFonts w:ascii="Georgia" w:hAnsi="Georgia"/>
          <w:szCs w:val="22"/>
        </w:rPr>
        <w:t>part;</w:t>
      </w:r>
      <w:proofErr w:type="gramEnd"/>
    </w:p>
    <w:p w14:paraId="0AD41F55"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 xml:space="preserve">2° Performance under regie of all or part of the non-performed procurement </w:t>
      </w:r>
      <w:proofErr w:type="gramStart"/>
      <w:r w:rsidRPr="007160CE">
        <w:rPr>
          <w:rFonts w:ascii="Georgia" w:hAnsi="Georgia"/>
          <w:szCs w:val="22"/>
        </w:rPr>
        <w:t>contract;</w:t>
      </w:r>
      <w:proofErr w:type="gramEnd"/>
    </w:p>
    <w:p w14:paraId="06C2C498"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3° Conclusion of one or more replacement procurement contracts with one or more third parties for all or part of the procurement contract remaining to be performed.</w:t>
      </w:r>
    </w:p>
    <w:p w14:paraId="78FC9DFB"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The measures referred to in 1°, 2° and 3° will be taken at the expense and risk of the defaulting contractor. However, any fines or penalties imposed during the performance of a replacement procurement contract will be borne by the new contractor.</w:t>
      </w:r>
    </w:p>
    <w:p w14:paraId="0E45B12E" w14:textId="77777777" w:rsidR="004F07DF" w:rsidRPr="003658B5" w:rsidRDefault="004F07DF" w:rsidP="004F07DF">
      <w:pPr>
        <w:pStyle w:val="Heading2"/>
        <w:keepLines w:val="0"/>
        <w:widowControl w:val="0"/>
        <w:tabs>
          <w:tab w:val="num" w:pos="576"/>
        </w:tabs>
        <w:suppressAutoHyphens/>
        <w:spacing w:after="240"/>
      </w:pPr>
      <w:bookmarkStart w:id="137" w:name="_Toc361393830"/>
      <w:bookmarkStart w:id="138" w:name="_Toc361408332"/>
      <w:bookmarkStart w:id="139" w:name="_Toc117027521"/>
      <w:r>
        <w:t>End of the procurement contract</w:t>
      </w:r>
      <w:bookmarkEnd w:id="137"/>
      <w:bookmarkEnd w:id="138"/>
      <w:bookmarkEnd w:id="139"/>
      <w:r>
        <w:t xml:space="preserve"> </w:t>
      </w:r>
    </w:p>
    <w:p w14:paraId="22AAE317" w14:textId="77777777" w:rsidR="004F07DF" w:rsidRPr="007160CE" w:rsidRDefault="004F07DF" w:rsidP="004F07DF">
      <w:pPr>
        <w:pStyle w:val="Heading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40" w:name="_Toc117027522"/>
      <w:r w:rsidRPr="007160CE">
        <w:rPr>
          <w:color w:val="auto"/>
        </w:rPr>
        <w:t>Acceptance of the services performed (Art. 64-65 and 156)</w:t>
      </w:r>
      <w:bookmarkEnd w:id="140"/>
    </w:p>
    <w:p w14:paraId="10D6B7BC"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The managing official will closely follow up the services during performance.</w:t>
      </w:r>
    </w:p>
    <w:p w14:paraId="18535AA0"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 xml:space="preserve">The services will not be accepted until after fulfilling audit verifications, technical </w:t>
      </w:r>
      <w:proofErr w:type="gramStart"/>
      <w:r w:rsidRPr="007160CE">
        <w:rPr>
          <w:rFonts w:ascii="Georgia" w:hAnsi="Georgia"/>
          <w:szCs w:val="22"/>
        </w:rPr>
        <w:t>acceptance</w:t>
      </w:r>
      <w:proofErr w:type="gramEnd"/>
      <w:r w:rsidRPr="007160CE">
        <w:rPr>
          <w:rFonts w:ascii="Georgia" w:hAnsi="Georgia"/>
          <w:szCs w:val="22"/>
        </w:rPr>
        <w:t xml:space="preserve"> and prescribed tests. </w:t>
      </w:r>
    </w:p>
    <w:p w14:paraId="50C86FDC"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The contracting authority disposes of a verification term of thirty days starting on the final or partial end date of the services, set in conformity with the modalities in the procurement documents, to carry out the acceptance formalities and to notify the result to the service provider. This term commences provided that the contracting authority possesses, at the same time, the list of services delivered or the invoice. Upon expiry of the thirty-day term following the date stipulated for completion of the entirety of the services, depending on the case, an acceptance report or a refusal of acceptance report will be drawn up.</w:t>
      </w:r>
    </w:p>
    <w:p w14:paraId="34782C8E" w14:textId="77777777" w:rsidR="004F07DF" w:rsidRPr="007160CE" w:rsidRDefault="004F07DF" w:rsidP="004F07DF">
      <w:pPr>
        <w:pStyle w:val="BodyText"/>
        <w:rPr>
          <w:rFonts w:ascii="Georgia" w:eastAsia="Calibri" w:hAnsi="Georgia" w:cs="Times New Roman"/>
          <w:szCs w:val="22"/>
        </w:rPr>
      </w:pPr>
      <w:r w:rsidRPr="007160CE">
        <w:rPr>
          <w:rFonts w:ascii="Georgia" w:hAnsi="Georgia"/>
          <w:szCs w:val="22"/>
        </w:rPr>
        <w:t>Where the services are completed before or after this date, it is the responsibility of the service provider to notify the managing official by registered letter, and at the same time to ask for the acceptance procedure to be carried out. Within thirty days after the date of receipt of the service provider’s request, an acceptance or a refusal of acceptance report will be drawn up, depending on the case.</w:t>
      </w:r>
    </w:p>
    <w:p w14:paraId="4465659C" w14:textId="29A3679C" w:rsidR="004F07DF" w:rsidRPr="00C07C4B" w:rsidRDefault="004F07DF" w:rsidP="004F07DF">
      <w:pPr>
        <w:pStyle w:val="BodyText"/>
        <w:rPr>
          <w:rFonts w:ascii="Georgia" w:hAnsi="Georgia"/>
          <w:szCs w:val="22"/>
        </w:rPr>
      </w:pPr>
      <w:r w:rsidRPr="007160CE">
        <w:rPr>
          <w:rFonts w:ascii="Georgia" w:hAnsi="Georgia"/>
          <w:szCs w:val="22"/>
        </w:rPr>
        <w:lastRenderedPageBreak/>
        <w:t>The acceptance specified above is final.</w:t>
      </w:r>
    </w:p>
    <w:p w14:paraId="00F7E080" w14:textId="77777777" w:rsidR="004F07DF" w:rsidRPr="00FA35C7" w:rsidRDefault="004F07DF" w:rsidP="004F07DF">
      <w:pPr>
        <w:pStyle w:val="Heading2"/>
        <w:keepLines w:val="0"/>
        <w:widowControl w:val="0"/>
        <w:tabs>
          <w:tab w:val="num" w:pos="576"/>
        </w:tabs>
        <w:suppressAutoHyphens/>
        <w:spacing w:after="240"/>
      </w:pPr>
      <w:bookmarkStart w:id="141" w:name="_Toc361393831"/>
      <w:bookmarkStart w:id="142" w:name="_Toc361408333"/>
      <w:bookmarkStart w:id="143" w:name="_Toc117027523"/>
      <w:r>
        <w:t xml:space="preserve">Invoicing and payment of services (Art. 66 - 72 and </w:t>
      </w:r>
      <w:r w:rsidRPr="00FA35C7">
        <w:t>160)</w:t>
      </w:r>
      <w:bookmarkEnd w:id="141"/>
      <w:bookmarkEnd w:id="142"/>
      <w:bookmarkEnd w:id="143"/>
    </w:p>
    <w:p w14:paraId="406C50BD" w14:textId="77777777" w:rsidR="004F07DF" w:rsidRDefault="004F07DF" w:rsidP="004F07DF">
      <w:pPr>
        <w:pStyle w:val="BTCtextCTB"/>
        <w:rPr>
          <w:rFonts w:ascii="Georgia" w:hAnsi="Georgia"/>
          <w:sz w:val="20"/>
          <w:szCs w:val="22"/>
        </w:rPr>
      </w:pPr>
      <w:r w:rsidRPr="007160CE">
        <w:rPr>
          <w:rFonts w:ascii="Georgia" w:hAnsi="Georgia"/>
          <w:sz w:val="20"/>
          <w:szCs w:val="22"/>
        </w:rPr>
        <w:t>The contractor</w:t>
      </w:r>
      <w:r>
        <w:rPr>
          <w:rFonts w:ascii="Georgia" w:hAnsi="Georgia"/>
          <w:sz w:val="20"/>
          <w:szCs w:val="22"/>
        </w:rPr>
        <w:t>/ service provider</w:t>
      </w:r>
      <w:r w:rsidRPr="007160CE">
        <w:rPr>
          <w:rFonts w:ascii="Georgia" w:hAnsi="Georgia"/>
          <w:sz w:val="20"/>
          <w:szCs w:val="22"/>
        </w:rPr>
        <w:t xml:space="preserve"> sends (one copy only of) the invoices and the contract acceptance report (original copy) to the following address:</w:t>
      </w:r>
    </w:p>
    <w:p w14:paraId="16622C05" w14:textId="77777777" w:rsidR="004F07DF" w:rsidRPr="00945344" w:rsidRDefault="004F07DF" w:rsidP="00C07C4B">
      <w:pPr>
        <w:spacing w:after="0"/>
        <w:ind w:left="1440"/>
        <w:rPr>
          <w:rFonts w:eastAsia="Times New Roman"/>
          <w:b/>
          <w:color w:val="auto"/>
          <w:sz w:val="20"/>
        </w:rPr>
      </w:pPr>
      <w:r w:rsidRPr="00945344">
        <w:rPr>
          <w:rFonts w:eastAsia="Times New Roman"/>
          <w:b/>
          <w:color w:val="auto"/>
          <w:sz w:val="20"/>
        </w:rPr>
        <w:t xml:space="preserve">To the attention of </w:t>
      </w:r>
      <w:proofErr w:type="spellStart"/>
      <w:r w:rsidRPr="00945344">
        <w:rPr>
          <w:rFonts w:eastAsia="Times New Roman"/>
          <w:b/>
          <w:color w:val="auto"/>
          <w:sz w:val="20"/>
        </w:rPr>
        <w:t>Dr.</w:t>
      </w:r>
      <w:proofErr w:type="spellEnd"/>
      <w:r w:rsidRPr="00945344">
        <w:rPr>
          <w:rFonts w:eastAsia="Times New Roman"/>
          <w:b/>
          <w:color w:val="auto"/>
          <w:sz w:val="20"/>
        </w:rPr>
        <w:t xml:space="preserve"> Véronique ZINNEN </w:t>
      </w:r>
    </w:p>
    <w:p w14:paraId="505559A4" w14:textId="77777777" w:rsidR="004F07DF" w:rsidRPr="001857A4" w:rsidRDefault="004F07DF" w:rsidP="00C07C4B">
      <w:pPr>
        <w:spacing w:after="0"/>
        <w:ind w:left="1440"/>
        <w:rPr>
          <w:rFonts w:eastAsia="Times New Roman"/>
          <w:b/>
          <w:color w:val="auto"/>
          <w:sz w:val="20"/>
        </w:rPr>
      </w:pPr>
      <w:r w:rsidRPr="001857A4">
        <w:rPr>
          <w:rFonts w:eastAsia="Times New Roman"/>
          <w:b/>
          <w:color w:val="auto"/>
          <w:sz w:val="20"/>
        </w:rPr>
        <w:t xml:space="preserve">Intervention Manager </w:t>
      </w:r>
      <w:r>
        <w:rPr>
          <w:rFonts w:eastAsia="Times New Roman"/>
          <w:b/>
          <w:color w:val="auto"/>
          <w:sz w:val="20"/>
        </w:rPr>
        <w:t>_BARAME Project</w:t>
      </w:r>
    </w:p>
    <w:p w14:paraId="755CC6C3" w14:textId="7E487232" w:rsidR="004F07DF" w:rsidRPr="001857A4" w:rsidRDefault="004F07DF" w:rsidP="00C07C4B">
      <w:pPr>
        <w:spacing w:after="0"/>
        <w:ind w:left="1440"/>
        <w:rPr>
          <w:rFonts w:eastAsia="Times New Roman"/>
          <w:b/>
          <w:color w:val="auto"/>
          <w:sz w:val="20"/>
        </w:rPr>
      </w:pPr>
      <w:r w:rsidRPr="001857A4">
        <w:rPr>
          <w:rFonts w:eastAsia="Times New Roman"/>
          <w:b/>
          <w:color w:val="auto"/>
          <w:sz w:val="20"/>
        </w:rPr>
        <w:t xml:space="preserve">Belgian </w:t>
      </w:r>
      <w:r w:rsidR="00945344">
        <w:rPr>
          <w:rFonts w:eastAsia="Times New Roman"/>
          <w:b/>
          <w:color w:val="auto"/>
          <w:sz w:val="20"/>
        </w:rPr>
        <w:t>D</w:t>
      </w:r>
      <w:r w:rsidRPr="001857A4">
        <w:rPr>
          <w:rFonts w:eastAsia="Times New Roman"/>
          <w:b/>
          <w:color w:val="auto"/>
          <w:sz w:val="20"/>
        </w:rPr>
        <w:t xml:space="preserve">evelopment </w:t>
      </w:r>
      <w:r w:rsidR="00945344">
        <w:rPr>
          <w:rFonts w:eastAsia="Times New Roman"/>
          <w:b/>
          <w:color w:val="auto"/>
          <w:sz w:val="20"/>
        </w:rPr>
        <w:t>A</w:t>
      </w:r>
      <w:r w:rsidRPr="001857A4">
        <w:rPr>
          <w:rFonts w:eastAsia="Times New Roman"/>
          <w:b/>
          <w:color w:val="auto"/>
          <w:sz w:val="20"/>
        </w:rPr>
        <w:t xml:space="preserve">gency </w:t>
      </w:r>
    </w:p>
    <w:p w14:paraId="03420D0C" w14:textId="77777777" w:rsidR="004F07DF" w:rsidRPr="001857A4" w:rsidRDefault="004F07DF" w:rsidP="00C07C4B">
      <w:pPr>
        <w:spacing w:after="0"/>
        <w:ind w:left="1440"/>
        <w:rPr>
          <w:rFonts w:eastAsia="Times New Roman"/>
          <w:b/>
          <w:color w:val="auto"/>
          <w:sz w:val="20"/>
        </w:rPr>
      </w:pPr>
      <w:r w:rsidRPr="001857A4">
        <w:rPr>
          <w:rFonts w:eastAsia="Times New Roman"/>
          <w:b/>
          <w:color w:val="auto"/>
          <w:sz w:val="20"/>
        </w:rPr>
        <w:t xml:space="preserve">KN 67 Street, plot N° 10 </w:t>
      </w:r>
    </w:p>
    <w:p w14:paraId="17FB2F8C" w14:textId="2DBBB5BF" w:rsidR="004F07DF" w:rsidRPr="001857A4" w:rsidRDefault="00945344" w:rsidP="00C07C4B">
      <w:pPr>
        <w:spacing w:after="0"/>
        <w:ind w:left="1440"/>
        <w:rPr>
          <w:rFonts w:eastAsia="Times New Roman"/>
          <w:b/>
          <w:color w:val="auto"/>
          <w:sz w:val="20"/>
        </w:rPr>
      </w:pPr>
      <w:r>
        <w:rPr>
          <w:rFonts w:eastAsia="Times New Roman"/>
          <w:b/>
          <w:color w:val="auto"/>
          <w:sz w:val="20"/>
        </w:rPr>
        <w:t>SANLAM</w:t>
      </w:r>
      <w:r w:rsidR="004F07DF" w:rsidRPr="001857A4">
        <w:rPr>
          <w:rFonts w:eastAsia="Times New Roman"/>
          <w:b/>
          <w:color w:val="auto"/>
          <w:sz w:val="20"/>
        </w:rPr>
        <w:t xml:space="preserve"> Towers, Wing A, 6</w:t>
      </w:r>
      <w:r w:rsidRPr="00945344">
        <w:rPr>
          <w:rFonts w:eastAsia="Times New Roman"/>
          <w:b/>
          <w:color w:val="auto"/>
          <w:sz w:val="20"/>
          <w:vertAlign w:val="superscript"/>
        </w:rPr>
        <w:t>th</w:t>
      </w:r>
      <w:r>
        <w:rPr>
          <w:rFonts w:eastAsia="Times New Roman"/>
          <w:b/>
          <w:color w:val="auto"/>
          <w:sz w:val="20"/>
        </w:rPr>
        <w:t xml:space="preserve"> </w:t>
      </w:r>
      <w:r w:rsidR="004F07DF" w:rsidRPr="001857A4">
        <w:rPr>
          <w:rFonts w:eastAsia="Times New Roman"/>
          <w:b/>
          <w:color w:val="auto"/>
          <w:sz w:val="20"/>
        </w:rPr>
        <w:t xml:space="preserve">Floor </w:t>
      </w:r>
    </w:p>
    <w:p w14:paraId="1A5BCB75" w14:textId="77777777" w:rsidR="004F07DF" w:rsidRPr="001857A4" w:rsidRDefault="004F07DF" w:rsidP="00C07C4B">
      <w:pPr>
        <w:spacing w:after="0"/>
        <w:ind w:left="1440"/>
        <w:rPr>
          <w:rFonts w:eastAsia="Times New Roman"/>
          <w:b/>
          <w:color w:val="auto"/>
          <w:sz w:val="20"/>
        </w:rPr>
      </w:pPr>
      <w:r w:rsidRPr="001857A4">
        <w:rPr>
          <w:rFonts w:eastAsia="Times New Roman"/>
          <w:b/>
          <w:color w:val="auto"/>
          <w:sz w:val="20"/>
        </w:rPr>
        <w:t xml:space="preserve">Opposite St Michel Catholic Church </w:t>
      </w:r>
    </w:p>
    <w:p w14:paraId="4E98F775" w14:textId="77777777" w:rsidR="004F07DF" w:rsidRPr="001857A4" w:rsidRDefault="004F07DF" w:rsidP="00C07C4B">
      <w:pPr>
        <w:spacing w:after="0"/>
        <w:ind w:left="1440"/>
        <w:rPr>
          <w:rFonts w:eastAsia="Times New Roman"/>
          <w:b/>
          <w:color w:val="auto"/>
          <w:sz w:val="20"/>
        </w:rPr>
      </w:pPr>
      <w:r w:rsidRPr="001857A4">
        <w:rPr>
          <w:rFonts w:eastAsia="Times New Roman"/>
          <w:b/>
          <w:color w:val="auto"/>
          <w:sz w:val="20"/>
        </w:rPr>
        <w:t xml:space="preserve">B.P. 6089 KIYOVU </w:t>
      </w:r>
    </w:p>
    <w:p w14:paraId="5D5A26EF" w14:textId="77777777" w:rsidR="004F07DF" w:rsidRPr="001857A4" w:rsidRDefault="004F07DF" w:rsidP="00C07C4B">
      <w:pPr>
        <w:spacing w:after="0"/>
        <w:ind w:left="1440"/>
        <w:rPr>
          <w:rFonts w:eastAsia="Times New Roman"/>
          <w:color w:val="auto"/>
          <w:sz w:val="20"/>
        </w:rPr>
      </w:pPr>
      <w:r w:rsidRPr="001857A4">
        <w:rPr>
          <w:rFonts w:eastAsia="Times New Roman"/>
          <w:b/>
          <w:color w:val="auto"/>
          <w:sz w:val="20"/>
        </w:rPr>
        <w:t>KIGALI- RWANDA</w:t>
      </w:r>
    </w:p>
    <w:p w14:paraId="691C80F8" w14:textId="77777777" w:rsidR="004F07DF" w:rsidRPr="00C07C4B" w:rsidRDefault="004F07DF" w:rsidP="004F07DF">
      <w:pPr>
        <w:pStyle w:val="BTCtextCTB"/>
        <w:rPr>
          <w:rFonts w:ascii="Georgia" w:eastAsia="Calibri" w:hAnsi="Georgia"/>
          <w:kern w:val="18"/>
          <w:sz w:val="20"/>
          <w:szCs w:val="22"/>
        </w:rPr>
      </w:pPr>
      <w:r w:rsidRPr="00C07C4B">
        <w:rPr>
          <w:rFonts w:ascii="Georgia" w:hAnsi="Georgia"/>
          <w:sz w:val="20"/>
          <w:szCs w:val="22"/>
        </w:rPr>
        <w:t>Only services that have been performed correctly may be invoiced.</w:t>
      </w:r>
    </w:p>
    <w:p w14:paraId="00205AC7" w14:textId="285BEB8B" w:rsidR="004F07DF" w:rsidRPr="00C07C4B" w:rsidRDefault="004F07DF" w:rsidP="004F07DF">
      <w:pPr>
        <w:pStyle w:val="BTCtextCTB"/>
        <w:rPr>
          <w:rFonts w:ascii="Georgia" w:eastAsia="Calibri" w:hAnsi="Georgia"/>
          <w:kern w:val="18"/>
          <w:sz w:val="20"/>
          <w:szCs w:val="22"/>
        </w:rPr>
      </w:pPr>
      <w:r w:rsidRPr="00C07C4B">
        <w:rPr>
          <w:rFonts w:ascii="Georgia" w:hAnsi="Georgia"/>
          <w:sz w:val="20"/>
          <w:szCs w:val="22"/>
        </w:rPr>
        <w:t>The contracting authority disposes of a verification term of thirty days starting on the end date for the services, set in conformity with the modalities in the procurement documents, to carry out the technical acceptance and provisional acceptance formalities and to notify the result to the service provider.</w:t>
      </w:r>
    </w:p>
    <w:p w14:paraId="7447337F" w14:textId="77777777" w:rsidR="004F07DF" w:rsidRPr="00C07C4B" w:rsidRDefault="004F07DF" w:rsidP="004F07DF">
      <w:pPr>
        <w:pStyle w:val="BTCtextCTB"/>
        <w:rPr>
          <w:rFonts w:ascii="Georgia" w:hAnsi="Georgia"/>
          <w:sz w:val="20"/>
          <w:szCs w:val="22"/>
        </w:rPr>
      </w:pPr>
      <w:r w:rsidRPr="00C07C4B">
        <w:rPr>
          <w:rFonts w:ascii="Georgia" w:hAnsi="Georgia"/>
          <w:sz w:val="20"/>
          <w:szCs w:val="22"/>
        </w:rPr>
        <w:t xml:space="preserve">The amount owed to the contractor must be paid within 30 calendar days with effect from the expiry of the verification period, and provided that the contracting authority possesses, at the same time, the duly established invoice. </w:t>
      </w:r>
    </w:p>
    <w:p w14:paraId="1D39423F" w14:textId="17CCA788" w:rsidR="004F07DF" w:rsidRPr="00C07C4B" w:rsidRDefault="004F07DF" w:rsidP="004F07DF">
      <w:pPr>
        <w:pStyle w:val="BTCtextCTB"/>
        <w:rPr>
          <w:rFonts w:ascii="Georgia" w:hAnsi="Georgia"/>
          <w:sz w:val="20"/>
          <w:szCs w:val="22"/>
        </w:rPr>
      </w:pPr>
      <w:r w:rsidRPr="00C07C4B">
        <w:rPr>
          <w:rFonts w:ascii="Georgia" w:hAnsi="Georgia"/>
          <w:sz w:val="20"/>
          <w:szCs w:val="22"/>
        </w:rPr>
        <w:t>When the procurement documents do not provide for any separate debt claim, the invoice will constitute the debt claim.</w:t>
      </w:r>
    </w:p>
    <w:p w14:paraId="38AF25EE" w14:textId="77777777" w:rsidR="004F07DF" w:rsidRDefault="004F07DF" w:rsidP="004F07DF">
      <w:pPr>
        <w:pStyle w:val="BTCtextCTB"/>
        <w:rPr>
          <w:rFonts w:ascii="Georgia" w:hAnsi="Georgia"/>
          <w:sz w:val="20"/>
          <w:szCs w:val="22"/>
        </w:rPr>
      </w:pPr>
      <w:r>
        <w:rPr>
          <w:rFonts w:ascii="Georgia" w:hAnsi="Georgia"/>
          <w:sz w:val="20"/>
          <w:szCs w:val="22"/>
        </w:rPr>
        <w:t xml:space="preserve">The invoice will be </w:t>
      </w:r>
      <w:proofErr w:type="gramStart"/>
      <w:r>
        <w:rPr>
          <w:rFonts w:ascii="Georgia" w:hAnsi="Georgia"/>
          <w:sz w:val="20"/>
          <w:szCs w:val="22"/>
        </w:rPr>
        <w:t>mention</w:t>
      </w:r>
      <w:proofErr w:type="gramEnd"/>
      <w:r>
        <w:rPr>
          <w:rFonts w:ascii="Georgia" w:hAnsi="Georgia"/>
          <w:sz w:val="20"/>
          <w:szCs w:val="22"/>
        </w:rPr>
        <w:t>:</w:t>
      </w:r>
    </w:p>
    <w:p w14:paraId="324EFA65" w14:textId="77777777" w:rsidR="004F07DF" w:rsidRPr="007D301A" w:rsidRDefault="004F07DF" w:rsidP="004F07DF">
      <w:pPr>
        <w:pStyle w:val="BodyText"/>
        <w:numPr>
          <w:ilvl w:val="0"/>
          <w:numId w:val="55"/>
        </w:numPr>
        <w:rPr>
          <w:rFonts w:ascii="Georgia" w:hAnsi="Georgia"/>
          <w:b/>
          <w:sz w:val="22"/>
          <w:szCs w:val="22"/>
        </w:rPr>
      </w:pPr>
      <w:r w:rsidRPr="007D301A">
        <w:rPr>
          <w:rFonts w:ascii="Georgia" w:hAnsi="Georgia"/>
          <w:sz w:val="22"/>
          <w:szCs w:val="22"/>
        </w:rPr>
        <w:t>“</w:t>
      </w:r>
      <w:r w:rsidRPr="007D301A">
        <w:rPr>
          <w:rFonts w:ascii="Georgia" w:hAnsi="Georgia"/>
          <w:b/>
          <w:sz w:val="22"/>
          <w:szCs w:val="22"/>
        </w:rPr>
        <w:t>Enabel, public-law company with social purposes, with its registered office at Rue Haute 147, 1000 Brussels in Belgium (enterprise number 0264.814.354, RPM/RPR Brussels)</w:t>
      </w:r>
      <w:proofErr w:type="gramStart"/>
      <w:r w:rsidRPr="007D301A">
        <w:rPr>
          <w:rFonts w:ascii="Georgia" w:hAnsi="Georgia"/>
          <w:b/>
          <w:sz w:val="22"/>
          <w:szCs w:val="22"/>
        </w:rPr>
        <w:t>”;</w:t>
      </w:r>
      <w:proofErr w:type="gramEnd"/>
      <w:r w:rsidRPr="007D301A">
        <w:rPr>
          <w:rFonts w:ascii="Georgia" w:hAnsi="Georgia"/>
          <w:b/>
          <w:sz w:val="22"/>
          <w:szCs w:val="22"/>
        </w:rPr>
        <w:t xml:space="preserve"> </w:t>
      </w:r>
    </w:p>
    <w:p w14:paraId="71141FE5" w14:textId="0798EE92" w:rsidR="004F07DF" w:rsidRPr="007D301A" w:rsidRDefault="004F07DF" w:rsidP="00196792">
      <w:pPr>
        <w:pStyle w:val="BodyText"/>
        <w:numPr>
          <w:ilvl w:val="0"/>
          <w:numId w:val="55"/>
        </w:numPr>
        <w:rPr>
          <w:rFonts w:ascii="Georgia" w:hAnsi="Georgia"/>
          <w:b/>
          <w:sz w:val="22"/>
          <w:szCs w:val="22"/>
        </w:rPr>
      </w:pPr>
      <w:r w:rsidRPr="007D301A">
        <w:rPr>
          <w:rFonts w:ascii="Georgia" w:hAnsi="Georgia"/>
          <w:sz w:val="22"/>
          <w:szCs w:val="22"/>
        </w:rPr>
        <w:t>the name of the contract: “</w:t>
      </w:r>
      <w:r w:rsidR="007643F0" w:rsidRPr="007D301A">
        <w:rPr>
          <w:rFonts w:ascii="Georgia" w:hAnsi="Georgia"/>
          <w:b/>
          <w:sz w:val="22"/>
          <w:szCs w:val="22"/>
          <w:lang w:val="en-US"/>
        </w:rPr>
        <w:t xml:space="preserve">Develop communication materials on MNASRH in 7 districts to induce behavioral and social changes among the community combined with Optimize the mechanisms of accountability by making health information data performances available and comprehensible for the community </w:t>
      </w:r>
      <w:r w:rsidRPr="007D301A">
        <w:rPr>
          <w:rFonts w:ascii="Georgia" w:hAnsi="Georgia"/>
          <w:sz w:val="22"/>
          <w:szCs w:val="22"/>
        </w:rPr>
        <w:t xml:space="preserve">the reference of the tender documents: </w:t>
      </w:r>
      <w:r w:rsidRPr="007D301A">
        <w:rPr>
          <w:rFonts w:ascii="Georgia" w:hAnsi="Georgia"/>
          <w:b/>
          <w:sz w:val="22"/>
          <w:szCs w:val="22"/>
        </w:rPr>
        <w:t xml:space="preserve">« </w:t>
      </w:r>
      <w:r w:rsidR="003E01C3" w:rsidRPr="007D301A">
        <w:rPr>
          <w:rFonts w:ascii="Georgia" w:hAnsi="Georgia"/>
          <w:b/>
          <w:sz w:val="22"/>
          <w:szCs w:val="22"/>
          <w:highlight w:val="yellow"/>
          <w:lang w:val="en-US"/>
        </w:rPr>
        <w:t>RWA19009-10065</w:t>
      </w:r>
      <w:r w:rsidRPr="007D301A">
        <w:rPr>
          <w:rFonts w:ascii="Georgia" w:hAnsi="Georgia"/>
          <w:b/>
          <w:sz w:val="22"/>
          <w:szCs w:val="22"/>
          <w:highlight w:val="yellow"/>
        </w:rPr>
        <w:t>»</w:t>
      </w:r>
      <w:r w:rsidRPr="007D301A">
        <w:rPr>
          <w:rFonts w:ascii="Georgia" w:hAnsi="Georgia"/>
          <w:b/>
          <w:sz w:val="22"/>
          <w:szCs w:val="22"/>
        </w:rPr>
        <w:t xml:space="preserve"> </w:t>
      </w:r>
    </w:p>
    <w:p w14:paraId="2C187BE5" w14:textId="075BD6B9" w:rsidR="004F07DF" w:rsidRPr="007D301A" w:rsidRDefault="004F07DF" w:rsidP="004F07DF">
      <w:pPr>
        <w:pStyle w:val="BodyText"/>
        <w:numPr>
          <w:ilvl w:val="0"/>
          <w:numId w:val="55"/>
        </w:numPr>
        <w:rPr>
          <w:rFonts w:ascii="Georgia" w:hAnsi="Georgia"/>
          <w:sz w:val="22"/>
          <w:szCs w:val="22"/>
        </w:rPr>
      </w:pPr>
      <w:r w:rsidRPr="007D301A">
        <w:rPr>
          <w:rFonts w:ascii="Georgia" w:hAnsi="Georgia"/>
          <w:sz w:val="22"/>
          <w:szCs w:val="22"/>
        </w:rPr>
        <w:t>the Navision code and the lot number: “</w:t>
      </w:r>
      <w:proofErr w:type="spellStart"/>
      <w:r w:rsidR="003E01C3" w:rsidRPr="007D301A">
        <w:rPr>
          <w:rFonts w:ascii="Georgia" w:hAnsi="Georgia"/>
          <w:b/>
          <w:sz w:val="22"/>
          <w:szCs w:val="22"/>
          <w:highlight w:val="yellow"/>
        </w:rPr>
        <w:t>xxxx</w:t>
      </w:r>
      <w:proofErr w:type="spellEnd"/>
      <w:r w:rsidRPr="007D301A">
        <w:rPr>
          <w:rFonts w:ascii="Georgia" w:hAnsi="Georgia"/>
          <w:b/>
          <w:sz w:val="22"/>
          <w:szCs w:val="22"/>
        </w:rPr>
        <w:t>”.</w:t>
      </w:r>
      <w:r w:rsidRPr="007D301A">
        <w:rPr>
          <w:rFonts w:ascii="Georgia" w:hAnsi="Georgia"/>
          <w:sz w:val="22"/>
          <w:szCs w:val="22"/>
        </w:rPr>
        <w:t xml:space="preserve"> </w:t>
      </w:r>
    </w:p>
    <w:p w14:paraId="4255C2A7" w14:textId="41AE2C55" w:rsidR="004F07DF" w:rsidRPr="007D301A" w:rsidRDefault="004F07DF" w:rsidP="004F07DF">
      <w:pPr>
        <w:pStyle w:val="BodyText"/>
        <w:numPr>
          <w:ilvl w:val="0"/>
          <w:numId w:val="55"/>
        </w:numPr>
        <w:rPr>
          <w:rFonts w:ascii="Georgia" w:hAnsi="Georgia"/>
          <w:sz w:val="22"/>
          <w:szCs w:val="22"/>
        </w:rPr>
      </w:pPr>
      <w:r w:rsidRPr="007D301A">
        <w:rPr>
          <w:rFonts w:ascii="Georgia" w:hAnsi="Georgia"/>
          <w:sz w:val="22"/>
          <w:szCs w:val="22"/>
        </w:rPr>
        <w:t>the name of the Managing Official: “</w:t>
      </w:r>
      <w:r w:rsidR="00DF0728" w:rsidRPr="007D301A">
        <w:rPr>
          <w:rFonts w:ascii="Georgia" w:hAnsi="Georgia"/>
          <w:b/>
          <w:sz w:val="22"/>
          <w:szCs w:val="22"/>
        </w:rPr>
        <w:t>Véronique ZINNEN</w:t>
      </w:r>
      <w:r w:rsidRPr="007D301A">
        <w:rPr>
          <w:rFonts w:ascii="Georgia" w:hAnsi="Georgia"/>
          <w:sz w:val="22"/>
          <w:szCs w:val="22"/>
        </w:rPr>
        <w:t xml:space="preserve">”. </w:t>
      </w:r>
    </w:p>
    <w:p w14:paraId="6F195EED" w14:textId="77777777" w:rsidR="004F07DF" w:rsidRPr="005E6809" w:rsidRDefault="004F07DF" w:rsidP="004F07DF">
      <w:pPr>
        <w:pStyle w:val="BodyText"/>
        <w:rPr>
          <w:rFonts w:ascii="Georgia" w:eastAsia="Times New Roman" w:hAnsi="Georgia" w:cs="Times New Roman"/>
          <w:kern w:val="0"/>
          <w:szCs w:val="22"/>
        </w:rPr>
      </w:pPr>
      <w:r w:rsidRPr="005E6809">
        <w:rPr>
          <w:rFonts w:ascii="Georgia" w:eastAsia="Times New Roman" w:hAnsi="Georgia" w:cs="Times New Roman"/>
          <w:kern w:val="0"/>
          <w:szCs w:val="22"/>
        </w:rPr>
        <w:t>The invoice shall be in EUROS.</w:t>
      </w:r>
    </w:p>
    <w:p w14:paraId="0F85F30B" w14:textId="09108CF1" w:rsidR="004F07DF" w:rsidRPr="005E6809" w:rsidRDefault="004F07DF" w:rsidP="004F07DF">
      <w:pPr>
        <w:jc w:val="both"/>
        <w:rPr>
          <w:rFonts w:eastAsia="Times New Roman"/>
          <w:color w:val="auto"/>
          <w:sz w:val="20"/>
        </w:rPr>
      </w:pPr>
      <w:r w:rsidRPr="005E6809">
        <w:rPr>
          <w:rFonts w:eastAsia="Times New Roman"/>
          <w:color w:val="auto"/>
          <w:sz w:val="20"/>
        </w:rPr>
        <w:t xml:space="preserve">No advance may be asked by the contractor. </w:t>
      </w:r>
    </w:p>
    <w:p w14:paraId="665979A0" w14:textId="7811FE6D" w:rsidR="00D17236" w:rsidRDefault="004F07DF" w:rsidP="004F07DF">
      <w:pPr>
        <w:jc w:val="both"/>
        <w:rPr>
          <w:rFonts w:cs="Arial"/>
          <w:color w:val="auto"/>
          <w:sz w:val="22"/>
        </w:rPr>
      </w:pPr>
      <w:r w:rsidRPr="005E6809">
        <w:rPr>
          <w:rFonts w:eastAsia="Times New Roman"/>
          <w:color w:val="auto"/>
          <w:sz w:val="20"/>
        </w:rPr>
        <w:t>Payment shall be made in instalments (progress payment) as follows</w:t>
      </w:r>
      <w:r w:rsidRPr="007D301A">
        <w:rPr>
          <w:rFonts w:cs="Arial"/>
          <w:color w:val="auto"/>
          <w:sz w:val="22"/>
        </w:rPr>
        <w:t>:</w:t>
      </w:r>
    </w:p>
    <w:p w14:paraId="655A8B2A" w14:textId="32BA4B7B" w:rsidR="00922F75" w:rsidRDefault="00922F75">
      <w:pPr>
        <w:spacing w:line="259" w:lineRule="auto"/>
        <w:rPr>
          <w:rFonts w:cs="Arial"/>
          <w:color w:val="auto"/>
          <w:sz w:val="22"/>
        </w:rPr>
      </w:pPr>
      <w:r>
        <w:rPr>
          <w:rFonts w:cs="Arial"/>
          <w:color w:val="auto"/>
          <w:sz w:val="22"/>
        </w:rPr>
        <w:br w:type="page"/>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277"/>
        <w:gridCol w:w="2821"/>
      </w:tblGrid>
      <w:tr w:rsidR="00922F75" w:rsidRPr="00AF1DAC" w14:paraId="0F64E048" w14:textId="77777777" w:rsidTr="00922F75">
        <w:trPr>
          <w:trHeight w:val="401"/>
          <w:tblHeader/>
        </w:trPr>
        <w:tc>
          <w:tcPr>
            <w:tcW w:w="1276" w:type="dxa"/>
            <w:shd w:val="clear" w:color="auto" w:fill="A6A6A6"/>
            <w:vAlign w:val="center"/>
          </w:tcPr>
          <w:p w14:paraId="42BC53BA" w14:textId="77777777" w:rsidR="00922F75" w:rsidRPr="00C44D66" w:rsidRDefault="00922F75" w:rsidP="0028683E">
            <w:pPr>
              <w:spacing w:line="259" w:lineRule="auto"/>
              <w:jc w:val="center"/>
              <w:rPr>
                <w:b/>
                <w:color w:val="auto"/>
                <w:sz w:val="20"/>
                <w:szCs w:val="20"/>
              </w:rPr>
            </w:pPr>
            <w:r w:rsidRPr="00C44D66">
              <w:rPr>
                <w:b/>
                <w:color w:val="auto"/>
                <w:sz w:val="20"/>
                <w:szCs w:val="20"/>
              </w:rPr>
              <w:lastRenderedPageBreak/>
              <w:t>Deliverable N°</w:t>
            </w:r>
          </w:p>
        </w:tc>
        <w:tc>
          <w:tcPr>
            <w:tcW w:w="5358" w:type="dxa"/>
            <w:shd w:val="clear" w:color="auto" w:fill="A6A6A6"/>
          </w:tcPr>
          <w:p w14:paraId="4DE4D578" w14:textId="77777777" w:rsidR="00922F75" w:rsidRPr="00C44D66" w:rsidRDefault="00922F75" w:rsidP="0028683E">
            <w:pPr>
              <w:spacing w:line="259" w:lineRule="auto"/>
              <w:jc w:val="center"/>
              <w:rPr>
                <w:b/>
                <w:color w:val="auto"/>
                <w:sz w:val="20"/>
                <w:szCs w:val="20"/>
              </w:rPr>
            </w:pPr>
            <w:r w:rsidRPr="00C44D66">
              <w:rPr>
                <w:b/>
                <w:color w:val="auto"/>
                <w:sz w:val="20"/>
                <w:szCs w:val="20"/>
              </w:rPr>
              <w:t>Deliverable description and report</w:t>
            </w:r>
          </w:p>
        </w:tc>
        <w:tc>
          <w:tcPr>
            <w:tcW w:w="2864" w:type="dxa"/>
            <w:shd w:val="clear" w:color="auto" w:fill="A6A6A6"/>
          </w:tcPr>
          <w:p w14:paraId="5EDE40B2" w14:textId="77777777" w:rsidR="00922F75" w:rsidRPr="00C44D66" w:rsidRDefault="00922F75" w:rsidP="0028683E">
            <w:pPr>
              <w:spacing w:line="259" w:lineRule="auto"/>
              <w:rPr>
                <w:b/>
                <w:color w:val="auto"/>
                <w:sz w:val="20"/>
                <w:szCs w:val="20"/>
              </w:rPr>
            </w:pPr>
            <w:proofErr w:type="gramStart"/>
            <w:r w:rsidRPr="00C44D66">
              <w:rPr>
                <w:b/>
                <w:color w:val="auto"/>
                <w:sz w:val="20"/>
                <w:szCs w:val="20"/>
              </w:rPr>
              <w:t>Payment  Instalment</w:t>
            </w:r>
            <w:proofErr w:type="gramEnd"/>
            <w:r w:rsidRPr="00C44D66">
              <w:rPr>
                <w:b/>
                <w:color w:val="auto"/>
                <w:sz w:val="20"/>
                <w:szCs w:val="20"/>
              </w:rPr>
              <w:t xml:space="preserve"> </w:t>
            </w:r>
          </w:p>
        </w:tc>
      </w:tr>
      <w:tr w:rsidR="00922F75" w:rsidRPr="00AF1DAC" w14:paraId="5EDD4FD8" w14:textId="77777777" w:rsidTr="00922F75">
        <w:trPr>
          <w:trHeight w:val="481"/>
        </w:trPr>
        <w:tc>
          <w:tcPr>
            <w:tcW w:w="1276" w:type="dxa"/>
            <w:shd w:val="clear" w:color="auto" w:fill="auto"/>
            <w:vAlign w:val="center"/>
          </w:tcPr>
          <w:p w14:paraId="2BFCE80C" w14:textId="77777777" w:rsidR="00922F75" w:rsidRPr="00C44D66" w:rsidRDefault="00922F75" w:rsidP="0028683E">
            <w:pPr>
              <w:spacing w:line="259" w:lineRule="auto"/>
              <w:jc w:val="center"/>
              <w:rPr>
                <w:color w:val="auto"/>
                <w:sz w:val="20"/>
                <w:szCs w:val="20"/>
              </w:rPr>
            </w:pPr>
            <w:r w:rsidRPr="00C44D66">
              <w:rPr>
                <w:color w:val="auto"/>
                <w:sz w:val="20"/>
                <w:szCs w:val="20"/>
              </w:rPr>
              <w:t>1</w:t>
            </w:r>
          </w:p>
        </w:tc>
        <w:tc>
          <w:tcPr>
            <w:tcW w:w="5358" w:type="dxa"/>
            <w:shd w:val="clear" w:color="auto" w:fill="auto"/>
          </w:tcPr>
          <w:p w14:paraId="205EEF8D" w14:textId="77777777" w:rsidR="00922F75" w:rsidRDefault="00922F75" w:rsidP="0028683E">
            <w:pPr>
              <w:pStyle w:val="ListParagraph"/>
              <w:spacing w:after="0"/>
              <w:ind w:left="0"/>
              <w:contextualSpacing w:val="0"/>
              <w:jc w:val="both"/>
              <w:rPr>
                <w:color w:val="auto"/>
                <w:sz w:val="20"/>
                <w:szCs w:val="20"/>
              </w:rPr>
            </w:pPr>
            <w:r w:rsidRPr="00F667FB">
              <w:rPr>
                <w:b/>
                <w:color w:val="auto"/>
                <w:sz w:val="20"/>
                <w:szCs w:val="20"/>
              </w:rPr>
              <w:t xml:space="preserve">Upon approval and </w:t>
            </w:r>
            <w:r>
              <w:rPr>
                <w:b/>
                <w:color w:val="auto"/>
                <w:sz w:val="20"/>
                <w:szCs w:val="20"/>
              </w:rPr>
              <w:t>a</w:t>
            </w:r>
            <w:r w:rsidRPr="00F667FB">
              <w:rPr>
                <w:b/>
                <w:color w:val="auto"/>
                <w:sz w:val="20"/>
                <w:szCs w:val="20"/>
              </w:rPr>
              <w:t>ccept</w:t>
            </w:r>
            <w:r>
              <w:rPr>
                <w:b/>
                <w:color w:val="auto"/>
                <w:sz w:val="20"/>
                <w:szCs w:val="20"/>
              </w:rPr>
              <w:t>ance</w:t>
            </w:r>
            <w:r w:rsidRPr="00F667FB">
              <w:rPr>
                <w:b/>
                <w:color w:val="auto"/>
                <w:sz w:val="20"/>
                <w:szCs w:val="20"/>
              </w:rPr>
              <w:t xml:space="preserve"> inception report</w:t>
            </w:r>
            <w:r w:rsidRPr="00F667FB">
              <w:rPr>
                <w:color w:val="auto"/>
                <w:sz w:val="20"/>
                <w:szCs w:val="20"/>
              </w:rPr>
              <w:t xml:space="preserve"> </w:t>
            </w:r>
            <w:r w:rsidRPr="008B0242">
              <w:rPr>
                <w:color w:val="auto"/>
                <w:sz w:val="20"/>
                <w:szCs w:val="20"/>
              </w:rPr>
              <w:t>that includes</w:t>
            </w:r>
            <w:r>
              <w:rPr>
                <w:color w:val="auto"/>
                <w:sz w:val="20"/>
                <w:szCs w:val="20"/>
              </w:rPr>
              <w:t>:</w:t>
            </w:r>
          </w:p>
          <w:p w14:paraId="7518A9DE" w14:textId="77777777" w:rsidR="00922F75" w:rsidRPr="00963506" w:rsidRDefault="00922F75" w:rsidP="0028683E">
            <w:pPr>
              <w:pStyle w:val="ListParagraph"/>
              <w:numPr>
                <w:ilvl w:val="0"/>
                <w:numId w:val="8"/>
              </w:numPr>
              <w:spacing w:after="0"/>
              <w:contextualSpacing w:val="0"/>
              <w:jc w:val="both"/>
              <w:rPr>
                <w:color w:val="auto"/>
                <w:sz w:val="20"/>
                <w:szCs w:val="20"/>
              </w:rPr>
            </w:pPr>
            <w:r>
              <w:rPr>
                <w:color w:val="auto"/>
                <w:sz w:val="20"/>
                <w:szCs w:val="20"/>
              </w:rPr>
              <w:t>T</w:t>
            </w:r>
            <w:r w:rsidRPr="00963506">
              <w:rPr>
                <w:color w:val="auto"/>
                <w:sz w:val="20"/>
                <w:szCs w:val="20"/>
              </w:rPr>
              <w:t>he objectives and the expected results with an extensive literature review</w:t>
            </w:r>
          </w:p>
          <w:p w14:paraId="4E39ABF3" w14:textId="77777777" w:rsidR="00922F75" w:rsidRPr="00B77F3D" w:rsidRDefault="00922F75" w:rsidP="00A41CAE">
            <w:pPr>
              <w:pStyle w:val="ListParagraph"/>
              <w:numPr>
                <w:ilvl w:val="0"/>
                <w:numId w:val="62"/>
              </w:numPr>
              <w:spacing w:after="0"/>
              <w:contextualSpacing w:val="0"/>
              <w:jc w:val="both"/>
              <w:rPr>
                <w:color w:val="auto"/>
                <w:sz w:val="20"/>
                <w:szCs w:val="20"/>
              </w:rPr>
            </w:pPr>
            <w:r w:rsidRPr="00393FD2">
              <w:rPr>
                <w:color w:val="auto"/>
                <w:sz w:val="20"/>
                <w:szCs w:val="20"/>
              </w:rPr>
              <w:t>Report detailing the methodology</w:t>
            </w:r>
            <w:r>
              <w:rPr>
                <w:color w:val="auto"/>
                <w:sz w:val="20"/>
                <w:szCs w:val="20"/>
              </w:rPr>
              <w:t xml:space="preserve">, </w:t>
            </w:r>
            <w:r w:rsidRPr="00393FD2">
              <w:rPr>
                <w:color w:val="auto"/>
                <w:sz w:val="20"/>
                <w:szCs w:val="20"/>
              </w:rPr>
              <w:t>work plan</w:t>
            </w:r>
            <w:r>
              <w:rPr>
                <w:color w:val="auto"/>
                <w:sz w:val="20"/>
                <w:szCs w:val="20"/>
              </w:rPr>
              <w:t xml:space="preserve">, </w:t>
            </w:r>
            <w:proofErr w:type="gramStart"/>
            <w:r>
              <w:rPr>
                <w:color w:val="auto"/>
                <w:sz w:val="20"/>
                <w:szCs w:val="20"/>
              </w:rPr>
              <w:t>timeline</w:t>
            </w:r>
            <w:proofErr w:type="gramEnd"/>
            <w:r w:rsidRPr="00393FD2">
              <w:rPr>
                <w:color w:val="auto"/>
                <w:sz w:val="20"/>
                <w:szCs w:val="20"/>
              </w:rPr>
              <w:t xml:space="preserve"> and other supporting documents for reimbursable cost</w:t>
            </w:r>
          </w:p>
        </w:tc>
        <w:tc>
          <w:tcPr>
            <w:tcW w:w="2864" w:type="dxa"/>
            <w:shd w:val="clear" w:color="auto" w:fill="auto"/>
          </w:tcPr>
          <w:p w14:paraId="15865E53" w14:textId="77777777" w:rsidR="00922F75" w:rsidRPr="00C44D66" w:rsidRDefault="00922F75" w:rsidP="0028683E">
            <w:pPr>
              <w:spacing w:after="0" w:line="259" w:lineRule="auto"/>
              <w:rPr>
                <w:color w:val="auto"/>
                <w:sz w:val="20"/>
                <w:szCs w:val="20"/>
              </w:rPr>
            </w:pPr>
            <w:r w:rsidRPr="00C44D66">
              <w:rPr>
                <w:color w:val="auto"/>
                <w:sz w:val="20"/>
                <w:szCs w:val="20"/>
              </w:rPr>
              <w:t xml:space="preserve">Install 1: </w:t>
            </w:r>
            <w:r>
              <w:rPr>
                <w:color w:val="auto"/>
                <w:sz w:val="20"/>
                <w:szCs w:val="20"/>
              </w:rPr>
              <w:t>2</w:t>
            </w:r>
            <w:r w:rsidRPr="00C44D66">
              <w:rPr>
                <w:color w:val="auto"/>
                <w:sz w:val="20"/>
                <w:szCs w:val="20"/>
              </w:rPr>
              <w:t xml:space="preserve">0% experts’ costs </w:t>
            </w:r>
          </w:p>
        </w:tc>
      </w:tr>
      <w:tr w:rsidR="00922F75" w:rsidRPr="00AF1DAC" w14:paraId="2FA155CA" w14:textId="77777777" w:rsidTr="00922F75">
        <w:trPr>
          <w:trHeight w:val="481"/>
        </w:trPr>
        <w:tc>
          <w:tcPr>
            <w:tcW w:w="1276" w:type="dxa"/>
            <w:shd w:val="clear" w:color="auto" w:fill="auto"/>
            <w:vAlign w:val="center"/>
          </w:tcPr>
          <w:p w14:paraId="6B4D0C6C" w14:textId="77777777" w:rsidR="00922F75" w:rsidRPr="00C44D66" w:rsidRDefault="00922F75" w:rsidP="0028683E">
            <w:pPr>
              <w:spacing w:line="259" w:lineRule="auto"/>
              <w:jc w:val="center"/>
              <w:rPr>
                <w:color w:val="auto"/>
                <w:sz w:val="20"/>
                <w:szCs w:val="20"/>
              </w:rPr>
            </w:pPr>
            <w:r w:rsidRPr="00C44D66">
              <w:rPr>
                <w:color w:val="auto"/>
                <w:sz w:val="20"/>
                <w:szCs w:val="20"/>
              </w:rPr>
              <w:t>2</w:t>
            </w:r>
          </w:p>
        </w:tc>
        <w:tc>
          <w:tcPr>
            <w:tcW w:w="5358" w:type="dxa"/>
            <w:shd w:val="clear" w:color="auto" w:fill="auto"/>
          </w:tcPr>
          <w:p w14:paraId="05E28E37" w14:textId="77777777" w:rsidR="00922F75" w:rsidRDefault="00922F75" w:rsidP="0028683E">
            <w:pPr>
              <w:spacing w:after="0" w:line="259" w:lineRule="auto"/>
              <w:rPr>
                <w:b/>
                <w:color w:val="auto"/>
                <w:sz w:val="20"/>
                <w:szCs w:val="20"/>
              </w:rPr>
            </w:pPr>
            <w:r w:rsidRPr="00F667FB">
              <w:rPr>
                <w:b/>
                <w:color w:val="auto"/>
                <w:sz w:val="20"/>
                <w:szCs w:val="20"/>
              </w:rPr>
              <w:t xml:space="preserve">Upon approval and </w:t>
            </w:r>
            <w:r>
              <w:rPr>
                <w:b/>
                <w:color w:val="auto"/>
                <w:sz w:val="20"/>
                <w:szCs w:val="20"/>
              </w:rPr>
              <w:t>a</w:t>
            </w:r>
            <w:r w:rsidRPr="00F667FB">
              <w:rPr>
                <w:b/>
                <w:color w:val="auto"/>
                <w:sz w:val="20"/>
                <w:szCs w:val="20"/>
              </w:rPr>
              <w:t>ccept</w:t>
            </w:r>
            <w:r>
              <w:rPr>
                <w:b/>
                <w:color w:val="auto"/>
                <w:sz w:val="20"/>
                <w:szCs w:val="20"/>
              </w:rPr>
              <w:t>ance of:</w:t>
            </w:r>
          </w:p>
          <w:p w14:paraId="5F767493" w14:textId="77777777" w:rsidR="00922F75" w:rsidRDefault="00922F75" w:rsidP="0028683E">
            <w:pPr>
              <w:pStyle w:val="ListParagraph"/>
              <w:numPr>
                <w:ilvl w:val="0"/>
                <w:numId w:val="8"/>
              </w:numPr>
              <w:spacing w:after="0"/>
              <w:contextualSpacing w:val="0"/>
              <w:jc w:val="both"/>
              <w:rPr>
                <w:color w:val="auto"/>
                <w:sz w:val="20"/>
                <w:szCs w:val="20"/>
              </w:rPr>
            </w:pPr>
            <w:r>
              <w:rPr>
                <w:color w:val="auto"/>
                <w:sz w:val="20"/>
                <w:szCs w:val="20"/>
              </w:rPr>
              <w:t>Tested and validated</w:t>
            </w:r>
            <w:r w:rsidRPr="00B77F3D">
              <w:rPr>
                <w:color w:val="auto"/>
                <w:sz w:val="20"/>
                <w:szCs w:val="20"/>
              </w:rPr>
              <w:t xml:space="preserve"> of social and behavioural change communication mechanisms/tools, Innovative health information data tools and Participatory community and opinion mechanisms </w:t>
            </w:r>
          </w:p>
          <w:p w14:paraId="5E6305C4" w14:textId="77777777" w:rsidR="00922F75" w:rsidRPr="00B77F3D" w:rsidRDefault="00922F75" w:rsidP="0028683E">
            <w:pPr>
              <w:pStyle w:val="ListParagraph"/>
              <w:numPr>
                <w:ilvl w:val="0"/>
                <w:numId w:val="8"/>
              </w:numPr>
              <w:spacing w:after="0"/>
              <w:contextualSpacing w:val="0"/>
              <w:jc w:val="both"/>
              <w:rPr>
                <w:color w:val="auto"/>
                <w:sz w:val="20"/>
                <w:szCs w:val="20"/>
              </w:rPr>
            </w:pPr>
            <w:r w:rsidRPr="008E7C2F">
              <w:rPr>
                <w:color w:val="auto"/>
                <w:sz w:val="20"/>
                <w:szCs w:val="20"/>
              </w:rPr>
              <w:t>Monitoring and Evaluation system in place by April</w:t>
            </w:r>
          </w:p>
        </w:tc>
        <w:tc>
          <w:tcPr>
            <w:tcW w:w="2864" w:type="dxa"/>
            <w:shd w:val="clear" w:color="auto" w:fill="auto"/>
          </w:tcPr>
          <w:p w14:paraId="17E10C4B" w14:textId="77777777" w:rsidR="00922F75" w:rsidRPr="00C44D66" w:rsidRDefault="00922F75" w:rsidP="0028683E">
            <w:pPr>
              <w:spacing w:after="0" w:line="259" w:lineRule="auto"/>
              <w:rPr>
                <w:color w:val="auto"/>
                <w:sz w:val="20"/>
                <w:szCs w:val="20"/>
              </w:rPr>
            </w:pPr>
            <w:r w:rsidRPr="00C44D66">
              <w:rPr>
                <w:color w:val="auto"/>
                <w:sz w:val="20"/>
                <w:szCs w:val="20"/>
              </w:rPr>
              <w:t>Inst</w:t>
            </w:r>
            <w:r>
              <w:rPr>
                <w:color w:val="auto"/>
                <w:sz w:val="20"/>
                <w:szCs w:val="20"/>
              </w:rPr>
              <w:t>all 2: 2</w:t>
            </w:r>
            <w:r w:rsidRPr="00C44D66">
              <w:rPr>
                <w:color w:val="auto"/>
                <w:sz w:val="20"/>
                <w:szCs w:val="20"/>
              </w:rPr>
              <w:t>0% experts’ costs + reimbursable</w:t>
            </w:r>
            <w:r w:rsidRPr="00C44D66">
              <w:rPr>
                <w:rFonts w:cs="Arial"/>
                <w:color w:val="auto"/>
                <w:sz w:val="20"/>
                <w:szCs w:val="20"/>
              </w:rPr>
              <w:t xml:space="preserve"> </w:t>
            </w:r>
            <w:r w:rsidRPr="00C44D66">
              <w:rPr>
                <w:color w:val="auto"/>
                <w:sz w:val="20"/>
                <w:szCs w:val="20"/>
              </w:rPr>
              <w:t>up to date (if any)</w:t>
            </w:r>
          </w:p>
        </w:tc>
      </w:tr>
      <w:tr w:rsidR="00922F75" w:rsidRPr="00AF1DAC" w14:paraId="411B77F4" w14:textId="77777777" w:rsidTr="00922F75">
        <w:trPr>
          <w:trHeight w:val="481"/>
        </w:trPr>
        <w:tc>
          <w:tcPr>
            <w:tcW w:w="1276" w:type="dxa"/>
            <w:shd w:val="clear" w:color="auto" w:fill="auto"/>
            <w:vAlign w:val="center"/>
          </w:tcPr>
          <w:p w14:paraId="5B64F73B" w14:textId="77777777" w:rsidR="00922F75" w:rsidRPr="00C44D66" w:rsidRDefault="00922F75" w:rsidP="0028683E">
            <w:pPr>
              <w:spacing w:line="259" w:lineRule="auto"/>
              <w:jc w:val="center"/>
              <w:rPr>
                <w:color w:val="auto"/>
                <w:sz w:val="20"/>
                <w:szCs w:val="20"/>
              </w:rPr>
            </w:pPr>
            <w:r>
              <w:rPr>
                <w:color w:val="auto"/>
                <w:sz w:val="20"/>
                <w:szCs w:val="20"/>
              </w:rPr>
              <w:t>3</w:t>
            </w:r>
          </w:p>
        </w:tc>
        <w:tc>
          <w:tcPr>
            <w:tcW w:w="5358" w:type="dxa"/>
            <w:shd w:val="clear" w:color="auto" w:fill="auto"/>
          </w:tcPr>
          <w:p w14:paraId="4B6D6BE6" w14:textId="77777777" w:rsidR="00922F75" w:rsidRPr="000511D3" w:rsidRDefault="00922F75" w:rsidP="0028683E">
            <w:pPr>
              <w:spacing w:after="0"/>
              <w:rPr>
                <w:rFonts w:cs="Calibri"/>
                <w:b/>
                <w:bCs/>
                <w:color w:val="404040"/>
                <w:sz w:val="20"/>
                <w:szCs w:val="20"/>
                <w:lang w:val="en-US" w:eastAsia="ar-SA"/>
              </w:rPr>
            </w:pPr>
            <w:r w:rsidRPr="000511D3">
              <w:rPr>
                <w:rFonts w:cs="Calibri"/>
                <w:b/>
                <w:bCs/>
                <w:color w:val="404040"/>
                <w:sz w:val="20"/>
                <w:szCs w:val="20"/>
                <w:lang w:val="en-US" w:eastAsia="ar-SA"/>
              </w:rPr>
              <w:t>Upon approval and acceptance of:</w:t>
            </w:r>
          </w:p>
          <w:p w14:paraId="3FD12BC0" w14:textId="77777777" w:rsidR="00922F75" w:rsidRPr="009C59C3" w:rsidRDefault="00922F75" w:rsidP="0028683E">
            <w:pPr>
              <w:pStyle w:val="ListParagraph"/>
              <w:numPr>
                <w:ilvl w:val="0"/>
                <w:numId w:val="8"/>
              </w:numPr>
              <w:spacing w:after="0"/>
              <w:contextualSpacing w:val="0"/>
              <w:jc w:val="both"/>
              <w:rPr>
                <w:color w:val="auto"/>
                <w:sz w:val="20"/>
                <w:szCs w:val="20"/>
              </w:rPr>
            </w:pPr>
            <w:r>
              <w:rPr>
                <w:color w:val="auto"/>
                <w:sz w:val="20"/>
                <w:szCs w:val="20"/>
              </w:rPr>
              <w:t>Mid-term implementation report</w:t>
            </w:r>
          </w:p>
        </w:tc>
        <w:tc>
          <w:tcPr>
            <w:tcW w:w="2864" w:type="dxa"/>
            <w:shd w:val="clear" w:color="auto" w:fill="auto"/>
          </w:tcPr>
          <w:p w14:paraId="56882C61" w14:textId="6D97FEBC" w:rsidR="00922F75" w:rsidRPr="00C44D66" w:rsidRDefault="00922F75" w:rsidP="0028683E">
            <w:pPr>
              <w:spacing w:after="0" w:line="259" w:lineRule="auto"/>
              <w:rPr>
                <w:color w:val="auto"/>
                <w:sz w:val="20"/>
                <w:szCs w:val="20"/>
              </w:rPr>
            </w:pPr>
            <w:r w:rsidRPr="00C44D66">
              <w:rPr>
                <w:color w:val="auto"/>
                <w:sz w:val="20"/>
                <w:szCs w:val="20"/>
              </w:rPr>
              <w:t>Inst</w:t>
            </w:r>
            <w:r>
              <w:rPr>
                <w:color w:val="auto"/>
                <w:sz w:val="20"/>
                <w:szCs w:val="20"/>
              </w:rPr>
              <w:t>all 3: 1</w:t>
            </w:r>
            <w:r w:rsidRPr="00C44D66">
              <w:rPr>
                <w:color w:val="auto"/>
                <w:sz w:val="20"/>
                <w:szCs w:val="20"/>
              </w:rPr>
              <w:t>0% experts’ costs + reimbursable</w:t>
            </w:r>
            <w:r w:rsidRPr="00C44D66">
              <w:rPr>
                <w:rFonts w:cs="Arial"/>
                <w:color w:val="auto"/>
                <w:sz w:val="20"/>
                <w:szCs w:val="20"/>
              </w:rPr>
              <w:t xml:space="preserve"> </w:t>
            </w:r>
            <w:r w:rsidRPr="00C44D66">
              <w:rPr>
                <w:color w:val="auto"/>
                <w:sz w:val="20"/>
                <w:szCs w:val="20"/>
              </w:rPr>
              <w:t xml:space="preserve">up to date </w:t>
            </w:r>
          </w:p>
        </w:tc>
      </w:tr>
      <w:tr w:rsidR="00922F75" w:rsidRPr="00AF1DAC" w14:paraId="3AC600A1" w14:textId="77777777" w:rsidTr="00922F75">
        <w:trPr>
          <w:trHeight w:val="952"/>
        </w:trPr>
        <w:tc>
          <w:tcPr>
            <w:tcW w:w="1276" w:type="dxa"/>
            <w:shd w:val="clear" w:color="auto" w:fill="auto"/>
            <w:vAlign w:val="center"/>
          </w:tcPr>
          <w:p w14:paraId="55D5A900" w14:textId="77777777" w:rsidR="00922F75" w:rsidRPr="00C44D66" w:rsidRDefault="00922F75" w:rsidP="0028683E">
            <w:pPr>
              <w:spacing w:line="259" w:lineRule="auto"/>
              <w:jc w:val="center"/>
              <w:rPr>
                <w:color w:val="auto"/>
                <w:sz w:val="20"/>
                <w:szCs w:val="20"/>
              </w:rPr>
            </w:pPr>
            <w:r>
              <w:rPr>
                <w:color w:val="auto"/>
                <w:sz w:val="20"/>
                <w:szCs w:val="20"/>
              </w:rPr>
              <w:t>4</w:t>
            </w:r>
          </w:p>
        </w:tc>
        <w:tc>
          <w:tcPr>
            <w:tcW w:w="5358" w:type="dxa"/>
            <w:shd w:val="clear" w:color="auto" w:fill="auto"/>
          </w:tcPr>
          <w:p w14:paraId="00C14B48" w14:textId="77777777" w:rsidR="00922F75" w:rsidRPr="00C71C0A" w:rsidRDefault="00922F75" w:rsidP="0028683E">
            <w:pPr>
              <w:spacing w:after="0"/>
              <w:rPr>
                <w:b/>
                <w:color w:val="auto"/>
                <w:sz w:val="20"/>
                <w:szCs w:val="20"/>
              </w:rPr>
            </w:pPr>
            <w:r w:rsidRPr="00C71C0A">
              <w:rPr>
                <w:b/>
                <w:color w:val="auto"/>
                <w:sz w:val="20"/>
                <w:szCs w:val="20"/>
              </w:rPr>
              <w:t xml:space="preserve">Upon submission and approval of </w:t>
            </w:r>
          </w:p>
          <w:p w14:paraId="1271BA50" w14:textId="77777777" w:rsidR="00922F75" w:rsidRPr="00631467" w:rsidRDefault="00922F75" w:rsidP="0028683E">
            <w:pPr>
              <w:pStyle w:val="ListParagraph"/>
              <w:numPr>
                <w:ilvl w:val="0"/>
                <w:numId w:val="8"/>
              </w:numPr>
              <w:spacing w:after="0"/>
              <w:contextualSpacing w:val="0"/>
              <w:jc w:val="both"/>
              <w:rPr>
                <w:color w:val="auto"/>
                <w:sz w:val="20"/>
                <w:szCs w:val="20"/>
              </w:rPr>
            </w:pPr>
            <w:r w:rsidRPr="00631467">
              <w:rPr>
                <w:color w:val="auto"/>
                <w:sz w:val="20"/>
                <w:szCs w:val="20"/>
              </w:rPr>
              <w:t xml:space="preserve">Strategies that sustain changes in the population in place to be replicated in different </w:t>
            </w:r>
            <w:proofErr w:type="gramStart"/>
            <w:r w:rsidRPr="00631467">
              <w:rPr>
                <w:color w:val="auto"/>
                <w:sz w:val="20"/>
                <w:szCs w:val="20"/>
              </w:rPr>
              <w:t>districts;</w:t>
            </w:r>
            <w:proofErr w:type="gramEnd"/>
          </w:p>
          <w:p w14:paraId="30054889" w14:textId="77777777" w:rsidR="00922F75" w:rsidRPr="00C118DF" w:rsidRDefault="00922F75" w:rsidP="0028683E">
            <w:pPr>
              <w:pStyle w:val="ListParagraph"/>
              <w:numPr>
                <w:ilvl w:val="0"/>
                <w:numId w:val="8"/>
              </w:numPr>
              <w:spacing w:after="0"/>
              <w:contextualSpacing w:val="0"/>
              <w:jc w:val="both"/>
              <w:rPr>
                <w:color w:val="auto"/>
                <w:sz w:val="20"/>
                <w:szCs w:val="20"/>
              </w:rPr>
            </w:pPr>
            <w:r w:rsidRPr="00631467">
              <w:rPr>
                <w:color w:val="auto"/>
                <w:sz w:val="20"/>
                <w:szCs w:val="20"/>
              </w:rPr>
              <w:t xml:space="preserve">Evidence-based communication channels that are influencing changes highlighted to be scaled up in different districts. </w:t>
            </w:r>
          </w:p>
        </w:tc>
        <w:tc>
          <w:tcPr>
            <w:tcW w:w="2864" w:type="dxa"/>
            <w:shd w:val="clear" w:color="auto" w:fill="auto"/>
          </w:tcPr>
          <w:p w14:paraId="55BC7AF6" w14:textId="44C93A27" w:rsidR="00922F75" w:rsidRPr="00C44D66" w:rsidRDefault="00922F75" w:rsidP="0028683E">
            <w:pPr>
              <w:spacing w:after="0" w:line="259" w:lineRule="auto"/>
              <w:rPr>
                <w:color w:val="auto"/>
                <w:sz w:val="20"/>
                <w:szCs w:val="20"/>
              </w:rPr>
            </w:pPr>
            <w:r>
              <w:rPr>
                <w:color w:val="auto"/>
                <w:sz w:val="20"/>
                <w:szCs w:val="20"/>
              </w:rPr>
              <w:t>Install 4: 3</w:t>
            </w:r>
            <w:r w:rsidRPr="00C44D66">
              <w:rPr>
                <w:color w:val="auto"/>
                <w:sz w:val="20"/>
                <w:szCs w:val="20"/>
              </w:rPr>
              <w:t>0% experts’ costs + reimbursable</w:t>
            </w:r>
            <w:r w:rsidRPr="00C44D66">
              <w:rPr>
                <w:rFonts w:cs="Arial"/>
                <w:color w:val="auto"/>
                <w:sz w:val="20"/>
                <w:szCs w:val="20"/>
              </w:rPr>
              <w:t xml:space="preserve"> </w:t>
            </w:r>
            <w:r w:rsidRPr="00C44D66">
              <w:rPr>
                <w:color w:val="auto"/>
                <w:sz w:val="20"/>
                <w:szCs w:val="20"/>
              </w:rPr>
              <w:t>up to date</w:t>
            </w:r>
          </w:p>
        </w:tc>
      </w:tr>
      <w:tr w:rsidR="00922F75" w:rsidRPr="00AF1DAC" w14:paraId="0E0EE5F9" w14:textId="77777777" w:rsidTr="00922F75">
        <w:trPr>
          <w:trHeight w:val="495"/>
        </w:trPr>
        <w:tc>
          <w:tcPr>
            <w:tcW w:w="1276" w:type="dxa"/>
            <w:shd w:val="clear" w:color="auto" w:fill="auto"/>
            <w:vAlign w:val="center"/>
          </w:tcPr>
          <w:p w14:paraId="5912E6C5" w14:textId="77777777" w:rsidR="00922F75" w:rsidRDefault="00922F75" w:rsidP="0028683E">
            <w:pPr>
              <w:spacing w:line="259" w:lineRule="auto"/>
              <w:jc w:val="center"/>
              <w:rPr>
                <w:color w:val="auto"/>
                <w:sz w:val="20"/>
                <w:szCs w:val="20"/>
              </w:rPr>
            </w:pPr>
            <w:r>
              <w:rPr>
                <w:color w:val="auto"/>
                <w:sz w:val="20"/>
                <w:szCs w:val="20"/>
              </w:rPr>
              <w:t>5</w:t>
            </w:r>
          </w:p>
        </w:tc>
        <w:tc>
          <w:tcPr>
            <w:tcW w:w="5358" w:type="dxa"/>
            <w:shd w:val="clear" w:color="auto" w:fill="auto"/>
          </w:tcPr>
          <w:p w14:paraId="452BFBF1" w14:textId="77777777" w:rsidR="00922F75" w:rsidRPr="003D3F3B" w:rsidRDefault="00922F75" w:rsidP="0028683E">
            <w:pPr>
              <w:spacing w:after="0" w:line="259" w:lineRule="auto"/>
              <w:rPr>
                <w:b/>
                <w:bCs/>
                <w:color w:val="auto"/>
                <w:sz w:val="20"/>
                <w:szCs w:val="20"/>
              </w:rPr>
            </w:pPr>
            <w:r w:rsidRPr="003D3F3B">
              <w:rPr>
                <w:b/>
                <w:bCs/>
                <w:color w:val="auto"/>
                <w:sz w:val="20"/>
                <w:szCs w:val="20"/>
              </w:rPr>
              <w:t>Upon submission and approval of</w:t>
            </w:r>
          </w:p>
          <w:p w14:paraId="436D275D" w14:textId="77777777" w:rsidR="00922F75" w:rsidRPr="003D3F3B" w:rsidRDefault="00922F75" w:rsidP="0028683E">
            <w:pPr>
              <w:pStyle w:val="ListParagraph"/>
              <w:numPr>
                <w:ilvl w:val="0"/>
                <w:numId w:val="8"/>
              </w:numPr>
              <w:spacing w:after="0"/>
              <w:contextualSpacing w:val="0"/>
              <w:jc w:val="both"/>
              <w:rPr>
                <w:color w:val="auto"/>
                <w:sz w:val="20"/>
                <w:szCs w:val="20"/>
              </w:rPr>
            </w:pPr>
            <w:r w:rsidRPr="003D3F3B">
              <w:rPr>
                <w:color w:val="auto"/>
                <w:sz w:val="20"/>
                <w:szCs w:val="20"/>
              </w:rPr>
              <w:t>Fina</w:t>
            </w:r>
            <w:r>
              <w:rPr>
                <w:color w:val="auto"/>
                <w:sz w:val="20"/>
                <w:szCs w:val="20"/>
              </w:rPr>
              <w:t>l</w:t>
            </w:r>
            <w:r w:rsidRPr="003D3F3B">
              <w:rPr>
                <w:color w:val="auto"/>
                <w:sz w:val="20"/>
                <w:szCs w:val="20"/>
              </w:rPr>
              <w:t xml:space="preserve"> report</w:t>
            </w:r>
          </w:p>
        </w:tc>
        <w:tc>
          <w:tcPr>
            <w:tcW w:w="2864" w:type="dxa"/>
            <w:shd w:val="clear" w:color="auto" w:fill="auto"/>
          </w:tcPr>
          <w:p w14:paraId="4D8BFA51" w14:textId="26D38D71" w:rsidR="00922F75" w:rsidRDefault="00922F75" w:rsidP="0028683E">
            <w:pPr>
              <w:spacing w:after="0" w:line="259" w:lineRule="auto"/>
              <w:rPr>
                <w:color w:val="auto"/>
                <w:sz w:val="20"/>
                <w:szCs w:val="20"/>
              </w:rPr>
            </w:pPr>
            <w:r>
              <w:rPr>
                <w:color w:val="auto"/>
                <w:sz w:val="20"/>
                <w:szCs w:val="20"/>
              </w:rPr>
              <w:t xml:space="preserve">Install 5: 20% </w:t>
            </w:r>
            <w:r w:rsidRPr="00C44D66">
              <w:rPr>
                <w:color w:val="auto"/>
                <w:sz w:val="20"/>
                <w:szCs w:val="20"/>
              </w:rPr>
              <w:t>experts’ costs + reimbursable</w:t>
            </w:r>
            <w:r w:rsidRPr="00C44D66">
              <w:rPr>
                <w:rFonts w:cs="Arial"/>
                <w:color w:val="auto"/>
                <w:sz w:val="20"/>
                <w:szCs w:val="20"/>
              </w:rPr>
              <w:t xml:space="preserve"> </w:t>
            </w:r>
            <w:r w:rsidRPr="00C44D66">
              <w:rPr>
                <w:color w:val="auto"/>
                <w:sz w:val="20"/>
                <w:szCs w:val="20"/>
              </w:rPr>
              <w:t>up to date</w:t>
            </w:r>
          </w:p>
        </w:tc>
      </w:tr>
    </w:tbl>
    <w:p w14:paraId="1A226D21" w14:textId="77777777" w:rsidR="004F07DF" w:rsidRPr="00F66922" w:rsidRDefault="004F07DF" w:rsidP="004F07DF">
      <w:pPr>
        <w:pStyle w:val="Heading2"/>
        <w:keepLines w:val="0"/>
        <w:widowControl w:val="0"/>
        <w:tabs>
          <w:tab w:val="num" w:pos="576"/>
        </w:tabs>
        <w:suppressAutoHyphens/>
        <w:spacing w:after="240"/>
      </w:pPr>
      <w:bookmarkStart w:id="144" w:name="_Toc52890461"/>
      <w:bookmarkStart w:id="145" w:name="_Toc117027524"/>
      <w:bookmarkStart w:id="146" w:name="_Toc361393832"/>
      <w:bookmarkStart w:id="147" w:name="_Toc361408334"/>
      <w:r w:rsidRPr="00F66922">
        <w:t>Modifications to the contract (Art. 37-38 and 151)</w:t>
      </w:r>
      <w:bookmarkEnd w:id="144"/>
      <w:bookmarkEnd w:id="145"/>
    </w:p>
    <w:p w14:paraId="35C13C11" w14:textId="77777777" w:rsidR="004F07DF" w:rsidRPr="00C44D66" w:rsidRDefault="004F07DF" w:rsidP="004F07DF">
      <w:pPr>
        <w:spacing w:line="259" w:lineRule="auto"/>
        <w:jc w:val="both"/>
        <w:rPr>
          <w:rFonts w:cs="Arial"/>
          <w:color w:val="auto"/>
        </w:rPr>
      </w:pPr>
      <w:r w:rsidRPr="00C44D66">
        <w:rPr>
          <w:rFonts w:cs="Arial"/>
          <w:color w:val="auto"/>
        </w:rPr>
        <w:t>The contracting authority has the right to change the initial tender unilaterally, if the following conditions are respected:</w:t>
      </w:r>
    </w:p>
    <w:p w14:paraId="512A310A" w14:textId="77777777" w:rsidR="004F07DF" w:rsidRPr="00C44D66" w:rsidRDefault="004F07DF" w:rsidP="00922F75">
      <w:pPr>
        <w:spacing w:after="0" w:line="259" w:lineRule="auto"/>
        <w:jc w:val="both"/>
        <w:rPr>
          <w:rFonts w:cs="Arial"/>
          <w:color w:val="auto"/>
        </w:rPr>
      </w:pPr>
      <w:r w:rsidRPr="00C44D66">
        <w:rPr>
          <w:rFonts w:cs="Arial"/>
          <w:color w:val="auto"/>
        </w:rPr>
        <w:t>1° the scope of the contract remains unaltered.</w:t>
      </w:r>
    </w:p>
    <w:p w14:paraId="5AA836CE" w14:textId="77777777" w:rsidR="004F07DF" w:rsidRPr="00C44D66" w:rsidRDefault="004F07DF" w:rsidP="00922F75">
      <w:pPr>
        <w:spacing w:after="0" w:line="259" w:lineRule="auto"/>
        <w:jc w:val="both"/>
        <w:rPr>
          <w:rFonts w:cs="Arial"/>
          <w:color w:val="auto"/>
        </w:rPr>
      </w:pPr>
      <w:r w:rsidRPr="00C44D66">
        <w:rPr>
          <w:rFonts w:cs="Arial"/>
          <w:color w:val="auto"/>
        </w:rPr>
        <w:t>2° the modification is limited to 10 % of the initial awarded amount.</w:t>
      </w:r>
    </w:p>
    <w:p w14:paraId="217F430B" w14:textId="38B9CA3C" w:rsidR="004F07DF" w:rsidRPr="00C44D66" w:rsidRDefault="004F07DF" w:rsidP="00922F75">
      <w:pPr>
        <w:spacing w:before="120" w:line="259" w:lineRule="auto"/>
        <w:jc w:val="both"/>
        <w:rPr>
          <w:rFonts w:cs="Arial"/>
          <w:color w:val="auto"/>
        </w:rPr>
      </w:pPr>
      <w:r w:rsidRPr="00C44D66">
        <w:rPr>
          <w:rFonts w:cs="Arial"/>
          <w:color w:val="auto"/>
        </w:rPr>
        <w:t>The essential terms and conditions can only be modified with reasons, to be mentioned in an amendment.</w:t>
      </w:r>
    </w:p>
    <w:p w14:paraId="2A3BD02C" w14:textId="77777777" w:rsidR="004F07DF" w:rsidRPr="003658B5" w:rsidRDefault="004F07DF" w:rsidP="004F07DF">
      <w:pPr>
        <w:pStyle w:val="Heading2"/>
        <w:keepLines w:val="0"/>
        <w:widowControl w:val="0"/>
        <w:tabs>
          <w:tab w:val="num" w:pos="576"/>
        </w:tabs>
        <w:suppressAutoHyphens/>
        <w:spacing w:after="240"/>
      </w:pPr>
      <w:bookmarkStart w:id="148" w:name="_Toc117027525"/>
      <w:r>
        <w:t>Litigation (Art. 73)</w:t>
      </w:r>
      <w:bookmarkEnd w:id="146"/>
      <w:bookmarkEnd w:id="147"/>
      <w:bookmarkEnd w:id="148"/>
    </w:p>
    <w:p w14:paraId="53ADE3ED" w14:textId="77777777" w:rsidR="004F07DF" w:rsidRPr="007160CE" w:rsidRDefault="004F07DF" w:rsidP="004F07DF">
      <w:pPr>
        <w:pStyle w:val="BTCtextCTB"/>
        <w:rPr>
          <w:rFonts w:ascii="Georgia" w:eastAsia="Calibri" w:hAnsi="Georgia"/>
          <w:kern w:val="18"/>
          <w:sz w:val="20"/>
          <w:szCs w:val="22"/>
        </w:rPr>
      </w:pPr>
      <w:r w:rsidRPr="007160CE">
        <w:rPr>
          <w:rFonts w:ascii="Georgia" w:hAnsi="Georgia"/>
          <w:sz w:val="20"/>
          <w:szCs w:val="22"/>
        </w:rPr>
        <w:t>The competent courts of Brussels have exclusive jurisdiction over any dispute arising from the performance of this procurement contract. French or Dutch are the languages of proceedings.</w:t>
      </w:r>
    </w:p>
    <w:p w14:paraId="510DE0ED" w14:textId="77777777" w:rsidR="004F07DF" w:rsidRPr="007160CE" w:rsidRDefault="004F07DF" w:rsidP="004F07DF">
      <w:pPr>
        <w:pStyle w:val="BTCtextCTB"/>
        <w:rPr>
          <w:rFonts w:ascii="Georgia" w:eastAsia="Calibri" w:hAnsi="Georgia"/>
          <w:kern w:val="18"/>
          <w:sz w:val="20"/>
          <w:szCs w:val="22"/>
        </w:rPr>
      </w:pPr>
      <w:r w:rsidRPr="007160CE">
        <w:rPr>
          <w:rFonts w:ascii="Georgia" w:hAnsi="Georgia"/>
          <w:sz w:val="20"/>
          <w:szCs w:val="22"/>
        </w:rPr>
        <w:t>The contracting authority will in no case be held liable for any damage caused to persons or property as a direct or indirect consequence of the activities required for the performance of this procurement contract. The contractor indemnifies the contracting authority against any claims for compensation by third parties in this respect.</w:t>
      </w:r>
    </w:p>
    <w:p w14:paraId="1C7AB82B" w14:textId="77777777" w:rsidR="004F07DF" w:rsidRPr="007160CE" w:rsidRDefault="004F07DF" w:rsidP="004F07DF">
      <w:pPr>
        <w:pStyle w:val="BTCtextCTB"/>
        <w:rPr>
          <w:rFonts w:ascii="Georgia" w:eastAsia="Calibri" w:hAnsi="Georgia"/>
          <w:kern w:val="18"/>
          <w:sz w:val="20"/>
          <w:szCs w:val="22"/>
        </w:rPr>
      </w:pPr>
      <w:r w:rsidRPr="007160CE">
        <w:rPr>
          <w:rFonts w:ascii="Georgia" w:hAnsi="Georgia"/>
          <w:sz w:val="20"/>
          <w:szCs w:val="22"/>
        </w:rPr>
        <w:t xml:space="preserve">In case of ‘litigation’, </w:t>
      </w:r>
      <w:proofErr w:type="gramStart"/>
      <w:r w:rsidRPr="007160CE">
        <w:rPr>
          <w:rFonts w:ascii="Georgia" w:hAnsi="Georgia"/>
          <w:sz w:val="20"/>
          <w:szCs w:val="22"/>
        </w:rPr>
        <w:t>i.e.</w:t>
      </w:r>
      <w:proofErr w:type="gramEnd"/>
      <w:r w:rsidRPr="007160CE">
        <w:rPr>
          <w:rFonts w:ascii="Georgia" w:hAnsi="Georgia"/>
          <w:sz w:val="20"/>
          <w:szCs w:val="22"/>
        </w:rPr>
        <w:t xml:space="preserve"> court action, correspondence must (also) be sent to the following address: </w:t>
      </w:r>
    </w:p>
    <w:p w14:paraId="2AF81BD2" w14:textId="77777777" w:rsidR="004F07DF" w:rsidRPr="007160CE" w:rsidRDefault="004F07DF" w:rsidP="00922F75">
      <w:pPr>
        <w:pStyle w:val="BTCtextCTB"/>
        <w:spacing w:before="0" w:after="0"/>
        <w:rPr>
          <w:rFonts w:ascii="Georgia" w:eastAsia="Calibri" w:hAnsi="Georgia"/>
          <w:kern w:val="18"/>
          <w:sz w:val="20"/>
          <w:szCs w:val="22"/>
        </w:rPr>
      </w:pPr>
      <w:r w:rsidRPr="007160CE">
        <w:rPr>
          <w:rFonts w:ascii="Georgia" w:hAnsi="Georgia"/>
          <w:sz w:val="20"/>
          <w:szCs w:val="22"/>
        </w:rPr>
        <w:t>Enabel, public-law company</w:t>
      </w:r>
    </w:p>
    <w:p w14:paraId="0B5004BC" w14:textId="77777777" w:rsidR="004F07DF" w:rsidRPr="007160CE" w:rsidRDefault="004F07DF" w:rsidP="00922F75">
      <w:pPr>
        <w:pStyle w:val="BTCtextCTB"/>
        <w:spacing w:before="0" w:after="0"/>
        <w:rPr>
          <w:rFonts w:ascii="Georgia" w:eastAsia="Calibri" w:hAnsi="Georgia"/>
          <w:kern w:val="18"/>
          <w:sz w:val="20"/>
          <w:szCs w:val="22"/>
        </w:rPr>
      </w:pPr>
      <w:r w:rsidRPr="007160CE">
        <w:rPr>
          <w:rFonts w:ascii="Georgia" w:hAnsi="Georgia"/>
          <w:sz w:val="20"/>
          <w:szCs w:val="22"/>
        </w:rPr>
        <w:t>Legal unit of the Logistics and Acquisitions service (L&amp;A)</w:t>
      </w:r>
    </w:p>
    <w:p w14:paraId="17D251AD" w14:textId="77777777" w:rsidR="004F07DF" w:rsidRPr="007160CE" w:rsidRDefault="004F07DF" w:rsidP="00922F75">
      <w:pPr>
        <w:pStyle w:val="BTCtextCTB"/>
        <w:spacing w:before="0" w:after="0"/>
        <w:rPr>
          <w:rFonts w:ascii="Georgia" w:eastAsia="Calibri" w:hAnsi="Georgia"/>
          <w:kern w:val="18"/>
          <w:sz w:val="20"/>
          <w:szCs w:val="22"/>
        </w:rPr>
      </w:pPr>
      <w:r w:rsidRPr="007160CE">
        <w:rPr>
          <w:rFonts w:ascii="Georgia" w:hAnsi="Georgia"/>
          <w:sz w:val="20"/>
          <w:szCs w:val="22"/>
        </w:rPr>
        <w:t>To the attention of Mrs Inge Janssens</w:t>
      </w:r>
    </w:p>
    <w:p w14:paraId="7A942838" w14:textId="77777777" w:rsidR="004F07DF" w:rsidRPr="007160CE" w:rsidRDefault="004F07DF" w:rsidP="00922F75">
      <w:pPr>
        <w:pStyle w:val="BTCtextCTB"/>
        <w:spacing w:before="0" w:after="0"/>
        <w:rPr>
          <w:rFonts w:ascii="Georgia" w:eastAsia="Calibri" w:hAnsi="Georgia"/>
          <w:kern w:val="18"/>
          <w:sz w:val="20"/>
          <w:szCs w:val="22"/>
        </w:rPr>
      </w:pPr>
      <w:r w:rsidRPr="007160CE">
        <w:rPr>
          <w:rFonts w:ascii="Georgia" w:hAnsi="Georgia"/>
          <w:sz w:val="20"/>
          <w:szCs w:val="22"/>
        </w:rPr>
        <w:t>rue Haute 147</w:t>
      </w:r>
    </w:p>
    <w:p w14:paraId="1694C8DE" w14:textId="4A9BD7A5" w:rsidR="004F07DF" w:rsidRPr="00922F75" w:rsidRDefault="004F07DF" w:rsidP="00922F75">
      <w:pPr>
        <w:pStyle w:val="BTCtextCTB"/>
        <w:spacing w:before="0" w:after="0"/>
        <w:rPr>
          <w:rFonts w:ascii="Georgia" w:eastAsia="Calibri" w:hAnsi="Georgia"/>
          <w:kern w:val="18"/>
          <w:sz w:val="20"/>
          <w:szCs w:val="22"/>
        </w:rPr>
        <w:sectPr w:rsidR="004F07DF" w:rsidRPr="00922F75" w:rsidSect="004223E4">
          <w:pgSz w:w="11906" w:h="16838"/>
          <w:pgMar w:top="1134" w:right="1133" w:bottom="851" w:left="1871" w:header="709" w:footer="709" w:gutter="0"/>
          <w:cols w:space="708"/>
          <w:titlePg/>
          <w:docGrid w:linePitch="360"/>
        </w:sectPr>
      </w:pPr>
      <w:r w:rsidRPr="007160CE">
        <w:rPr>
          <w:rFonts w:ascii="Georgia" w:hAnsi="Georgia"/>
          <w:sz w:val="20"/>
          <w:szCs w:val="22"/>
        </w:rPr>
        <w:t>1000 Brussels</w:t>
      </w:r>
      <w:r w:rsidR="00922F75">
        <w:rPr>
          <w:rFonts w:ascii="Georgia" w:hAnsi="Georgia"/>
          <w:sz w:val="20"/>
          <w:szCs w:val="22"/>
        </w:rPr>
        <w:t xml:space="preserve"> - </w:t>
      </w:r>
      <w:r w:rsidRPr="007160CE">
        <w:rPr>
          <w:rFonts w:ascii="Georgia" w:hAnsi="Georgia"/>
          <w:sz w:val="20"/>
          <w:szCs w:val="22"/>
        </w:rPr>
        <w:t>Belgium</w:t>
      </w:r>
    </w:p>
    <w:p w14:paraId="64EAAEE2" w14:textId="77777777" w:rsidR="004F07DF" w:rsidRPr="000722CF" w:rsidRDefault="004F07DF" w:rsidP="004F07DF">
      <w:pPr>
        <w:pStyle w:val="Heading1"/>
        <w:numPr>
          <w:ilvl w:val="0"/>
          <w:numId w:val="5"/>
        </w:numPr>
      </w:pPr>
      <w:bookmarkStart w:id="149" w:name="_Toc117027526"/>
      <w:r w:rsidRPr="003658B5">
        <w:lastRenderedPageBreak/>
        <w:t>Terms of Reference</w:t>
      </w:r>
      <w:bookmarkEnd w:id="149"/>
    </w:p>
    <w:p w14:paraId="1A4403D3" w14:textId="5D914E1F" w:rsidR="004F07DF" w:rsidRDefault="004F07DF" w:rsidP="004F07DF">
      <w:pPr>
        <w:spacing w:line="360" w:lineRule="auto"/>
        <w:jc w:val="both"/>
        <w:rPr>
          <w:b/>
          <w:color w:val="auto"/>
          <w:szCs w:val="21"/>
        </w:rPr>
      </w:pPr>
      <w:r w:rsidRPr="00052EFB">
        <w:rPr>
          <w:b/>
          <w:color w:val="auto"/>
          <w:szCs w:val="21"/>
        </w:rPr>
        <w:t>CONSULTANCY</w:t>
      </w:r>
      <w:r w:rsidR="00C95E3F">
        <w:rPr>
          <w:b/>
          <w:color w:val="auto"/>
          <w:szCs w:val="21"/>
        </w:rPr>
        <w:t>:</w:t>
      </w:r>
      <w:r w:rsidRPr="00052EFB">
        <w:rPr>
          <w:b/>
          <w:color w:val="auto"/>
          <w:szCs w:val="21"/>
        </w:rPr>
        <w:t xml:space="preserve"> </w:t>
      </w:r>
    </w:p>
    <w:p w14:paraId="54FF7A0E" w14:textId="32772212" w:rsidR="004D5894" w:rsidRPr="004D5894" w:rsidRDefault="004D5894" w:rsidP="004D5894">
      <w:pPr>
        <w:spacing w:after="0" w:line="360" w:lineRule="auto"/>
        <w:jc w:val="both"/>
        <w:rPr>
          <w:b/>
          <w:color w:val="auto"/>
          <w:szCs w:val="21"/>
        </w:rPr>
      </w:pPr>
      <w:r w:rsidRPr="004D5894">
        <w:rPr>
          <w:b/>
          <w:color w:val="auto"/>
          <w:szCs w:val="21"/>
        </w:rPr>
        <w:t>Induce behavioural and social changes among the community regarding the MNASRH by</w:t>
      </w:r>
    </w:p>
    <w:p w14:paraId="67FA51BC" w14:textId="77777777" w:rsidR="004D5894" w:rsidRPr="004D5894" w:rsidRDefault="004D5894" w:rsidP="004D5894">
      <w:pPr>
        <w:spacing w:after="0" w:line="360" w:lineRule="auto"/>
        <w:jc w:val="both"/>
        <w:rPr>
          <w:b/>
          <w:color w:val="auto"/>
          <w:szCs w:val="21"/>
        </w:rPr>
      </w:pPr>
      <w:r w:rsidRPr="004D5894">
        <w:rPr>
          <w:b/>
          <w:color w:val="auto"/>
          <w:szCs w:val="21"/>
        </w:rPr>
        <w:t xml:space="preserve">1. Developing communication materials </w:t>
      </w:r>
    </w:p>
    <w:p w14:paraId="091E93A9" w14:textId="77777777" w:rsidR="004D5894" w:rsidRPr="004D5894" w:rsidRDefault="004D5894" w:rsidP="004D5894">
      <w:pPr>
        <w:spacing w:after="0" w:line="360" w:lineRule="auto"/>
        <w:jc w:val="both"/>
        <w:rPr>
          <w:b/>
          <w:color w:val="auto"/>
          <w:szCs w:val="21"/>
        </w:rPr>
      </w:pPr>
      <w:r w:rsidRPr="004D5894">
        <w:rPr>
          <w:b/>
          <w:color w:val="auto"/>
          <w:szCs w:val="21"/>
        </w:rPr>
        <w:t>2. Optimising the mechanisms of accountability by:</w:t>
      </w:r>
    </w:p>
    <w:p w14:paraId="75135F42" w14:textId="7228731A" w:rsidR="004D5894" w:rsidRPr="004D5894" w:rsidRDefault="004D5894" w:rsidP="004D5894">
      <w:pPr>
        <w:spacing w:after="0" w:line="360" w:lineRule="auto"/>
        <w:ind w:left="720"/>
        <w:jc w:val="both"/>
        <w:rPr>
          <w:b/>
          <w:color w:val="auto"/>
          <w:szCs w:val="21"/>
        </w:rPr>
      </w:pPr>
      <w:r w:rsidRPr="004D5894">
        <w:rPr>
          <w:b/>
          <w:color w:val="auto"/>
          <w:szCs w:val="21"/>
        </w:rPr>
        <w:t>2.1</w:t>
      </w:r>
      <w:r>
        <w:rPr>
          <w:b/>
          <w:color w:val="auto"/>
          <w:szCs w:val="21"/>
        </w:rPr>
        <w:t xml:space="preserve">. </w:t>
      </w:r>
      <w:r w:rsidRPr="004D5894">
        <w:rPr>
          <w:b/>
          <w:color w:val="auto"/>
          <w:szCs w:val="21"/>
        </w:rPr>
        <w:t>Making health information data available and comprehensible for the community</w:t>
      </w:r>
    </w:p>
    <w:p w14:paraId="13566394" w14:textId="0F73148D" w:rsidR="004D5894" w:rsidRDefault="004D5894" w:rsidP="004D5894">
      <w:pPr>
        <w:spacing w:after="0" w:line="360" w:lineRule="auto"/>
        <w:ind w:left="720"/>
        <w:jc w:val="both"/>
        <w:rPr>
          <w:b/>
          <w:color w:val="auto"/>
          <w:szCs w:val="21"/>
        </w:rPr>
      </w:pPr>
      <w:r w:rsidRPr="004D5894">
        <w:rPr>
          <w:b/>
          <w:color w:val="auto"/>
          <w:szCs w:val="21"/>
        </w:rPr>
        <w:t>2.</w:t>
      </w:r>
      <w:r>
        <w:rPr>
          <w:b/>
          <w:color w:val="auto"/>
          <w:szCs w:val="21"/>
        </w:rPr>
        <w:t xml:space="preserve">2. </w:t>
      </w:r>
      <w:r w:rsidRPr="004D5894">
        <w:rPr>
          <w:b/>
          <w:color w:val="auto"/>
          <w:szCs w:val="21"/>
        </w:rPr>
        <w:t xml:space="preserve">Strengthen the Patient </w:t>
      </w:r>
      <w:r w:rsidR="008330D3">
        <w:rPr>
          <w:b/>
          <w:color w:val="auto"/>
          <w:szCs w:val="21"/>
        </w:rPr>
        <w:t>V</w:t>
      </w:r>
      <w:r w:rsidRPr="004D5894">
        <w:rPr>
          <w:b/>
          <w:color w:val="auto"/>
          <w:szCs w:val="21"/>
        </w:rPr>
        <w:t xml:space="preserve">oice </w:t>
      </w:r>
      <w:r w:rsidR="008330D3">
        <w:rPr>
          <w:b/>
          <w:color w:val="auto"/>
          <w:szCs w:val="21"/>
        </w:rPr>
        <w:t>P</w:t>
      </w:r>
      <w:r w:rsidRPr="004D5894">
        <w:rPr>
          <w:b/>
          <w:color w:val="auto"/>
          <w:szCs w:val="21"/>
        </w:rPr>
        <w:t>rogram</w:t>
      </w:r>
    </w:p>
    <w:p w14:paraId="31D5D7F9" w14:textId="01418319" w:rsidR="004D5894" w:rsidRPr="00CB0D01" w:rsidRDefault="008330D3" w:rsidP="004D5894">
      <w:pPr>
        <w:spacing w:after="0" w:line="360" w:lineRule="auto"/>
        <w:jc w:val="both"/>
        <w:rPr>
          <w:b/>
          <w:color w:val="auto"/>
          <w:szCs w:val="21"/>
        </w:rPr>
      </w:pPr>
      <w:r>
        <w:rPr>
          <w:b/>
          <w:color w:val="auto"/>
          <w:szCs w:val="21"/>
        </w:rPr>
        <w:t>i</w:t>
      </w:r>
      <w:r w:rsidR="004D5894">
        <w:rPr>
          <w:b/>
          <w:color w:val="auto"/>
          <w:szCs w:val="21"/>
        </w:rPr>
        <w:t>n seven districts in Rwanda</w:t>
      </w:r>
    </w:p>
    <w:p w14:paraId="5E63F93B" w14:textId="779F2335" w:rsidR="00CA0699" w:rsidRPr="00F64165" w:rsidRDefault="00CA0699" w:rsidP="00A41CAE">
      <w:pPr>
        <w:numPr>
          <w:ilvl w:val="1"/>
          <w:numId w:val="63"/>
        </w:numPr>
        <w:spacing w:before="160" w:line="360" w:lineRule="auto"/>
        <w:rPr>
          <w:rFonts w:cs="Calibri"/>
          <w:color w:val="auto"/>
          <w:sz w:val="24"/>
          <w:szCs w:val="24"/>
          <w:lang w:val="en-US"/>
        </w:rPr>
      </w:pPr>
      <w:bookmarkStart w:id="150" w:name="_Toc42079069"/>
      <w:bookmarkStart w:id="151" w:name="_Toc89850324"/>
      <w:r w:rsidRPr="00F64165">
        <w:rPr>
          <w:rFonts w:cs="Calibri"/>
          <w:b/>
          <w:color w:val="auto"/>
          <w:sz w:val="24"/>
          <w:szCs w:val="24"/>
          <w:lang w:val="en-US"/>
        </w:rPr>
        <w:t>BARAME PROJECT</w:t>
      </w:r>
    </w:p>
    <w:p w14:paraId="3C5D37A9" w14:textId="77777777" w:rsidR="00CA0699" w:rsidRPr="00F64165" w:rsidRDefault="00CA0699" w:rsidP="00CA0699">
      <w:pPr>
        <w:spacing w:line="360" w:lineRule="auto"/>
        <w:jc w:val="both"/>
        <w:rPr>
          <w:rFonts w:cs="Calibri"/>
          <w:bCs/>
          <w:color w:val="auto"/>
          <w:sz w:val="22"/>
          <w:lang w:val="en-US"/>
        </w:rPr>
      </w:pPr>
      <w:r w:rsidRPr="00F64165">
        <w:rPr>
          <w:rStyle w:val="longtext"/>
          <w:rFonts w:cs="Calibri"/>
          <w:color w:val="auto"/>
          <w:sz w:val="22"/>
          <w:lang w:val="en-US"/>
        </w:rPr>
        <w:t xml:space="preserve">BARAME Project is </w:t>
      </w:r>
      <w:r w:rsidRPr="00F64165">
        <w:rPr>
          <w:rFonts w:cs="Calibri"/>
          <w:bCs/>
          <w:color w:val="auto"/>
          <w:sz w:val="22"/>
          <w:lang w:val="en-US"/>
        </w:rPr>
        <w:t>one of health sector interventions financed by Enabel (Belgian Development Agency) through bilateral cooperation between the Federal Government of Belgium and the Government of Rwanda which focuses on ‘</w:t>
      </w:r>
      <w:r w:rsidRPr="00F64165">
        <w:rPr>
          <w:rFonts w:cs="Calibri"/>
          <w:b/>
          <w:bCs/>
          <w:color w:val="auto"/>
          <w:sz w:val="22"/>
          <w:lang w:val="en-US"/>
        </w:rPr>
        <w:t>Sexual and Reproductive Health and Household access to health care’</w:t>
      </w:r>
      <w:r w:rsidRPr="00F64165">
        <w:rPr>
          <w:rFonts w:cs="Calibri"/>
          <w:bCs/>
          <w:color w:val="auto"/>
          <w:sz w:val="22"/>
          <w:lang w:val="en-US"/>
        </w:rPr>
        <w:t xml:space="preserve">. The project pay attention to the needs of adolescents, neonates, children under five, (pregnant) women and men. It is implemented in seven districts of Rwanda, namely </w:t>
      </w:r>
      <w:r w:rsidRPr="00F64165">
        <w:rPr>
          <w:rFonts w:cs="Calibri"/>
          <w:b/>
          <w:bCs/>
          <w:color w:val="auto"/>
          <w:sz w:val="22"/>
          <w:lang w:val="en-US"/>
        </w:rPr>
        <w:t>Gakenke, Gisagara, Karongi, Nyamasheke, Nyarugenge, Rulindo, and Rusizi</w:t>
      </w:r>
      <w:r w:rsidRPr="00F64165">
        <w:rPr>
          <w:rFonts w:cs="Calibri"/>
          <w:bCs/>
          <w:color w:val="auto"/>
          <w:sz w:val="22"/>
          <w:lang w:val="en-US"/>
        </w:rPr>
        <w:t xml:space="preserve"> as selected by the Ministry of Health (MoH) Rwanda. The project is implemented in the above seven districts in close collaboration with the Ministry of Health through Rwanda Biomedical Center/ Division of Maternal Child and Community Health.</w:t>
      </w:r>
    </w:p>
    <w:p w14:paraId="5F2D1619" w14:textId="77777777" w:rsidR="00CA0699" w:rsidRPr="00F64165" w:rsidRDefault="00CA0699" w:rsidP="00CA0699">
      <w:pPr>
        <w:spacing w:before="240" w:after="120" w:line="360" w:lineRule="auto"/>
        <w:jc w:val="both"/>
        <w:rPr>
          <w:rFonts w:cs="Calibri"/>
          <w:bCs/>
          <w:color w:val="auto"/>
          <w:sz w:val="22"/>
          <w:lang w:val="en-US"/>
        </w:rPr>
      </w:pPr>
      <w:r w:rsidRPr="00F64165">
        <w:rPr>
          <w:rFonts w:cs="Calibri"/>
          <w:bCs/>
          <w:color w:val="auto"/>
          <w:sz w:val="22"/>
          <w:lang w:val="en-US"/>
        </w:rPr>
        <w:t>Barame project specific objective is to ensure accessible, evidence-based, improved and innovative health services (with a special attention to sexual and reproductive health services) with increased citizens participation and engagement in development” which is specifically aligned with the Health Sector Strategic Plan 4 (HSSP4) as well as the Family planning (FP)/Adolescent Sexual and Reproductive Health (ASRH) &amp;Maternal, Neonatal and Child Health (MNCH) and Human Resources for Health (HRH) strategic plans.</w:t>
      </w:r>
    </w:p>
    <w:p w14:paraId="5FB5B6C4" w14:textId="77777777" w:rsidR="00CA0699" w:rsidRPr="00F64165" w:rsidRDefault="00CA0699" w:rsidP="00CA0699">
      <w:pPr>
        <w:spacing w:line="360" w:lineRule="auto"/>
        <w:jc w:val="both"/>
        <w:rPr>
          <w:rFonts w:cs="Calibri"/>
          <w:bCs/>
          <w:color w:val="auto"/>
          <w:sz w:val="22"/>
          <w:lang w:val="en-US"/>
        </w:rPr>
      </w:pPr>
      <w:r w:rsidRPr="00F64165">
        <w:rPr>
          <w:rFonts w:cs="Calibri"/>
          <w:bCs/>
          <w:color w:val="auto"/>
          <w:sz w:val="22"/>
          <w:lang w:val="en-US"/>
        </w:rPr>
        <w:t>The project focuses on three main results:</w:t>
      </w:r>
    </w:p>
    <w:p w14:paraId="59315671" w14:textId="77777777" w:rsidR="00CA0699" w:rsidRPr="00F64165" w:rsidRDefault="00CA0699" w:rsidP="00A41CAE">
      <w:pPr>
        <w:pStyle w:val="ListParagraph"/>
        <w:numPr>
          <w:ilvl w:val="0"/>
          <w:numId w:val="65"/>
        </w:numPr>
        <w:spacing w:after="0" w:line="360" w:lineRule="auto"/>
        <w:contextualSpacing w:val="0"/>
        <w:jc w:val="both"/>
        <w:rPr>
          <w:rFonts w:cs="Calibri"/>
          <w:bCs/>
          <w:color w:val="auto"/>
          <w:sz w:val="22"/>
          <w:lang w:val="en-US"/>
        </w:rPr>
      </w:pPr>
      <w:r w:rsidRPr="00F64165">
        <w:rPr>
          <w:rFonts w:cs="Calibri"/>
          <w:bCs/>
          <w:color w:val="auto"/>
          <w:sz w:val="22"/>
          <w:lang w:val="en-US"/>
        </w:rPr>
        <w:t>Improvement initiatives for integrated quality MNCH&amp;FP/ASRH services from community up to Hospital level are conducted for all</w:t>
      </w:r>
    </w:p>
    <w:p w14:paraId="54CE13B4" w14:textId="77777777" w:rsidR="00CA0699" w:rsidRPr="00F64165" w:rsidRDefault="00CA0699" w:rsidP="00A41CAE">
      <w:pPr>
        <w:pStyle w:val="ListParagraph"/>
        <w:numPr>
          <w:ilvl w:val="0"/>
          <w:numId w:val="65"/>
        </w:numPr>
        <w:spacing w:after="0" w:line="360" w:lineRule="auto"/>
        <w:contextualSpacing w:val="0"/>
        <w:jc w:val="both"/>
        <w:rPr>
          <w:rFonts w:cs="Calibri"/>
          <w:bCs/>
          <w:color w:val="auto"/>
          <w:sz w:val="22"/>
          <w:lang w:val="en-US"/>
        </w:rPr>
      </w:pPr>
      <w:r w:rsidRPr="00F64165">
        <w:rPr>
          <w:rFonts w:cs="Calibri"/>
          <w:bCs/>
          <w:color w:val="auto"/>
          <w:sz w:val="22"/>
          <w:lang w:val="en-US"/>
        </w:rPr>
        <w:t>A comprehensive life cycle SRH model focusing on sexual and gender-based violence, teenage pregnancies and drug &amp; substance abuse is implemented</w:t>
      </w:r>
    </w:p>
    <w:p w14:paraId="00D6B464" w14:textId="77777777" w:rsidR="00CA0699" w:rsidRPr="00F64165" w:rsidRDefault="00CA0699" w:rsidP="00A41CAE">
      <w:pPr>
        <w:pStyle w:val="ListParagraph"/>
        <w:numPr>
          <w:ilvl w:val="0"/>
          <w:numId w:val="65"/>
        </w:numPr>
        <w:spacing w:after="0" w:line="360" w:lineRule="auto"/>
        <w:contextualSpacing w:val="0"/>
        <w:jc w:val="both"/>
        <w:rPr>
          <w:rFonts w:cs="Calibri"/>
          <w:b/>
          <w:color w:val="auto"/>
          <w:sz w:val="22"/>
          <w:lang w:val="en-US"/>
        </w:rPr>
      </w:pPr>
      <w:r w:rsidRPr="00F64165">
        <w:rPr>
          <w:rFonts w:cs="Calibri"/>
          <w:b/>
          <w:color w:val="auto"/>
          <w:sz w:val="22"/>
          <w:lang w:val="en-US"/>
        </w:rPr>
        <w:t>The self-reliance (knowledge, attitudes, and practices) of community with regards to their (sexual and reproductive) health through social, behavioral and community engagement efforts is enhanced</w:t>
      </w:r>
    </w:p>
    <w:p w14:paraId="69844D46" w14:textId="762AB534" w:rsidR="00CA0699" w:rsidRPr="009F7333" w:rsidRDefault="00CA0699" w:rsidP="009F7333">
      <w:pPr>
        <w:spacing w:line="360" w:lineRule="auto"/>
        <w:jc w:val="both"/>
        <w:rPr>
          <w:rFonts w:cs="Calibri"/>
          <w:bCs/>
          <w:color w:val="auto"/>
          <w:sz w:val="22"/>
          <w:lang w:val="en-US"/>
        </w:rPr>
      </w:pPr>
      <w:r w:rsidRPr="00F64165">
        <w:rPr>
          <w:rFonts w:cs="Calibri"/>
          <w:bCs/>
          <w:color w:val="auto"/>
          <w:sz w:val="22"/>
          <w:lang w:val="en-US"/>
        </w:rPr>
        <w:lastRenderedPageBreak/>
        <w:t xml:space="preserve">The </w:t>
      </w:r>
      <w:r w:rsidR="003F3378">
        <w:rPr>
          <w:rFonts w:cs="Calibri"/>
          <w:bCs/>
          <w:color w:val="auto"/>
          <w:sz w:val="22"/>
          <w:lang w:val="en-US"/>
        </w:rPr>
        <w:t xml:space="preserve">present consultancy </w:t>
      </w:r>
      <w:r w:rsidR="001D5D5D">
        <w:rPr>
          <w:rFonts w:cs="Calibri"/>
          <w:bCs/>
          <w:color w:val="auto"/>
          <w:sz w:val="22"/>
          <w:lang w:val="en-US"/>
        </w:rPr>
        <w:t xml:space="preserve">is </w:t>
      </w:r>
      <w:r w:rsidR="005E4113">
        <w:rPr>
          <w:rFonts w:cs="Calibri"/>
          <w:bCs/>
          <w:color w:val="auto"/>
          <w:sz w:val="22"/>
          <w:lang w:val="en-US"/>
        </w:rPr>
        <w:t>about</w:t>
      </w:r>
      <w:r w:rsidR="001D5D5D">
        <w:rPr>
          <w:rFonts w:cs="Calibri"/>
          <w:bCs/>
          <w:color w:val="auto"/>
          <w:sz w:val="22"/>
          <w:lang w:val="en-US"/>
        </w:rPr>
        <w:t xml:space="preserve"> the third result and related to the “deman</w:t>
      </w:r>
      <w:r w:rsidR="00E87C8A">
        <w:rPr>
          <w:rFonts w:cs="Calibri"/>
          <w:bCs/>
          <w:color w:val="auto"/>
          <w:sz w:val="22"/>
          <w:lang w:val="en-US"/>
        </w:rPr>
        <w:t>d</w:t>
      </w:r>
      <w:r w:rsidR="001D5D5D">
        <w:rPr>
          <w:rFonts w:cs="Calibri"/>
          <w:bCs/>
          <w:color w:val="auto"/>
          <w:sz w:val="22"/>
          <w:lang w:val="en-US"/>
        </w:rPr>
        <w:t>” si</w:t>
      </w:r>
      <w:r w:rsidR="00E87C8A">
        <w:rPr>
          <w:rFonts w:cs="Calibri"/>
          <w:bCs/>
          <w:color w:val="auto"/>
          <w:sz w:val="22"/>
          <w:lang w:val="en-US"/>
        </w:rPr>
        <w:t xml:space="preserve">de, </w:t>
      </w:r>
      <w:r w:rsidR="008F08A0">
        <w:rPr>
          <w:rFonts w:cs="Calibri"/>
          <w:bCs/>
          <w:color w:val="auto"/>
          <w:sz w:val="22"/>
          <w:lang w:val="en-US"/>
        </w:rPr>
        <w:t>by</w:t>
      </w:r>
      <w:r w:rsidR="002210AE">
        <w:rPr>
          <w:rFonts w:cs="Calibri"/>
          <w:bCs/>
          <w:color w:val="auto"/>
          <w:sz w:val="22"/>
          <w:lang w:val="en-US"/>
        </w:rPr>
        <w:t xml:space="preserve"> i</w:t>
      </w:r>
      <w:r w:rsidR="003E0519" w:rsidRPr="003E0519">
        <w:rPr>
          <w:rFonts w:cs="Calibri"/>
          <w:bCs/>
          <w:color w:val="auto"/>
          <w:sz w:val="22"/>
          <w:lang w:val="en-US"/>
        </w:rPr>
        <w:t>nduc</w:t>
      </w:r>
      <w:r w:rsidR="008F08A0">
        <w:rPr>
          <w:rFonts w:cs="Calibri"/>
          <w:bCs/>
          <w:color w:val="auto"/>
          <w:sz w:val="22"/>
          <w:lang w:val="en-US"/>
        </w:rPr>
        <w:t>ing</w:t>
      </w:r>
      <w:r w:rsidR="003E0519" w:rsidRPr="003E0519">
        <w:rPr>
          <w:rFonts w:cs="Calibri"/>
          <w:bCs/>
          <w:color w:val="auto"/>
          <w:sz w:val="22"/>
          <w:lang w:val="en-US"/>
        </w:rPr>
        <w:t xml:space="preserve"> behavioural and social changes among the community regarding the MNASRH</w:t>
      </w:r>
      <w:r w:rsidR="008F08A0">
        <w:rPr>
          <w:rFonts w:cs="Calibri"/>
          <w:bCs/>
          <w:color w:val="auto"/>
          <w:sz w:val="22"/>
          <w:lang w:val="en-US"/>
        </w:rPr>
        <w:t>.</w:t>
      </w:r>
      <w:r w:rsidR="00474C65">
        <w:rPr>
          <w:rFonts w:cs="Calibri"/>
          <w:bCs/>
          <w:color w:val="auto"/>
          <w:sz w:val="22"/>
          <w:lang w:val="en-US"/>
        </w:rPr>
        <w:t xml:space="preserve"> Indeed, w</w:t>
      </w:r>
      <w:r w:rsidR="00474C65" w:rsidRPr="00474C65">
        <w:rPr>
          <w:rFonts w:cs="Calibri"/>
          <w:bCs/>
          <w:color w:val="auto"/>
          <w:sz w:val="22"/>
          <w:lang w:val="en-US"/>
        </w:rPr>
        <w:t xml:space="preserve">orking on social &amp; behavioural change in the community </w:t>
      </w:r>
      <w:proofErr w:type="gramStart"/>
      <w:r w:rsidR="00474C65" w:rsidRPr="00474C65">
        <w:rPr>
          <w:rFonts w:cs="Calibri"/>
          <w:bCs/>
          <w:color w:val="auto"/>
          <w:sz w:val="22"/>
          <w:lang w:val="en-US"/>
        </w:rPr>
        <w:t>with regard to</w:t>
      </w:r>
      <w:proofErr w:type="gramEnd"/>
      <w:r w:rsidR="00474C65" w:rsidRPr="00474C65">
        <w:rPr>
          <w:rFonts w:cs="Calibri"/>
          <w:bCs/>
          <w:color w:val="auto"/>
          <w:sz w:val="22"/>
          <w:lang w:val="en-US"/>
        </w:rPr>
        <w:t xml:space="preserve"> maternal, neonatal, adolescent, sexual and reproductive health in general is essential to achieve results and outcomes. The focus here is on how the community can be supported to better manage and choose their sexual and reproductive health </w:t>
      </w:r>
      <w:r w:rsidR="00EB0B7F">
        <w:rPr>
          <w:rFonts w:cs="Calibri"/>
          <w:bCs/>
          <w:color w:val="auto"/>
          <w:sz w:val="22"/>
          <w:lang w:val="en-US"/>
        </w:rPr>
        <w:t xml:space="preserve">services </w:t>
      </w:r>
      <w:r w:rsidR="00474C65" w:rsidRPr="00474C65">
        <w:rPr>
          <w:rFonts w:cs="Calibri"/>
          <w:bCs/>
          <w:color w:val="auto"/>
          <w:sz w:val="22"/>
          <w:lang w:val="en-US"/>
        </w:rPr>
        <w:t>in the best possible way</w:t>
      </w:r>
      <w:r w:rsidR="008330D3">
        <w:rPr>
          <w:rFonts w:cs="Calibri"/>
          <w:bCs/>
          <w:color w:val="auto"/>
          <w:sz w:val="22"/>
          <w:lang w:val="en-US"/>
        </w:rPr>
        <w:t>,</w:t>
      </w:r>
      <w:r w:rsidR="00474C65" w:rsidRPr="00474C65">
        <w:rPr>
          <w:rFonts w:cs="Calibri"/>
          <w:bCs/>
          <w:color w:val="auto"/>
          <w:sz w:val="22"/>
          <w:lang w:val="en-US"/>
        </w:rPr>
        <w:t xml:space="preserve"> by </w:t>
      </w:r>
      <w:r w:rsidR="008330D3">
        <w:rPr>
          <w:rFonts w:cs="Calibri"/>
          <w:bCs/>
          <w:color w:val="auto"/>
          <w:sz w:val="22"/>
          <w:lang w:val="en-US"/>
        </w:rPr>
        <w:t xml:space="preserve">(i) </w:t>
      </w:r>
      <w:r w:rsidR="00474C65" w:rsidRPr="00474C65">
        <w:rPr>
          <w:rFonts w:cs="Calibri"/>
          <w:bCs/>
          <w:color w:val="auto"/>
          <w:sz w:val="22"/>
          <w:lang w:val="en-US"/>
        </w:rPr>
        <w:t xml:space="preserve">receiving </w:t>
      </w:r>
      <w:r w:rsidR="008330D3">
        <w:rPr>
          <w:rFonts w:cs="Calibri"/>
          <w:bCs/>
          <w:color w:val="auto"/>
          <w:sz w:val="22"/>
          <w:lang w:val="en-US"/>
        </w:rPr>
        <w:t xml:space="preserve">the adequate and appropriate </w:t>
      </w:r>
      <w:r w:rsidR="00474C65" w:rsidRPr="00474C65">
        <w:rPr>
          <w:rFonts w:cs="Calibri"/>
          <w:bCs/>
          <w:color w:val="auto"/>
          <w:sz w:val="22"/>
          <w:lang w:val="en-US"/>
        </w:rPr>
        <w:t>information</w:t>
      </w:r>
      <w:r w:rsidR="006D27FD">
        <w:rPr>
          <w:rFonts w:cs="Calibri"/>
          <w:bCs/>
          <w:color w:val="auto"/>
          <w:sz w:val="22"/>
          <w:lang w:val="en-US"/>
        </w:rPr>
        <w:t xml:space="preserve"> on MNASRH</w:t>
      </w:r>
      <w:r w:rsidR="00474C65" w:rsidRPr="00474C65">
        <w:rPr>
          <w:rFonts w:cs="Calibri"/>
          <w:bCs/>
          <w:color w:val="auto"/>
          <w:sz w:val="22"/>
          <w:lang w:val="en-US"/>
        </w:rPr>
        <w:t xml:space="preserve"> and </w:t>
      </w:r>
      <w:r w:rsidR="008330D3">
        <w:rPr>
          <w:rFonts w:cs="Calibri"/>
          <w:bCs/>
          <w:color w:val="auto"/>
          <w:sz w:val="22"/>
          <w:lang w:val="en-US"/>
        </w:rPr>
        <w:t xml:space="preserve">(ii) </w:t>
      </w:r>
      <w:r w:rsidR="00474C65" w:rsidRPr="00474C65">
        <w:rPr>
          <w:rFonts w:cs="Calibri"/>
          <w:bCs/>
          <w:color w:val="auto"/>
          <w:sz w:val="22"/>
          <w:lang w:val="en-US"/>
        </w:rPr>
        <w:t>through different accountability mechanisms</w:t>
      </w:r>
      <w:r w:rsidR="00EB0B7F">
        <w:rPr>
          <w:rFonts w:cs="Calibri"/>
          <w:bCs/>
          <w:color w:val="auto"/>
          <w:sz w:val="22"/>
          <w:lang w:val="en-US"/>
        </w:rPr>
        <w:t xml:space="preserve">, including receiving </w:t>
      </w:r>
      <w:r w:rsidR="009C5038">
        <w:rPr>
          <w:rFonts w:cs="Calibri"/>
          <w:bCs/>
          <w:color w:val="auto"/>
          <w:sz w:val="22"/>
          <w:lang w:val="en-US"/>
        </w:rPr>
        <w:t xml:space="preserve">clear, </w:t>
      </w:r>
      <w:r w:rsidR="008330D3">
        <w:rPr>
          <w:rFonts w:cs="Calibri"/>
          <w:bCs/>
          <w:color w:val="auto"/>
          <w:sz w:val="22"/>
          <w:lang w:val="en-US"/>
        </w:rPr>
        <w:t>accessible, appropriate, adequate</w:t>
      </w:r>
      <w:r w:rsidR="009C5038">
        <w:rPr>
          <w:rFonts w:cs="Calibri"/>
          <w:bCs/>
          <w:color w:val="auto"/>
          <w:sz w:val="22"/>
          <w:lang w:val="en-US"/>
        </w:rPr>
        <w:t>, understa</w:t>
      </w:r>
      <w:r w:rsidR="0047097E">
        <w:rPr>
          <w:rFonts w:cs="Calibri"/>
          <w:bCs/>
          <w:color w:val="auto"/>
          <w:sz w:val="22"/>
          <w:lang w:val="en-US"/>
        </w:rPr>
        <w:t>nda</w:t>
      </w:r>
      <w:r w:rsidR="009C5038">
        <w:rPr>
          <w:rFonts w:cs="Calibri"/>
          <w:bCs/>
          <w:color w:val="auto"/>
          <w:sz w:val="22"/>
          <w:lang w:val="en-US"/>
        </w:rPr>
        <w:t xml:space="preserve">ble health information and </w:t>
      </w:r>
      <w:r w:rsidR="008330D3">
        <w:rPr>
          <w:rFonts w:cs="Calibri"/>
          <w:bCs/>
          <w:color w:val="auto"/>
          <w:sz w:val="22"/>
          <w:lang w:val="en-US"/>
        </w:rPr>
        <w:t xml:space="preserve">through </w:t>
      </w:r>
      <w:r w:rsidR="009F7333">
        <w:rPr>
          <w:rFonts w:cs="Calibri"/>
          <w:bCs/>
          <w:color w:val="auto"/>
          <w:sz w:val="22"/>
          <w:lang w:val="en-US"/>
        </w:rPr>
        <w:t xml:space="preserve">participative </w:t>
      </w:r>
      <w:r w:rsidR="008330D3">
        <w:rPr>
          <w:rFonts w:cs="Calibri"/>
          <w:bCs/>
          <w:color w:val="auto"/>
          <w:sz w:val="22"/>
          <w:lang w:val="en-US"/>
        </w:rPr>
        <w:t>and</w:t>
      </w:r>
      <w:r w:rsidR="009F7333">
        <w:rPr>
          <w:rFonts w:cs="Calibri"/>
          <w:bCs/>
          <w:color w:val="auto"/>
          <w:sz w:val="22"/>
          <w:lang w:val="en-US"/>
        </w:rPr>
        <w:t xml:space="preserve"> </w:t>
      </w:r>
      <w:r w:rsidR="0047097E">
        <w:rPr>
          <w:rFonts w:cs="Calibri"/>
          <w:bCs/>
          <w:color w:val="auto"/>
          <w:sz w:val="22"/>
          <w:lang w:val="en-US"/>
        </w:rPr>
        <w:t>consultative mechanisms.</w:t>
      </w:r>
    </w:p>
    <w:p w14:paraId="3E536276" w14:textId="64F3F591" w:rsidR="004F07DF" w:rsidRPr="00F64165" w:rsidRDefault="009F7333" w:rsidP="00A41CAE">
      <w:pPr>
        <w:pStyle w:val="Heading1"/>
        <w:numPr>
          <w:ilvl w:val="1"/>
          <w:numId w:val="63"/>
        </w:numPr>
        <w:shd w:val="clear" w:color="auto" w:fill="FFFFFF"/>
        <w:rPr>
          <w:rFonts w:ascii="Georgia" w:hAnsi="Georgia"/>
          <w:color w:val="auto"/>
          <w:sz w:val="24"/>
          <w:szCs w:val="24"/>
          <w:lang w:val="en-US"/>
        </w:rPr>
      </w:pPr>
      <w:bookmarkStart w:id="152" w:name="_Toc117027527"/>
      <w:bookmarkEnd w:id="150"/>
      <w:bookmarkEnd w:id="151"/>
      <w:r>
        <w:rPr>
          <w:rFonts w:ascii="Georgia" w:hAnsi="Georgia"/>
          <w:color w:val="auto"/>
          <w:sz w:val="24"/>
          <w:szCs w:val="24"/>
          <w:lang w:val="en-US"/>
        </w:rPr>
        <w:t>BACKGROUND INFORMATION AND RATIONALE</w:t>
      </w:r>
      <w:bookmarkEnd w:id="152"/>
    </w:p>
    <w:p w14:paraId="1253DE49" w14:textId="7C1127E4" w:rsidR="7D1B11F3" w:rsidRDefault="7D1B11F3" w:rsidP="00946C32">
      <w:pPr>
        <w:spacing w:line="360" w:lineRule="auto"/>
        <w:jc w:val="both"/>
        <w:rPr>
          <w:rFonts w:eastAsia="Georgia" w:cs="Georgia"/>
          <w:color w:val="auto"/>
          <w:sz w:val="22"/>
          <w:lang w:val="en-US"/>
        </w:rPr>
      </w:pPr>
      <w:bookmarkStart w:id="153" w:name="_Toc42079070"/>
      <w:r w:rsidRPr="00F64165">
        <w:rPr>
          <w:rFonts w:eastAsia="Georgia" w:cs="Georgia"/>
          <w:color w:val="auto"/>
          <w:sz w:val="22"/>
          <w:lang w:val="en-US"/>
        </w:rPr>
        <w:t xml:space="preserve">According to the Programme of Action of the United Nations International Conference on Population and Development (ICPD), reproductive health is defined as the state of physical, </w:t>
      </w:r>
      <w:proofErr w:type="gramStart"/>
      <w:r w:rsidRPr="00F64165">
        <w:rPr>
          <w:rFonts w:eastAsia="Georgia" w:cs="Georgia"/>
          <w:color w:val="auto"/>
          <w:sz w:val="22"/>
          <w:lang w:val="en-US"/>
        </w:rPr>
        <w:t>mental</w:t>
      </w:r>
      <w:proofErr w:type="gramEnd"/>
      <w:r w:rsidRPr="00F64165">
        <w:rPr>
          <w:rFonts w:eastAsia="Georgia" w:cs="Georgia"/>
          <w:color w:val="auto"/>
          <w:sz w:val="22"/>
          <w:lang w:val="en-US"/>
        </w:rPr>
        <w:t xml:space="preserve"> and social welfare in all aspects of the experience of sexuality and the rights related to them, besides its functions, and not only the absence of illnesses or diseases. The concept is also understood as a right of access to information, means and techniques related to conception or contraception; the right to decide, with freedom and responsibility, to have children or not; how many children, when to have</w:t>
      </w:r>
      <w:r w:rsidR="008330D3">
        <w:rPr>
          <w:rFonts w:eastAsia="Georgia" w:cs="Georgia"/>
          <w:color w:val="auto"/>
          <w:sz w:val="22"/>
          <w:lang w:val="en-US"/>
        </w:rPr>
        <w:t xml:space="preserve"> them</w:t>
      </w:r>
      <w:r w:rsidRPr="00F64165">
        <w:rPr>
          <w:rFonts w:eastAsia="Georgia" w:cs="Georgia"/>
          <w:color w:val="auto"/>
          <w:sz w:val="22"/>
          <w:lang w:val="en-US"/>
        </w:rPr>
        <w:t>; and the right to exercise their sexuality and reproduction, free from prejudice, imposition and violence</w:t>
      </w:r>
      <w:hyperlink r:id="rId29" w:anchor="_ftn1">
        <w:r w:rsidR="000C02C1" w:rsidRPr="00F64165">
          <w:rPr>
            <w:rStyle w:val="FootnoteReference"/>
            <w:rFonts w:eastAsia="Georgia" w:cs="Georgia"/>
            <w:color w:val="auto"/>
            <w:sz w:val="22"/>
            <w:u w:val="single"/>
            <w:lang w:val="en-US"/>
          </w:rPr>
          <w:footnoteReference w:id="13"/>
        </w:r>
      </w:hyperlink>
      <w:r w:rsidRPr="00F64165">
        <w:rPr>
          <w:rFonts w:eastAsia="Georgia" w:cs="Georgia"/>
          <w:color w:val="auto"/>
          <w:sz w:val="22"/>
          <w:lang w:val="en-US"/>
        </w:rPr>
        <w:t xml:space="preserve">. To maintain one’s sexual and reproductive health, people need access to accurate information and safe, effective, </w:t>
      </w:r>
      <w:proofErr w:type="gramStart"/>
      <w:r w:rsidRPr="00F64165">
        <w:rPr>
          <w:rFonts w:eastAsia="Georgia" w:cs="Georgia"/>
          <w:color w:val="auto"/>
          <w:sz w:val="22"/>
          <w:lang w:val="en-US"/>
        </w:rPr>
        <w:t>affordable</w:t>
      </w:r>
      <w:proofErr w:type="gramEnd"/>
      <w:r w:rsidRPr="00F64165">
        <w:rPr>
          <w:rFonts w:eastAsia="Georgia" w:cs="Georgia"/>
          <w:color w:val="auto"/>
          <w:sz w:val="22"/>
          <w:lang w:val="en-US"/>
        </w:rPr>
        <w:t xml:space="preserve"> and acceptable contraception method</w:t>
      </w:r>
      <w:r w:rsidR="008330D3">
        <w:rPr>
          <w:rFonts w:eastAsia="Georgia" w:cs="Georgia"/>
          <w:color w:val="auto"/>
          <w:sz w:val="22"/>
          <w:lang w:val="en-US"/>
        </w:rPr>
        <w:t>s</w:t>
      </w:r>
      <w:r w:rsidRPr="00F64165">
        <w:rPr>
          <w:rFonts w:eastAsia="Georgia" w:cs="Georgia"/>
          <w:color w:val="auto"/>
          <w:sz w:val="22"/>
          <w:lang w:val="en-US"/>
        </w:rPr>
        <w:t xml:space="preserve"> of their choice. They must be informed</w:t>
      </w:r>
      <w:r w:rsidR="00E254A9" w:rsidRPr="00F64165">
        <w:rPr>
          <w:rFonts w:eastAsia="Georgia" w:cs="Georgia"/>
          <w:color w:val="auto"/>
          <w:sz w:val="22"/>
          <w:lang w:val="en-US"/>
        </w:rPr>
        <w:t xml:space="preserve"> correctly</w:t>
      </w:r>
      <w:r w:rsidRPr="00F64165">
        <w:rPr>
          <w:rFonts w:eastAsia="Georgia" w:cs="Georgia"/>
          <w:color w:val="auto"/>
          <w:sz w:val="22"/>
          <w:lang w:val="en-US"/>
        </w:rPr>
        <w:t xml:space="preserve"> and empowered to </w:t>
      </w:r>
      <w:r w:rsidR="008330D3">
        <w:rPr>
          <w:rFonts w:eastAsia="Georgia" w:cs="Georgia"/>
          <w:color w:val="auto"/>
          <w:sz w:val="22"/>
          <w:lang w:val="en-US"/>
        </w:rPr>
        <w:t xml:space="preserve">know how to </w:t>
      </w:r>
      <w:r w:rsidRPr="00F64165">
        <w:rPr>
          <w:rFonts w:eastAsia="Georgia" w:cs="Georgia"/>
          <w:color w:val="auto"/>
          <w:sz w:val="22"/>
          <w:lang w:val="en-US"/>
        </w:rPr>
        <w:t xml:space="preserve">protect themselves from </w:t>
      </w:r>
      <w:r w:rsidR="002A0C50" w:rsidRPr="00F64165">
        <w:rPr>
          <w:rFonts w:eastAsia="Georgia" w:cs="Georgia"/>
          <w:color w:val="auto"/>
          <w:sz w:val="22"/>
          <w:lang w:val="en-US"/>
        </w:rPr>
        <w:t xml:space="preserve">risky </w:t>
      </w:r>
      <w:r w:rsidR="004C7A35" w:rsidRPr="00F64165">
        <w:rPr>
          <w:rFonts w:eastAsia="Georgia" w:cs="Georgia"/>
          <w:color w:val="auto"/>
          <w:sz w:val="22"/>
          <w:lang w:val="en-US"/>
        </w:rPr>
        <w:t>behavior</w:t>
      </w:r>
      <w:r w:rsidR="008330D3">
        <w:rPr>
          <w:rFonts w:eastAsia="Georgia" w:cs="Georgia"/>
          <w:color w:val="auto"/>
          <w:sz w:val="22"/>
          <w:lang w:val="en-US"/>
        </w:rPr>
        <w:t>s</w:t>
      </w:r>
      <w:r w:rsidR="0046686A" w:rsidRPr="00F64165">
        <w:rPr>
          <w:rFonts w:eastAsia="Georgia" w:cs="Georgia"/>
          <w:color w:val="auto"/>
          <w:sz w:val="22"/>
          <w:lang w:val="en-US"/>
        </w:rPr>
        <w:t xml:space="preserve"> and to decide for themselves </w:t>
      </w:r>
      <w:r w:rsidR="004C7A35" w:rsidRPr="00F64165">
        <w:rPr>
          <w:rFonts w:eastAsia="Georgia" w:cs="Georgia"/>
          <w:color w:val="auto"/>
          <w:sz w:val="22"/>
          <w:lang w:val="en-US"/>
        </w:rPr>
        <w:t>in full knowledge of the facts (informed decision).</w:t>
      </w:r>
    </w:p>
    <w:p w14:paraId="0EB57FA5" w14:textId="359348F8" w:rsidR="004A40EF" w:rsidRPr="00F64165" w:rsidRDefault="004A40EF" w:rsidP="00946C32">
      <w:pPr>
        <w:spacing w:line="360" w:lineRule="auto"/>
        <w:jc w:val="both"/>
        <w:rPr>
          <w:rFonts w:eastAsia="Georgia" w:cs="Georgia"/>
          <w:color w:val="auto"/>
          <w:sz w:val="22"/>
          <w:lang w:val="en-US"/>
        </w:rPr>
      </w:pPr>
      <w:r w:rsidRPr="004A40EF">
        <w:rPr>
          <w:rFonts w:eastAsia="Georgia" w:cs="Georgia"/>
          <w:color w:val="auto"/>
          <w:sz w:val="22"/>
          <w:lang w:val="en-US"/>
        </w:rPr>
        <w:t xml:space="preserve">Health care services during pregnancy and childbirth and after delivery are important for the survival and wellbeing of both the mother and the </w:t>
      </w:r>
      <w:proofErr w:type="gramStart"/>
      <w:r w:rsidRPr="004A40EF">
        <w:rPr>
          <w:rFonts w:eastAsia="Georgia" w:cs="Georgia"/>
          <w:color w:val="auto"/>
          <w:sz w:val="22"/>
          <w:lang w:val="en-US"/>
        </w:rPr>
        <w:t>infant;</w:t>
      </w:r>
      <w:proofErr w:type="gramEnd"/>
      <w:r w:rsidRPr="004A40EF">
        <w:rPr>
          <w:rFonts w:eastAsia="Georgia" w:cs="Georgia"/>
          <w:color w:val="auto"/>
          <w:sz w:val="22"/>
          <w:lang w:val="en-US"/>
        </w:rPr>
        <w:t xml:space="preserve"> ensuring access to a continuum of care for women</w:t>
      </w:r>
      <w:r>
        <w:rPr>
          <w:rFonts w:eastAsia="Georgia" w:cs="Georgia"/>
          <w:color w:val="auto"/>
          <w:sz w:val="22"/>
          <w:lang w:val="en-US"/>
        </w:rPr>
        <w:t xml:space="preserve"> (and adolescents)</w:t>
      </w:r>
      <w:r w:rsidRPr="004A40EF">
        <w:rPr>
          <w:rFonts w:eastAsia="Georgia" w:cs="Georgia"/>
          <w:color w:val="auto"/>
          <w:sz w:val="22"/>
          <w:lang w:val="en-US"/>
        </w:rPr>
        <w:t xml:space="preserve"> during the antenatal, intrapartum, and postpartum periods.</w:t>
      </w:r>
    </w:p>
    <w:p w14:paraId="383D7E85" w14:textId="644DC28D" w:rsidR="0094019A" w:rsidRPr="00F64165" w:rsidRDefault="0094019A" w:rsidP="00946C32">
      <w:pPr>
        <w:spacing w:line="360" w:lineRule="auto"/>
        <w:jc w:val="both"/>
        <w:rPr>
          <w:rFonts w:eastAsia="Georgia" w:cs="Georgia"/>
          <w:color w:val="auto"/>
          <w:sz w:val="22"/>
          <w:u w:val="single"/>
          <w:lang w:val="en-US"/>
        </w:rPr>
      </w:pPr>
      <w:r w:rsidRPr="00F64165">
        <w:rPr>
          <w:rFonts w:eastAsia="Georgia" w:cs="Georgia"/>
          <w:color w:val="auto"/>
          <w:sz w:val="22"/>
          <w:u w:val="single"/>
          <w:lang w:val="en-US"/>
        </w:rPr>
        <w:t>Modern family planning</w:t>
      </w:r>
    </w:p>
    <w:p w14:paraId="4A453C81" w14:textId="6C20B26F" w:rsidR="0015582E" w:rsidRPr="00035FCF" w:rsidRDefault="7D1B11F3" w:rsidP="00946C32">
      <w:pPr>
        <w:spacing w:line="360" w:lineRule="auto"/>
        <w:jc w:val="both"/>
        <w:rPr>
          <w:color w:val="auto"/>
          <w:sz w:val="22"/>
        </w:rPr>
      </w:pPr>
      <w:r w:rsidRPr="00F64165">
        <w:rPr>
          <w:rFonts w:eastAsia="Georgia" w:cs="Georgia"/>
          <w:color w:val="auto"/>
          <w:sz w:val="22"/>
          <w:lang w:val="en-US"/>
        </w:rPr>
        <w:t>According to the 2019-2020</w:t>
      </w:r>
      <w:r w:rsidR="009F4491" w:rsidRPr="00F64165">
        <w:rPr>
          <w:rFonts w:eastAsia="Georgia" w:cs="Georgia"/>
          <w:color w:val="auto"/>
          <w:sz w:val="22"/>
          <w:lang w:val="en-US"/>
        </w:rPr>
        <w:t>,</w:t>
      </w:r>
      <w:r w:rsidRPr="00F64165">
        <w:rPr>
          <w:rFonts w:eastAsia="Georgia" w:cs="Georgia"/>
          <w:color w:val="auto"/>
          <w:sz w:val="22"/>
          <w:lang w:val="en-US"/>
        </w:rPr>
        <w:t xml:space="preserve"> Rwanda Demographic and Health </w:t>
      </w:r>
      <w:r w:rsidR="008330D3">
        <w:rPr>
          <w:rFonts w:eastAsia="Georgia" w:cs="Georgia"/>
          <w:color w:val="auto"/>
          <w:sz w:val="22"/>
          <w:lang w:val="en-US"/>
        </w:rPr>
        <w:t>S</w:t>
      </w:r>
      <w:r w:rsidRPr="00F64165">
        <w:rPr>
          <w:rFonts w:eastAsia="Georgia" w:cs="Georgia"/>
          <w:color w:val="auto"/>
          <w:sz w:val="22"/>
          <w:lang w:val="en-US"/>
        </w:rPr>
        <w:t>urvey (</w:t>
      </w:r>
      <w:r w:rsidR="0094019A" w:rsidRPr="00F64165">
        <w:rPr>
          <w:rFonts w:eastAsia="Georgia" w:cs="Georgia"/>
          <w:color w:val="auto"/>
          <w:sz w:val="22"/>
          <w:lang w:val="en-US"/>
        </w:rPr>
        <w:t>R</w:t>
      </w:r>
      <w:r w:rsidRPr="00F64165">
        <w:rPr>
          <w:rFonts w:eastAsia="Georgia" w:cs="Georgia"/>
          <w:color w:val="auto"/>
          <w:sz w:val="22"/>
          <w:lang w:val="en-US"/>
        </w:rPr>
        <w:t>DHS), the knowledge of modern contraceptive methods is universal among both women and men (99%-100%). The total demand for family planning among currently married women is 78% while the unmet need for family planning is higher among sexually active unmarried women (37%) than among currently married women (14%).</w:t>
      </w:r>
      <w:r w:rsidR="006A414A" w:rsidRPr="00F64165">
        <w:rPr>
          <w:rFonts w:eastAsia="Georgia" w:cs="Georgia"/>
          <w:color w:val="auto"/>
          <w:sz w:val="22"/>
          <w:lang w:val="en-US"/>
        </w:rPr>
        <w:t xml:space="preserve"> </w:t>
      </w:r>
      <w:r w:rsidRPr="00F64165">
        <w:rPr>
          <w:rFonts w:eastAsia="Georgia" w:cs="Georgia"/>
          <w:color w:val="auto"/>
          <w:sz w:val="22"/>
          <w:lang w:val="en-US"/>
        </w:rPr>
        <w:t xml:space="preserve">The contraceptive prevalence rate (CPR) is 64% </w:t>
      </w:r>
      <w:r w:rsidRPr="00F64165">
        <w:rPr>
          <w:rFonts w:eastAsia="Georgia" w:cs="Georgia"/>
          <w:color w:val="auto"/>
          <w:sz w:val="22"/>
          <w:lang w:val="en-US"/>
        </w:rPr>
        <w:lastRenderedPageBreak/>
        <w:t>among currently married women age</w:t>
      </w:r>
      <w:r w:rsidR="003475AA" w:rsidRPr="00F64165">
        <w:rPr>
          <w:rFonts w:eastAsia="Georgia" w:cs="Georgia"/>
          <w:color w:val="auto"/>
          <w:sz w:val="22"/>
          <w:lang w:val="en-US"/>
        </w:rPr>
        <w:t>d</w:t>
      </w:r>
      <w:r w:rsidRPr="00F64165">
        <w:rPr>
          <w:rFonts w:eastAsia="Georgia" w:cs="Georgia"/>
          <w:color w:val="auto"/>
          <w:sz w:val="22"/>
          <w:lang w:val="en-US"/>
        </w:rPr>
        <w:t xml:space="preserve"> 15-49 and </w:t>
      </w:r>
      <w:r w:rsidR="006A414A" w:rsidRPr="00F64165">
        <w:rPr>
          <w:rFonts w:eastAsia="Georgia" w:cs="Georgia"/>
          <w:color w:val="auto"/>
          <w:sz w:val="22"/>
          <w:lang w:val="en-US"/>
        </w:rPr>
        <w:t>i</w:t>
      </w:r>
      <w:r w:rsidRPr="00F64165">
        <w:rPr>
          <w:rFonts w:eastAsia="Georgia" w:cs="Georgia"/>
          <w:color w:val="auto"/>
          <w:sz w:val="22"/>
          <w:lang w:val="en-US"/>
        </w:rPr>
        <w:t xml:space="preserve">s </w:t>
      </w:r>
      <w:r w:rsidR="006A414A" w:rsidRPr="00F64165">
        <w:rPr>
          <w:rFonts w:eastAsia="Georgia" w:cs="Georgia"/>
          <w:color w:val="auto"/>
          <w:sz w:val="22"/>
          <w:lang w:val="en-US"/>
        </w:rPr>
        <w:t xml:space="preserve">50% </w:t>
      </w:r>
      <w:r w:rsidRPr="00F64165">
        <w:rPr>
          <w:rFonts w:eastAsia="Georgia" w:cs="Georgia"/>
          <w:color w:val="auto"/>
          <w:sz w:val="22"/>
          <w:lang w:val="en-US"/>
        </w:rPr>
        <w:t>among sexually active unmarried women</w:t>
      </w:r>
      <w:r w:rsidR="00ED2432" w:rsidRPr="00F64165">
        <w:rPr>
          <w:rStyle w:val="FootnoteReference"/>
          <w:rFonts w:eastAsia="Georgia" w:cs="Georgia"/>
          <w:color w:val="auto"/>
          <w:sz w:val="22"/>
          <w:lang w:val="en-US"/>
        </w:rPr>
        <w:footnoteReference w:id="14"/>
      </w:r>
      <w:r w:rsidRPr="00F64165">
        <w:rPr>
          <w:rFonts w:eastAsia="Georgia" w:cs="Georgia"/>
          <w:color w:val="auto"/>
          <w:sz w:val="22"/>
          <w:lang w:val="en-US"/>
        </w:rPr>
        <w:t>.</w:t>
      </w:r>
    </w:p>
    <w:p w14:paraId="6F5A314B" w14:textId="7B0F4F41" w:rsidR="0015582E" w:rsidRPr="00F64165" w:rsidRDefault="001F7D52" w:rsidP="00946C32">
      <w:pPr>
        <w:spacing w:line="360" w:lineRule="auto"/>
        <w:jc w:val="both"/>
        <w:rPr>
          <w:rFonts w:eastAsia="Georgia" w:cs="Georgia"/>
          <w:color w:val="auto"/>
          <w:sz w:val="22"/>
          <w:u w:val="single"/>
          <w:lang w:val="en-US"/>
        </w:rPr>
      </w:pPr>
      <w:r w:rsidRPr="00F64165">
        <w:rPr>
          <w:rFonts w:eastAsia="Georgia" w:cs="Georgia"/>
          <w:color w:val="auto"/>
          <w:sz w:val="22"/>
          <w:u w:val="single"/>
          <w:lang w:val="en-US"/>
        </w:rPr>
        <w:t xml:space="preserve">Prevention regarding </w:t>
      </w:r>
      <w:r w:rsidR="0015582E" w:rsidRPr="00F64165">
        <w:rPr>
          <w:rFonts w:eastAsia="Georgia" w:cs="Georgia"/>
          <w:color w:val="auto"/>
          <w:sz w:val="22"/>
          <w:u w:val="single"/>
          <w:lang w:val="en-US"/>
        </w:rPr>
        <w:t>HIV and sexual</w:t>
      </w:r>
      <w:r w:rsidR="00544D2C">
        <w:rPr>
          <w:rFonts w:eastAsia="Georgia" w:cs="Georgia"/>
          <w:color w:val="auto"/>
          <w:sz w:val="22"/>
          <w:u w:val="single"/>
          <w:lang w:val="en-US"/>
        </w:rPr>
        <w:t>ly</w:t>
      </w:r>
      <w:r w:rsidR="0015582E" w:rsidRPr="00F64165">
        <w:rPr>
          <w:rFonts w:eastAsia="Georgia" w:cs="Georgia"/>
          <w:color w:val="auto"/>
          <w:sz w:val="22"/>
          <w:u w:val="single"/>
          <w:lang w:val="en-US"/>
        </w:rPr>
        <w:t xml:space="preserve"> transmitted infections</w:t>
      </w:r>
    </w:p>
    <w:p w14:paraId="79158D36" w14:textId="7AC22C02" w:rsidR="7D1B11F3" w:rsidRPr="00F64165" w:rsidRDefault="7D1B11F3" w:rsidP="00946C32">
      <w:pPr>
        <w:spacing w:line="360" w:lineRule="auto"/>
        <w:jc w:val="both"/>
        <w:rPr>
          <w:color w:val="auto"/>
          <w:sz w:val="22"/>
        </w:rPr>
      </w:pPr>
      <w:r w:rsidRPr="00F64165">
        <w:rPr>
          <w:rFonts w:eastAsia="Georgia" w:cs="Georgia"/>
          <w:color w:val="auto"/>
          <w:sz w:val="22"/>
          <w:lang w:val="en-US"/>
        </w:rPr>
        <w:t xml:space="preserve">Regarding the </w:t>
      </w:r>
      <w:r w:rsidR="00544D2C">
        <w:rPr>
          <w:rFonts w:eastAsia="Georgia" w:cs="Georgia"/>
          <w:color w:val="auto"/>
          <w:sz w:val="22"/>
          <w:lang w:val="en-US"/>
        </w:rPr>
        <w:t xml:space="preserve">prevention of </w:t>
      </w:r>
      <w:r w:rsidRPr="00F64165">
        <w:rPr>
          <w:rFonts w:eastAsia="Georgia" w:cs="Georgia"/>
          <w:color w:val="auto"/>
          <w:sz w:val="22"/>
          <w:lang w:val="en-US"/>
        </w:rPr>
        <w:t>HIV and</w:t>
      </w:r>
      <w:r w:rsidR="008330D3">
        <w:rPr>
          <w:rFonts w:eastAsia="Georgia" w:cs="Georgia"/>
          <w:color w:val="auto"/>
          <w:sz w:val="22"/>
          <w:lang w:val="en-US"/>
        </w:rPr>
        <w:t xml:space="preserve"> S</w:t>
      </w:r>
      <w:r w:rsidRPr="00F64165">
        <w:rPr>
          <w:rFonts w:eastAsia="Georgia" w:cs="Georgia"/>
          <w:color w:val="auto"/>
          <w:sz w:val="22"/>
          <w:lang w:val="en-US"/>
        </w:rPr>
        <w:t>exual</w:t>
      </w:r>
      <w:r w:rsidR="00544D2C">
        <w:rPr>
          <w:rFonts w:eastAsia="Georgia" w:cs="Georgia"/>
          <w:color w:val="auto"/>
          <w:sz w:val="22"/>
          <w:lang w:val="en-US"/>
        </w:rPr>
        <w:t>ly</w:t>
      </w:r>
      <w:r w:rsidRPr="00F64165">
        <w:rPr>
          <w:rFonts w:eastAsia="Georgia" w:cs="Georgia"/>
          <w:color w:val="auto"/>
          <w:sz w:val="22"/>
          <w:lang w:val="en-US"/>
        </w:rPr>
        <w:t xml:space="preserve"> </w:t>
      </w:r>
      <w:r w:rsidR="008330D3">
        <w:rPr>
          <w:rFonts w:eastAsia="Georgia" w:cs="Georgia"/>
          <w:color w:val="auto"/>
          <w:sz w:val="22"/>
          <w:lang w:val="en-US"/>
        </w:rPr>
        <w:t>T</w:t>
      </w:r>
      <w:r w:rsidRPr="00F64165">
        <w:rPr>
          <w:rFonts w:eastAsia="Georgia" w:cs="Georgia"/>
          <w:color w:val="auto"/>
          <w:sz w:val="22"/>
          <w:lang w:val="en-US"/>
        </w:rPr>
        <w:t xml:space="preserve">ransmitted </w:t>
      </w:r>
      <w:r w:rsidR="008330D3">
        <w:rPr>
          <w:rFonts w:eastAsia="Georgia" w:cs="Georgia"/>
          <w:color w:val="auto"/>
          <w:sz w:val="22"/>
          <w:lang w:val="en-US"/>
        </w:rPr>
        <w:t>I</w:t>
      </w:r>
      <w:r w:rsidRPr="00F64165">
        <w:rPr>
          <w:rFonts w:eastAsia="Georgia" w:cs="Georgia"/>
          <w:color w:val="auto"/>
          <w:sz w:val="22"/>
          <w:lang w:val="en-US"/>
        </w:rPr>
        <w:t>nfections (STI</w:t>
      </w:r>
      <w:r w:rsidR="0094019A" w:rsidRPr="00F64165">
        <w:rPr>
          <w:rFonts w:eastAsia="Georgia" w:cs="Georgia"/>
          <w:color w:val="auto"/>
          <w:sz w:val="22"/>
          <w:lang w:val="en-US"/>
        </w:rPr>
        <w:t>s</w:t>
      </w:r>
      <w:r w:rsidRPr="00F64165">
        <w:rPr>
          <w:rFonts w:eastAsia="Georgia" w:cs="Georgia"/>
          <w:color w:val="auto"/>
          <w:sz w:val="22"/>
          <w:lang w:val="en-US"/>
        </w:rPr>
        <w:t xml:space="preserve">), the RDHS 2019-2020 revealed that </w:t>
      </w:r>
      <w:r w:rsidR="005B1403" w:rsidRPr="00F64165">
        <w:rPr>
          <w:rFonts w:eastAsia="Georgia" w:cs="Georgia"/>
          <w:color w:val="auto"/>
          <w:sz w:val="22"/>
          <w:lang w:val="en-US"/>
        </w:rPr>
        <w:t xml:space="preserve">the prevalence of </w:t>
      </w:r>
      <w:r w:rsidRPr="00F64165">
        <w:rPr>
          <w:rFonts w:eastAsia="Georgia" w:cs="Georgia"/>
          <w:color w:val="auto"/>
          <w:sz w:val="22"/>
          <w:lang w:val="en-US"/>
        </w:rPr>
        <w:t xml:space="preserve">women and men having multiple sexual partners in the 12 months preceding the survey </w:t>
      </w:r>
      <w:r w:rsidR="00035283" w:rsidRPr="00F64165">
        <w:rPr>
          <w:rFonts w:eastAsia="Georgia" w:cs="Georgia"/>
          <w:color w:val="auto"/>
          <w:sz w:val="22"/>
          <w:lang w:val="en-US"/>
        </w:rPr>
        <w:t>were</w:t>
      </w:r>
      <w:r w:rsidRPr="00F64165">
        <w:rPr>
          <w:rFonts w:eastAsia="Georgia" w:cs="Georgia"/>
          <w:color w:val="auto"/>
          <w:sz w:val="22"/>
          <w:lang w:val="en-US"/>
        </w:rPr>
        <w:t xml:space="preserve"> </w:t>
      </w:r>
      <w:r w:rsidR="005D0137" w:rsidRPr="00F64165">
        <w:rPr>
          <w:rFonts w:eastAsia="Georgia" w:cs="Georgia"/>
          <w:color w:val="auto"/>
          <w:sz w:val="22"/>
          <w:lang w:val="en-US"/>
        </w:rPr>
        <w:t xml:space="preserve">1 </w:t>
      </w:r>
      <w:r w:rsidRPr="00F64165">
        <w:rPr>
          <w:rFonts w:eastAsia="Georgia" w:cs="Georgia"/>
          <w:color w:val="auto"/>
          <w:sz w:val="22"/>
          <w:lang w:val="en-US"/>
        </w:rPr>
        <w:t>and 6% respectively</w:t>
      </w:r>
      <w:r w:rsidR="005D0137" w:rsidRPr="00F64165">
        <w:rPr>
          <w:rFonts w:eastAsia="Georgia" w:cs="Georgia"/>
          <w:color w:val="auto"/>
          <w:sz w:val="22"/>
          <w:lang w:val="en-US"/>
        </w:rPr>
        <w:t xml:space="preserve"> while</w:t>
      </w:r>
      <w:r w:rsidRPr="00F64165">
        <w:rPr>
          <w:rFonts w:eastAsia="Georgia" w:cs="Georgia"/>
          <w:color w:val="auto"/>
          <w:sz w:val="22"/>
          <w:lang w:val="en-US"/>
        </w:rPr>
        <w:t xml:space="preserve"> 9</w:t>
      </w:r>
      <w:r w:rsidR="005D0137" w:rsidRPr="00F64165">
        <w:rPr>
          <w:rFonts w:eastAsia="Georgia" w:cs="Georgia"/>
          <w:color w:val="auto"/>
          <w:sz w:val="22"/>
          <w:lang w:val="en-US"/>
        </w:rPr>
        <w:t xml:space="preserve"> </w:t>
      </w:r>
      <w:r w:rsidRPr="00F64165">
        <w:rPr>
          <w:rFonts w:eastAsia="Georgia" w:cs="Georgia"/>
          <w:color w:val="auto"/>
          <w:sz w:val="22"/>
          <w:lang w:val="en-US"/>
        </w:rPr>
        <w:t>and 12 % reported having sexual intercourse with a person who was not their regular partners. The decision to protect themselves differs also from women and men: 46% of women and 70% of men who had sexual intercourse with a person who was not their partner used a condom during their last sexual intercourse. Women and men in Rwanda have had an average of 1.7 and 2.8 sexual partners in their lifetime.</w:t>
      </w:r>
    </w:p>
    <w:p w14:paraId="4D63A84A" w14:textId="584B5B2D" w:rsidR="0094019A" w:rsidRPr="00F64165" w:rsidRDefault="0094019A" w:rsidP="00946C32">
      <w:pPr>
        <w:spacing w:line="360" w:lineRule="auto"/>
        <w:jc w:val="both"/>
        <w:rPr>
          <w:rFonts w:eastAsia="Georgia" w:cs="Georgia"/>
          <w:color w:val="auto"/>
          <w:sz w:val="22"/>
          <w:u w:val="single"/>
        </w:rPr>
      </w:pPr>
      <w:r w:rsidRPr="00F64165">
        <w:rPr>
          <w:rFonts w:eastAsia="Georgia" w:cs="Georgia"/>
          <w:color w:val="auto"/>
          <w:sz w:val="22"/>
          <w:u w:val="single"/>
        </w:rPr>
        <w:t>Child mortality</w:t>
      </w:r>
    </w:p>
    <w:p w14:paraId="46E2D984" w14:textId="633F0CD3" w:rsidR="7D1B11F3" w:rsidRPr="00F64165" w:rsidRDefault="7D1B11F3" w:rsidP="00946C32">
      <w:pPr>
        <w:spacing w:line="360" w:lineRule="auto"/>
        <w:jc w:val="both"/>
        <w:rPr>
          <w:rStyle w:val="Hyperlink"/>
          <w:rFonts w:eastAsia="Georgia" w:cs="Georgia"/>
          <w:color w:val="auto"/>
          <w:sz w:val="22"/>
        </w:rPr>
      </w:pPr>
      <w:r w:rsidRPr="00F64165">
        <w:rPr>
          <w:rFonts w:eastAsia="Georgia" w:cs="Georgia"/>
          <w:color w:val="auto"/>
          <w:sz w:val="22"/>
        </w:rPr>
        <w:t xml:space="preserve">Findings from scientific studies have confirmed a strong relationship between a child’s chance of dying and specific fertility </w:t>
      </w:r>
      <w:r w:rsidR="6250FCA5" w:rsidRPr="00F64165">
        <w:rPr>
          <w:rFonts w:eastAsia="Georgia" w:cs="Georgia"/>
          <w:color w:val="auto"/>
          <w:sz w:val="22"/>
        </w:rPr>
        <w:t>behaviours</w:t>
      </w:r>
      <w:r w:rsidRPr="00F64165">
        <w:rPr>
          <w:rFonts w:eastAsia="Georgia" w:cs="Georgia"/>
          <w:color w:val="auto"/>
          <w:sz w:val="22"/>
        </w:rPr>
        <w:t>, meaning that the survival of infants and children depends in part on the demographic and biological characteristics of their mothers. The probability of dying in infancy is much greater among children born to mothers who are too young (under age 18) or too old (over age 34), children born after a short birth interval (less than 24 months after the preceding birth), and children born to mothers of high parity (more than three children). The risk is elevated when a child is born to a mother who has a combination of these risk characteristics</w:t>
      </w:r>
      <w:r w:rsidR="002710D5" w:rsidRPr="00F64165">
        <w:rPr>
          <w:rStyle w:val="FootnoteReference"/>
          <w:rFonts w:eastAsia="Georgia" w:cs="Georgia"/>
          <w:color w:val="auto"/>
          <w:sz w:val="22"/>
        </w:rPr>
        <w:footnoteReference w:id="15"/>
      </w:r>
      <w:r w:rsidR="002710D5" w:rsidRPr="00F64165">
        <w:rPr>
          <w:rFonts w:eastAsia="Georgia" w:cs="Georgia"/>
          <w:color w:val="auto"/>
          <w:sz w:val="22"/>
        </w:rPr>
        <w:t>.</w:t>
      </w:r>
    </w:p>
    <w:p w14:paraId="58896790" w14:textId="2D81CD07" w:rsidR="7D1B11F3" w:rsidRPr="00B34006" w:rsidRDefault="7D1B11F3" w:rsidP="00946C32">
      <w:pPr>
        <w:spacing w:line="360" w:lineRule="auto"/>
        <w:jc w:val="both"/>
        <w:rPr>
          <w:rFonts w:eastAsia="Georgia" w:cs="Georgia"/>
          <w:color w:val="auto"/>
          <w:sz w:val="22"/>
        </w:rPr>
      </w:pPr>
      <w:r w:rsidRPr="00F64165">
        <w:rPr>
          <w:rFonts w:eastAsia="Georgia" w:cs="Georgia"/>
          <w:color w:val="auto"/>
          <w:sz w:val="22"/>
        </w:rPr>
        <w:t xml:space="preserve">The 2019-20 RDHS results show that the infant mortality rate was 33 deaths per 1,000 live births </w:t>
      </w:r>
      <w:r w:rsidR="00B34006">
        <w:rPr>
          <w:rFonts w:eastAsia="Georgia" w:cs="Georgia"/>
          <w:color w:val="auto"/>
          <w:sz w:val="22"/>
        </w:rPr>
        <w:t>in the</w:t>
      </w:r>
      <w:r w:rsidRPr="00F64165">
        <w:rPr>
          <w:rFonts w:eastAsia="Georgia" w:cs="Georgia"/>
          <w:color w:val="auto"/>
          <w:sz w:val="22"/>
        </w:rPr>
        <w:t xml:space="preserve"> 5 years preceding the survey. The child mortality rate was 13 deaths per 1,000 live births, while the under-5 mortality rate was 45 deaths per 1,000 live births. This implies that about 1 in 22 children in Rwanda die before their 5th birthday. With respect to other early childhood mortality rates, the neonatal mortality rate was 19 deaths per 1,000 live births and the post neonatal mortality rate was 14 deaths per 1,000.</w:t>
      </w:r>
    </w:p>
    <w:p w14:paraId="7A7AD6DE" w14:textId="0E64CFB6" w:rsidR="0094019A" w:rsidRPr="00F64165" w:rsidRDefault="00BC1E84" w:rsidP="00946C32">
      <w:pPr>
        <w:spacing w:line="360" w:lineRule="auto"/>
        <w:jc w:val="both"/>
        <w:rPr>
          <w:rFonts w:eastAsia="Georgia" w:cs="Georgia"/>
          <w:color w:val="auto"/>
          <w:sz w:val="22"/>
          <w:u w:val="single"/>
        </w:rPr>
      </w:pPr>
      <w:r>
        <w:rPr>
          <w:rFonts w:eastAsia="Georgia" w:cs="Georgia"/>
          <w:color w:val="auto"/>
          <w:sz w:val="22"/>
          <w:u w:val="single"/>
        </w:rPr>
        <w:t>Maternal and neonatal care</w:t>
      </w:r>
    </w:p>
    <w:p w14:paraId="73639573" w14:textId="38A44343" w:rsidR="00170482" w:rsidRDefault="00233F8B" w:rsidP="00EC5477">
      <w:pPr>
        <w:spacing w:line="360" w:lineRule="auto"/>
        <w:jc w:val="both"/>
        <w:rPr>
          <w:rFonts w:eastAsia="Georgia" w:cs="Georgia"/>
          <w:color w:val="auto"/>
          <w:sz w:val="22"/>
        </w:rPr>
      </w:pPr>
      <w:r w:rsidRPr="00233F8B">
        <w:rPr>
          <w:rFonts w:eastAsia="Georgia" w:cs="Georgia"/>
          <w:color w:val="auto"/>
          <w:sz w:val="22"/>
        </w:rPr>
        <w:t xml:space="preserve">Rwanda has realized impressive achievements from 2000 to 2014-15, with a reduction in Maternal </w:t>
      </w:r>
      <w:r w:rsidR="006711F3">
        <w:rPr>
          <w:rFonts w:eastAsia="Georgia" w:cs="Georgia"/>
          <w:color w:val="auto"/>
          <w:sz w:val="22"/>
        </w:rPr>
        <w:t>M</w:t>
      </w:r>
      <w:r w:rsidRPr="00233F8B">
        <w:rPr>
          <w:rFonts w:eastAsia="Georgia" w:cs="Georgia"/>
          <w:color w:val="auto"/>
          <w:sz w:val="22"/>
        </w:rPr>
        <w:t xml:space="preserve">ortality </w:t>
      </w:r>
      <w:r w:rsidR="006711F3">
        <w:rPr>
          <w:rFonts w:eastAsia="Georgia" w:cs="Georgia"/>
          <w:color w:val="auto"/>
          <w:sz w:val="22"/>
        </w:rPr>
        <w:t>R</w:t>
      </w:r>
      <w:r w:rsidRPr="00233F8B">
        <w:rPr>
          <w:rFonts w:eastAsia="Georgia" w:cs="Georgia"/>
          <w:color w:val="auto"/>
          <w:sz w:val="22"/>
        </w:rPr>
        <w:t xml:space="preserve">atio (MMR) from 1071/100,000 live births to 210 and in neonatal mortality from 44/1000 live births to 19. </w:t>
      </w:r>
      <w:r w:rsidR="006711F3">
        <w:rPr>
          <w:rFonts w:eastAsia="Georgia" w:cs="Georgia"/>
          <w:color w:val="auto"/>
          <w:sz w:val="22"/>
        </w:rPr>
        <w:t>Although</w:t>
      </w:r>
      <w:r w:rsidR="00BD10F3">
        <w:rPr>
          <w:rFonts w:eastAsia="Georgia" w:cs="Georgia"/>
          <w:color w:val="auto"/>
          <w:sz w:val="22"/>
        </w:rPr>
        <w:t xml:space="preserve"> </w:t>
      </w:r>
      <w:r w:rsidR="00BD10F3" w:rsidRPr="00BD10F3">
        <w:rPr>
          <w:rFonts w:eastAsia="Georgia" w:cs="Georgia"/>
          <w:color w:val="auto"/>
          <w:sz w:val="22"/>
        </w:rPr>
        <w:t>93% of live births took place in a health facility</w:t>
      </w:r>
      <w:r w:rsidR="00042849">
        <w:rPr>
          <w:rFonts w:eastAsia="Georgia" w:cs="Georgia"/>
          <w:color w:val="auto"/>
          <w:sz w:val="22"/>
        </w:rPr>
        <w:t xml:space="preserve">, </w:t>
      </w:r>
      <w:r w:rsidRPr="00233F8B">
        <w:rPr>
          <w:rFonts w:eastAsia="Georgia" w:cs="Georgia"/>
          <w:color w:val="auto"/>
          <w:sz w:val="22"/>
        </w:rPr>
        <w:t xml:space="preserve">the last Rwanda Demographic Health Survey 2019 -2020 (RDHS) results </w:t>
      </w:r>
      <w:r w:rsidR="00F756BB">
        <w:rPr>
          <w:rFonts w:eastAsia="Georgia" w:cs="Georgia"/>
          <w:color w:val="auto"/>
          <w:sz w:val="22"/>
        </w:rPr>
        <w:t>show a</w:t>
      </w:r>
      <w:r w:rsidRPr="00233F8B">
        <w:rPr>
          <w:rFonts w:eastAsia="Georgia" w:cs="Georgia"/>
          <w:color w:val="auto"/>
          <w:sz w:val="22"/>
        </w:rPr>
        <w:t xml:space="preserve"> stagnation in the rates </w:t>
      </w:r>
      <w:r w:rsidR="00F756BB">
        <w:rPr>
          <w:rFonts w:eastAsia="Georgia" w:cs="Georgia"/>
          <w:color w:val="auto"/>
          <w:sz w:val="22"/>
        </w:rPr>
        <w:t xml:space="preserve">with </w:t>
      </w:r>
      <w:proofErr w:type="gramStart"/>
      <w:r w:rsidR="00F756BB">
        <w:rPr>
          <w:rFonts w:eastAsia="Georgia" w:cs="Georgia"/>
          <w:color w:val="auto"/>
          <w:sz w:val="22"/>
        </w:rPr>
        <w:t>a</w:t>
      </w:r>
      <w:proofErr w:type="gramEnd"/>
      <w:r w:rsidR="00F756BB" w:rsidRPr="00F756BB">
        <w:rPr>
          <w:rFonts w:eastAsia="Georgia" w:cs="Georgia"/>
          <w:color w:val="auto"/>
          <w:sz w:val="22"/>
        </w:rPr>
        <w:t xml:space="preserve"> MMR of 203 and neonatal mortality of 19</w:t>
      </w:r>
      <w:r w:rsidR="00F756BB">
        <w:rPr>
          <w:rFonts w:eastAsia="Georgia" w:cs="Georgia"/>
          <w:color w:val="auto"/>
          <w:sz w:val="22"/>
        </w:rPr>
        <w:t xml:space="preserve">. This </w:t>
      </w:r>
      <w:r w:rsidR="00DC70EE">
        <w:rPr>
          <w:rFonts w:eastAsia="Georgia" w:cs="Georgia"/>
          <w:color w:val="auto"/>
          <w:sz w:val="22"/>
        </w:rPr>
        <w:t>stagnation</w:t>
      </w:r>
      <w:r w:rsidR="00F756BB">
        <w:rPr>
          <w:rFonts w:eastAsia="Georgia" w:cs="Georgia"/>
          <w:color w:val="auto"/>
          <w:sz w:val="22"/>
        </w:rPr>
        <w:t xml:space="preserve"> </w:t>
      </w:r>
      <w:r w:rsidRPr="00233F8B">
        <w:rPr>
          <w:rFonts w:eastAsia="Georgia" w:cs="Georgia"/>
          <w:color w:val="auto"/>
          <w:sz w:val="22"/>
        </w:rPr>
        <w:t xml:space="preserve">calls </w:t>
      </w:r>
      <w:r w:rsidRPr="00233F8B">
        <w:rPr>
          <w:rFonts w:eastAsia="Georgia" w:cs="Georgia"/>
          <w:color w:val="auto"/>
          <w:sz w:val="22"/>
        </w:rPr>
        <w:lastRenderedPageBreak/>
        <w:t xml:space="preserve">for more efforts especially </w:t>
      </w:r>
      <w:r w:rsidR="006711F3">
        <w:rPr>
          <w:rFonts w:eastAsia="Georgia" w:cs="Georgia"/>
          <w:color w:val="auto"/>
          <w:sz w:val="22"/>
        </w:rPr>
        <w:t>since</w:t>
      </w:r>
      <w:r w:rsidRPr="00233F8B">
        <w:rPr>
          <w:rFonts w:eastAsia="Georgia" w:cs="Georgia"/>
          <w:color w:val="auto"/>
          <w:sz w:val="22"/>
        </w:rPr>
        <w:t xml:space="preserve"> risk ratios for neonatal deaths are highest for births in which the mother was either younger than 18 years (1.83) or older than 34 years, (1.79). Overall, 75% of currently married women in Rwanda </w:t>
      </w:r>
      <w:r w:rsidR="006711F3">
        <w:rPr>
          <w:rFonts w:eastAsia="Georgia" w:cs="Georgia"/>
          <w:color w:val="auto"/>
          <w:sz w:val="22"/>
        </w:rPr>
        <w:t xml:space="preserve">are potentially at </w:t>
      </w:r>
      <w:r w:rsidRPr="00233F8B">
        <w:rPr>
          <w:rFonts w:eastAsia="Georgia" w:cs="Georgia"/>
          <w:color w:val="auto"/>
          <w:sz w:val="22"/>
        </w:rPr>
        <w:t xml:space="preserve">high-risk birth, with 25% falling into a single high-risk category and 50% falling into a multiple high-risk category. </w:t>
      </w:r>
      <w:r w:rsidR="00A53180">
        <w:rPr>
          <w:rFonts w:eastAsia="Georgia" w:cs="Georgia"/>
          <w:color w:val="auto"/>
          <w:sz w:val="22"/>
        </w:rPr>
        <w:t>The</w:t>
      </w:r>
      <w:r w:rsidR="00A53180" w:rsidRPr="00A53180">
        <w:rPr>
          <w:rFonts w:eastAsia="Georgia" w:cs="Georgia"/>
          <w:color w:val="auto"/>
          <w:sz w:val="22"/>
        </w:rPr>
        <w:t xml:space="preserve"> post-partum haemorrhage, severe eclampsia, post-</w:t>
      </w:r>
      <w:r w:rsidR="006711F3">
        <w:rPr>
          <w:rFonts w:eastAsia="Georgia" w:cs="Georgia"/>
          <w:color w:val="auto"/>
          <w:sz w:val="22"/>
        </w:rPr>
        <w:t xml:space="preserve">caesarean </w:t>
      </w:r>
      <w:r w:rsidR="00A53180" w:rsidRPr="00A53180">
        <w:rPr>
          <w:rFonts w:eastAsia="Georgia" w:cs="Georgia"/>
          <w:color w:val="auto"/>
          <w:sz w:val="22"/>
        </w:rPr>
        <w:t>infections are the main causes</w:t>
      </w:r>
      <w:r w:rsidR="00A53180">
        <w:rPr>
          <w:rFonts w:eastAsia="Georgia" w:cs="Georgia"/>
          <w:color w:val="auto"/>
          <w:sz w:val="22"/>
        </w:rPr>
        <w:t xml:space="preserve"> </w:t>
      </w:r>
      <w:r w:rsidR="00A53180" w:rsidRPr="00A53180">
        <w:rPr>
          <w:rFonts w:eastAsia="Georgia" w:cs="Georgia"/>
          <w:color w:val="auto"/>
          <w:sz w:val="22"/>
        </w:rPr>
        <w:t xml:space="preserve">of </w:t>
      </w:r>
      <w:r w:rsidR="00A53180">
        <w:rPr>
          <w:rFonts w:eastAsia="Georgia" w:cs="Georgia"/>
          <w:color w:val="auto"/>
          <w:sz w:val="22"/>
        </w:rPr>
        <w:t>maternal death</w:t>
      </w:r>
      <w:r w:rsidR="006711F3">
        <w:rPr>
          <w:rFonts w:eastAsia="Georgia" w:cs="Georgia"/>
          <w:color w:val="auto"/>
          <w:sz w:val="22"/>
        </w:rPr>
        <w:t>s</w:t>
      </w:r>
      <w:r w:rsidR="00A53180" w:rsidRPr="00A53180">
        <w:rPr>
          <w:rFonts w:eastAsia="Georgia" w:cs="Georgia"/>
          <w:color w:val="auto"/>
          <w:sz w:val="22"/>
        </w:rPr>
        <w:t>.</w:t>
      </w:r>
      <w:r w:rsidR="00A53180">
        <w:rPr>
          <w:rFonts w:eastAsia="Georgia" w:cs="Georgia"/>
          <w:color w:val="auto"/>
          <w:sz w:val="22"/>
        </w:rPr>
        <w:t xml:space="preserve"> </w:t>
      </w:r>
      <w:r w:rsidRPr="00233F8B">
        <w:rPr>
          <w:rFonts w:eastAsia="Georgia" w:cs="Georgia"/>
          <w:color w:val="auto"/>
          <w:sz w:val="22"/>
        </w:rPr>
        <w:t xml:space="preserve">In addition, the coverage of antenatal clinics remains too low for pregnant women: only 59% of pregnant women had their first antenatal care </w:t>
      </w:r>
      <w:r w:rsidR="00F13AE9">
        <w:rPr>
          <w:rFonts w:eastAsia="Georgia" w:cs="Georgia"/>
          <w:color w:val="auto"/>
          <w:sz w:val="22"/>
        </w:rPr>
        <w:t xml:space="preserve">(ANC) </w:t>
      </w:r>
      <w:r w:rsidRPr="00233F8B">
        <w:rPr>
          <w:rFonts w:eastAsia="Georgia" w:cs="Georgia"/>
          <w:color w:val="auto"/>
          <w:sz w:val="22"/>
        </w:rPr>
        <w:t xml:space="preserve">visit in the first trimester and 47% had at least the 4 standard visits (RDHS </w:t>
      </w:r>
      <w:r w:rsidR="00504D06">
        <w:rPr>
          <w:rFonts w:eastAsia="Georgia" w:cs="Georgia"/>
          <w:color w:val="auto"/>
          <w:sz w:val="22"/>
        </w:rPr>
        <w:t>2019-</w:t>
      </w:r>
      <w:r w:rsidRPr="00233F8B">
        <w:rPr>
          <w:rFonts w:eastAsia="Georgia" w:cs="Georgia"/>
          <w:color w:val="auto"/>
          <w:sz w:val="22"/>
        </w:rPr>
        <w:t>2020)</w:t>
      </w:r>
      <w:r w:rsidR="006711F3">
        <w:rPr>
          <w:rFonts w:eastAsia="Georgia" w:cs="Georgia"/>
          <w:color w:val="auto"/>
          <w:sz w:val="22"/>
        </w:rPr>
        <w:t xml:space="preserve"> as per WHO’s recommendations</w:t>
      </w:r>
      <w:r w:rsidRPr="00233F8B">
        <w:rPr>
          <w:rFonts w:eastAsia="Georgia" w:cs="Georgia"/>
          <w:color w:val="auto"/>
          <w:sz w:val="22"/>
        </w:rPr>
        <w:t>.</w:t>
      </w:r>
      <w:r w:rsidR="00292007">
        <w:rPr>
          <w:rFonts w:eastAsia="Georgia" w:cs="Georgia"/>
          <w:color w:val="auto"/>
          <w:sz w:val="22"/>
        </w:rPr>
        <w:t xml:space="preserve"> Looking at postnatal care</w:t>
      </w:r>
      <w:r w:rsidR="00417B6B">
        <w:rPr>
          <w:rFonts w:eastAsia="Georgia" w:cs="Georgia"/>
          <w:color w:val="auto"/>
          <w:sz w:val="22"/>
        </w:rPr>
        <w:t xml:space="preserve"> </w:t>
      </w:r>
      <w:r w:rsidR="00CD2FB6">
        <w:rPr>
          <w:rFonts w:eastAsia="Georgia" w:cs="Georgia"/>
          <w:color w:val="auto"/>
          <w:sz w:val="22"/>
        </w:rPr>
        <w:t xml:space="preserve">(PNC) </w:t>
      </w:r>
      <w:r w:rsidR="00417B6B">
        <w:rPr>
          <w:rFonts w:eastAsia="Georgia" w:cs="Georgia"/>
          <w:color w:val="auto"/>
          <w:sz w:val="22"/>
        </w:rPr>
        <w:t xml:space="preserve">and according to the </w:t>
      </w:r>
      <w:r w:rsidR="00417B6B" w:rsidRPr="00417B6B">
        <w:rPr>
          <w:rFonts w:eastAsia="Georgia" w:cs="Georgia"/>
          <w:color w:val="auto"/>
          <w:sz w:val="22"/>
        </w:rPr>
        <w:t>Rwanda Maternal Child and Community Health (MCCH) annual report 2021-2022</w:t>
      </w:r>
      <w:r w:rsidR="00DC70EE">
        <w:rPr>
          <w:rFonts w:eastAsia="Georgia" w:cs="Georgia"/>
          <w:color w:val="auto"/>
          <w:sz w:val="22"/>
        </w:rPr>
        <w:t xml:space="preserve">, </w:t>
      </w:r>
      <w:r w:rsidR="00F53773">
        <w:rPr>
          <w:rFonts w:eastAsia="Georgia" w:cs="Georgia"/>
          <w:color w:val="auto"/>
          <w:sz w:val="22"/>
        </w:rPr>
        <w:t xml:space="preserve">as </w:t>
      </w:r>
      <w:proofErr w:type="gramStart"/>
      <w:r w:rsidR="00F53773">
        <w:rPr>
          <w:rFonts w:eastAsia="Georgia" w:cs="Georgia"/>
          <w:color w:val="auto"/>
          <w:sz w:val="22"/>
        </w:rPr>
        <w:t xml:space="preserve">the </w:t>
      </w:r>
      <w:r w:rsidR="00CD2FB6" w:rsidRPr="00CD2FB6">
        <w:rPr>
          <w:rFonts w:eastAsia="Georgia" w:cs="Georgia"/>
          <w:color w:val="auto"/>
          <w:sz w:val="22"/>
        </w:rPr>
        <w:t>majority of</w:t>
      </w:r>
      <w:proofErr w:type="gramEnd"/>
      <w:r w:rsidR="00CD2FB6" w:rsidRPr="00CD2FB6">
        <w:rPr>
          <w:rFonts w:eastAsia="Georgia" w:cs="Georgia"/>
          <w:color w:val="auto"/>
          <w:sz w:val="22"/>
        </w:rPr>
        <w:t xml:space="preserve"> women deliver their babies in a health facility the proportion of mothers and babies who receive the first PNC screening is above 90%</w:t>
      </w:r>
      <w:r w:rsidR="006711F3">
        <w:rPr>
          <w:rFonts w:eastAsia="Georgia" w:cs="Georgia"/>
          <w:color w:val="auto"/>
          <w:sz w:val="22"/>
        </w:rPr>
        <w:t>,</w:t>
      </w:r>
      <w:r w:rsidR="00F53773">
        <w:rPr>
          <w:rFonts w:eastAsia="Georgia" w:cs="Georgia"/>
          <w:color w:val="auto"/>
          <w:sz w:val="22"/>
        </w:rPr>
        <w:t xml:space="preserve"> but then t</w:t>
      </w:r>
      <w:r w:rsidR="00CD2FB6" w:rsidRPr="00CD2FB6">
        <w:rPr>
          <w:rFonts w:eastAsia="Georgia" w:cs="Georgia"/>
          <w:color w:val="auto"/>
          <w:sz w:val="22"/>
        </w:rPr>
        <w:t>here is drop-out between PNC1 and PNC4</w:t>
      </w:r>
      <w:r w:rsidR="00F53773">
        <w:rPr>
          <w:rFonts w:eastAsia="Georgia" w:cs="Georgia"/>
          <w:color w:val="auto"/>
          <w:sz w:val="22"/>
        </w:rPr>
        <w:t xml:space="preserve"> from 92% to </w:t>
      </w:r>
      <w:r w:rsidR="0001766B">
        <w:rPr>
          <w:rFonts w:eastAsia="Georgia" w:cs="Georgia"/>
          <w:color w:val="auto"/>
          <w:sz w:val="22"/>
        </w:rPr>
        <w:t xml:space="preserve">62%. </w:t>
      </w:r>
      <w:r w:rsidR="00170482">
        <w:rPr>
          <w:rFonts w:eastAsia="Georgia" w:cs="Georgia"/>
          <w:color w:val="auto"/>
          <w:sz w:val="22"/>
        </w:rPr>
        <w:t xml:space="preserve">Another challenge pointed by </w:t>
      </w:r>
      <w:r w:rsidR="00E42914">
        <w:rPr>
          <w:rFonts w:eastAsia="Georgia" w:cs="Georgia"/>
          <w:color w:val="auto"/>
          <w:sz w:val="22"/>
        </w:rPr>
        <w:t>MCCH</w:t>
      </w:r>
      <w:r w:rsidR="0001766B">
        <w:rPr>
          <w:rFonts w:eastAsia="Georgia" w:cs="Georgia"/>
          <w:color w:val="auto"/>
          <w:sz w:val="22"/>
        </w:rPr>
        <w:t xml:space="preserve"> </w:t>
      </w:r>
      <w:r w:rsidR="00170482">
        <w:rPr>
          <w:rFonts w:eastAsia="Georgia" w:cs="Georgia"/>
          <w:color w:val="auto"/>
          <w:sz w:val="22"/>
        </w:rPr>
        <w:t xml:space="preserve">annual report 2021-2022 is the low performance </w:t>
      </w:r>
      <w:r w:rsidR="007F452F">
        <w:rPr>
          <w:rFonts w:eastAsia="Georgia" w:cs="Georgia"/>
          <w:color w:val="auto"/>
          <w:sz w:val="22"/>
        </w:rPr>
        <w:t xml:space="preserve">in post-partum family planning with only </w:t>
      </w:r>
      <w:r w:rsidR="00170482" w:rsidRPr="00170482">
        <w:rPr>
          <w:rFonts w:eastAsia="Georgia" w:cs="Georgia"/>
          <w:color w:val="auto"/>
          <w:sz w:val="22"/>
        </w:rPr>
        <w:t xml:space="preserve">59% </w:t>
      </w:r>
      <w:r w:rsidR="007F452F">
        <w:rPr>
          <w:rFonts w:eastAsia="Georgia" w:cs="Georgia"/>
          <w:color w:val="auto"/>
          <w:sz w:val="22"/>
        </w:rPr>
        <w:t>of mothers</w:t>
      </w:r>
      <w:r w:rsidR="0001766B">
        <w:rPr>
          <w:rFonts w:eastAsia="Georgia" w:cs="Georgia"/>
          <w:color w:val="auto"/>
          <w:sz w:val="22"/>
        </w:rPr>
        <w:t xml:space="preserve"> that</w:t>
      </w:r>
      <w:r w:rsidR="008A7E73">
        <w:rPr>
          <w:rFonts w:eastAsia="Georgia" w:cs="Georgia"/>
          <w:color w:val="auto"/>
          <w:sz w:val="22"/>
        </w:rPr>
        <w:t xml:space="preserve"> have</w:t>
      </w:r>
      <w:r w:rsidR="007F452F">
        <w:rPr>
          <w:rFonts w:eastAsia="Georgia" w:cs="Georgia"/>
          <w:color w:val="auto"/>
          <w:sz w:val="22"/>
        </w:rPr>
        <w:t xml:space="preserve"> </w:t>
      </w:r>
      <w:r w:rsidR="00170482" w:rsidRPr="00170482">
        <w:rPr>
          <w:rFonts w:eastAsia="Georgia" w:cs="Georgia"/>
          <w:color w:val="auto"/>
          <w:sz w:val="22"/>
        </w:rPr>
        <w:t xml:space="preserve">received </w:t>
      </w:r>
      <w:r w:rsidR="007F452F">
        <w:rPr>
          <w:rFonts w:eastAsia="Georgia" w:cs="Georgia"/>
          <w:color w:val="auto"/>
          <w:sz w:val="22"/>
        </w:rPr>
        <w:t>it</w:t>
      </w:r>
      <w:r w:rsidR="00170482" w:rsidRPr="00170482">
        <w:rPr>
          <w:rFonts w:eastAsia="Georgia" w:cs="Georgia"/>
          <w:color w:val="auto"/>
          <w:sz w:val="22"/>
        </w:rPr>
        <w:t xml:space="preserve"> before discharge.</w:t>
      </w:r>
    </w:p>
    <w:p w14:paraId="254171BA" w14:textId="070BCFAA" w:rsidR="00F44C4D" w:rsidRDefault="00F44C4D" w:rsidP="00EC5477">
      <w:pPr>
        <w:spacing w:line="360" w:lineRule="auto"/>
        <w:jc w:val="both"/>
        <w:rPr>
          <w:rFonts w:eastAsia="Georgia" w:cs="Georgia"/>
          <w:color w:val="auto"/>
          <w:sz w:val="22"/>
          <w:u w:val="single"/>
        </w:rPr>
      </w:pPr>
      <w:r w:rsidRPr="00F44C4D">
        <w:rPr>
          <w:rFonts w:eastAsia="Georgia" w:cs="Georgia"/>
          <w:color w:val="auto"/>
          <w:sz w:val="22"/>
          <w:u w:val="single"/>
        </w:rPr>
        <w:t>Adolescent and sexual and reproductive health</w:t>
      </w:r>
      <w:r w:rsidR="008144E9">
        <w:rPr>
          <w:rFonts w:eastAsia="Georgia" w:cs="Georgia"/>
          <w:color w:val="auto"/>
          <w:sz w:val="22"/>
          <w:u w:val="single"/>
        </w:rPr>
        <w:t xml:space="preserve"> (ASRH)</w:t>
      </w:r>
    </w:p>
    <w:p w14:paraId="4821F56D" w14:textId="7D8A5957" w:rsidR="00255BDC" w:rsidRPr="00255BDC" w:rsidRDefault="00255BDC" w:rsidP="00255BDC">
      <w:pPr>
        <w:spacing w:line="360" w:lineRule="auto"/>
        <w:jc w:val="both"/>
        <w:rPr>
          <w:rFonts w:eastAsia="Georgia" w:cs="Georgia"/>
          <w:color w:val="auto"/>
          <w:sz w:val="22"/>
        </w:rPr>
      </w:pPr>
      <w:r w:rsidRPr="00255BDC">
        <w:rPr>
          <w:rFonts w:eastAsia="Georgia" w:cs="Georgia"/>
          <w:color w:val="auto"/>
          <w:sz w:val="22"/>
        </w:rPr>
        <w:t xml:space="preserve">In Rwanda, efforts to attain quality SRH services are still constrained by inadequate access, </w:t>
      </w:r>
      <w:proofErr w:type="gramStart"/>
      <w:r w:rsidRPr="00255BDC">
        <w:rPr>
          <w:rFonts w:eastAsia="Georgia" w:cs="Georgia"/>
          <w:color w:val="auto"/>
          <w:sz w:val="22"/>
        </w:rPr>
        <w:t>availability</w:t>
      </w:r>
      <w:proofErr w:type="gramEnd"/>
      <w:r w:rsidRPr="00255BDC">
        <w:rPr>
          <w:rFonts w:eastAsia="Georgia" w:cs="Georgia"/>
          <w:color w:val="auto"/>
          <w:sz w:val="22"/>
        </w:rPr>
        <w:t xml:space="preserve"> </w:t>
      </w:r>
      <w:r w:rsidR="00997368">
        <w:rPr>
          <w:rFonts w:eastAsia="Georgia" w:cs="Georgia"/>
          <w:color w:val="auto"/>
          <w:sz w:val="22"/>
        </w:rPr>
        <w:t xml:space="preserve">and use of </w:t>
      </w:r>
      <w:r w:rsidRPr="00255BDC">
        <w:rPr>
          <w:rFonts w:eastAsia="Georgia" w:cs="Georgia"/>
          <w:color w:val="auto"/>
          <w:sz w:val="22"/>
        </w:rPr>
        <w:t>SRH services</w:t>
      </w:r>
      <w:r w:rsidR="00997368">
        <w:rPr>
          <w:rFonts w:eastAsia="Georgia" w:cs="Georgia"/>
          <w:color w:val="auto"/>
          <w:sz w:val="22"/>
        </w:rPr>
        <w:t>.</w:t>
      </w:r>
      <w:r w:rsidRPr="00255BDC">
        <w:rPr>
          <w:rFonts w:eastAsia="Georgia" w:cs="Georgia"/>
          <w:color w:val="auto"/>
          <w:sz w:val="22"/>
        </w:rPr>
        <w:t xml:space="preserve"> According to the study conducted in Rwanda about availability, accessibility, and quality of SRHS (Ndayishimiye et al., 2020) and the policy brief (2019) formulated by the Health Development Initiative about expanding Adolescents and Youth Access to Sexual and Reproductive Health Services in Rwanda</w:t>
      </w:r>
      <w:r w:rsidR="008A7E73">
        <w:rPr>
          <w:rFonts w:eastAsia="Georgia" w:cs="Georgia"/>
          <w:color w:val="auto"/>
          <w:sz w:val="22"/>
        </w:rPr>
        <w:t>,</w:t>
      </w:r>
      <w:r w:rsidRPr="00255BDC">
        <w:rPr>
          <w:rFonts w:eastAsia="Georgia" w:cs="Georgia"/>
          <w:color w:val="auto"/>
          <w:sz w:val="22"/>
        </w:rPr>
        <w:t xml:space="preserve"> the major challenges concerning the quality of </w:t>
      </w:r>
      <w:r w:rsidR="005E01EE">
        <w:rPr>
          <w:rFonts w:eastAsia="Georgia" w:cs="Georgia"/>
          <w:color w:val="auto"/>
          <w:sz w:val="22"/>
        </w:rPr>
        <w:t>ASRH</w:t>
      </w:r>
      <w:r w:rsidRPr="00255BDC">
        <w:rPr>
          <w:rFonts w:eastAsia="Georgia" w:cs="Georgia"/>
          <w:color w:val="auto"/>
          <w:sz w:val="22"/>
        </w:rPr>
        <w:t xml:space="preserve"> services at Youth</w:t>
      </w:r>
      <w:r w:rsidR="008A7E73">
        <w:rPr>
          <w:rFonts w:eastAsia="Georgia" w:cs="Georgia"/>
          <w:color w:val="auto"/>
          <w:sz w:val="22"/>
        </w:rPr>
        <w:t xml:space="preserve"> Corners </w:t>
      </w:r>
      <w:r w:rsidRPr="00255BDC">
        <w:rPr>
          <w:rFonts w:eastAsia="Georgia" w:cs="Georgia"/>
          <w:color w:val="auto"/>
          <w:sz w:val="22"/>
        </w:rPr>
        <w:t xml:space="preserve"> </w:t>
      </w:r>
      <w:r w:rsidR="008A7E73">
        <w:rPr>
          <w:rFonts w:eastAsia="Georgia" w:cs="Georgia"/>
          <w:color w:val="auto"/>
          <w:sz w:val="22"/>
        </w:rPr>
        <w:t xml:space="preserve">are: </w:t>
      </w:r>
      <w:r>
        <w:rPr>
          <w:rFonts w:eastAsia="Georgia" w:cs="Georgia"/>
          <w:color w:val="auto"/>
          <w:sz w:val="22"/>
        </w:rPr>
        <w:t>l</w:t>
      </w:r>
      <w:r w:rsidRPr="00255BDC">
        <w:rPr>
          <w:rFonts w:eastAsia="Georgia" w:cs="Georgia"/>
          <w:color w:val="auto"/>
          <w:sz w:val="22"/>
        </w:rPr>
        <w:t>ack of permanent funds and rely on support from external partners with risk to interrupt planned activities</w:t>
      </w:r>
      <w:r>
        <w:rPr>
          <w:rFonts w:eastAsia="Georgia" w:cs="Georgia"/>
          <w:color w:val="auto"/>
          <w:sz w:val="22"/>
        </w:rPr>
        <w:t>, p</w:t>
      </w:r>
      <w:r w:rsidRPr="00255BDC">
        <w:rPr>
          <w:rFonts w:eastAsia="Georgia" w:cs="Georgia"/>
          <w:color w:val="auto"/>
          <w:sz w:val="22"/>
        </w:rPr>
        <w:t>oor follow</w:t>
      </w:r>
      <w:r w:rsidR="008A7E73">
        <w:rPr>
          <w:rFonts w:eastAsia="Georgia" w:cs="Georgia"/>
          <w:color w:val="auto"/>
          <w:sz w:val="22"/>
        </w:rPr>
        <w:t>-</w:t>
      </w:r>
      <w:r w:rsidRPr="00255BDC">
        <w:rPr>
          <w:rFonts w:eastAsia="Georgia" w:cs="Georgia"/>
          <w:color w:val="auto"/>
          <w:sz w:val="22"/>
        </w:rPr>
        <w:t xml:space="preserve">up of the youth beyond the location of </w:t>
      </w:r>
      <w:r>
        <w:rPr>
          <w:rFonts w:eastAsia="Georgia" w:cs="Georgia"/>
          <w:color w:val="auto"/>
          <w:sz w:val="22"/>
        </w:rPr>
        <w:t>Youth</w:t>
      </w:r>
      <w:r w:rsidR="008A7E73">
        <w:rPr>
          <w:rFonts w:eastAsia="Georgia" w:cs="Georgia"/>
          <w:color w:val="auto"/>
          <w:sz w:val="22"/>
        </w:rPr>
        <w:t>-</w:t>
      </w:r>
      <w:r>
        <w:rPr>
          <w:rFonts w:eastAsia="Georgia" w:cs="Georgia"/>
          <w:color w:val="auto"/>
          <w:sz w:val="22"/>
        </w:rPr>
        <w:t>friendly services</w:t>
      </w:r>
      <w:r w:rsidR="00A13DD6">
        <w:rPr>
          <w:rFonts w:eastAsia="Georgia" w:cs="Georgia"/>
          <w:color w:val="auto"/>
          <w:sz w:val="22"/>
        </w:rPr>
        <w:t>, i</w:t>
      </w:r>
      <w:r w:rsidRPr="00255BDC">
        <w:rPr>
          <w:rFonts w:eastAsia="Georgia" w:cs="Georgia"/>
          <w:color w:val="auto"/>
          <w:sz w:val="22"/>
        </w:rPr>
        <w:t xml:space="preserve">nsufficient package offered to </w:t>
      </w:r>
      <w:r w:rsidR="00A13DD6">
        <w:rPr>
          <w:rFonts w:eastAsia="Georgia" w:cs="Georgia"/>
          <w:color w:val="auto"/>
          <w:sz w:val="22"/>
        </w:rPr>
        <w:t xml:space="preserve">youths, unclear regulations, </w:t>
      </w:r>
      <w:r w:rsidR="001F147F">
        <w:rPr>
          <w:rFonts w:eastAsia="Georgia" w:cs="Georgia"/>
          <w:color w:val="auto"/>
          <w:sz w:val="22"/>
        </w:rPr>
        <w:t xml:space="preserve">and the use of availability of </w:t>
      </w:r>
      <w:r w:rsidR="00997368">
        <w:rPr>
          <w:rFonts w:eastAsia="Georgia" w:cs="Georgia"/>
          <w:color w:val="auto"/>
          <w:sz w:val="22"/>
        </w:rPr>
        <w:t>A</w:t>
      </w:r>
      <w:r w:rsidR="001F147F">
        <w:rPr>
          <w:rFonts w:eastAsia="Georgia" w:cs="Georgia"/>
          <w:color w:val="auto"/>
          <w:sz w:val="22"/>
        </w:rPr>
        <w:t xml:space="preserve">SRH services </w:t>
      </w:r>
      <w:r w:rsidR="00997368">
        <w:rPr>
          <w:rFonts w:eastAsia="Georgia" w:cs="Georgia"/>
          <w:color w:val="auto"/>
          <w:sz w:val="22"/>
        </w:rPr>
        <w:t>(</w:t>
      </w:r>
      <w:r w:rsidR="005E01EE">
        <w:rPr>
          <w:rFonts w:eastAsia="Georgia" w:cs="Georgia"/>
          <w:color w:val="auto"/>
          <w:sz w:val="22"/>
        </w:rPr>
        <w:t>accessibility</w:t>
      </w:r>
      <w:r w:rsidR="00997368">
        <w:rPr>
          <w:rFonts w:eastAsia="Georgia" w:cs="Georgia"/>
          <w:color w:val="auto"/>
          <w:sz w:val="22"/>
        </w:rPr>
        <w:t>, stigma, fears, poor knowledge, etc.)</w:t>
      </w:r>
      <w:r w:rsidR="005E01EE">
        <w:rPr>
          <w:rFonts w:eastAsia="Georgia" w:cs="Georgia"/>
          <w:color w:val="auto"/>
          <w:sz w:val="22"/>
        </w:rPr>
        <w:t>.</w:t>
      </w:r>
    </w:p>
    <w:p w14:paraId="2A73C745" w14:textId="6AB826C4" w:rsidR="00F44C4D" w:rsidRDefault="00DC20D2" w:rsidP="00BB7797">
      <w:pPr>
        <w:spacing w:line="360" w:lineRule="auto"/>
        <w:jc w:val="both"/>
        <w:rPr>
          <w:rFonts w:eastAsia="Georgia" w:cs="Georgia"/>
          <w:color w:val="auto"/>
          <w:sz w:val="22"/>
        </w:rPr>
      </w:pPr>
      <w:r w:rsidRPr="00DC20D2">
        <w:rPr>
          <w:rFonts w:eastAsia="Georgia" w:cs="Georgia"/>
          <w:color w:val="auto"/>
          <w:sz w:val="22"/>
        </w:rPr>
        <w:t>Teenage pregnancy is a major health concern because of its association with higher morbidity and</w:t>
      </w:r>
      <w:r>
        <w:rPr>
          <w:rFonts w:eastAsia="Georgia" w:cs="Georgia"/>
          <w:color w:val="auto"/>
          <w:sz w:val="22"/>
        </w:rPr>
        <w:t xml:space="preserve"> </w:t>
      </w:r>
      <w:r w:rsidRPr="00DC20D2">
        <w:rPr>
          <w:rFonts w:eastAsia="Georgia" w:cs="Georgia"/>
          <w:color w:val="auto"/>
          <w:sz w:val="22"/>
        </w:rPr>
        <w:t xml:space="preserve">mortality for both the </w:t>
      </w:r>
      <w:r w:rsidR="008A7E73">
        <w:rPr>
          <w:rFonts w:eastAsia="Georgia" w:cs="Georgia"/>
          <w:color w:val="auto"/>
          <w:sz w:val="22"/>
        </w:rPr>
        <w:t xml:space="preserve">young </w:t>
      </w:r>
      <w:r w:rsidRPr="00DC20D2">
        <w:rPr>
          <w:rFonts w:eastAsia="Georgia" w:cs="Georgia"/>
          <w:color w:val="auto"/>
          <w:sz w:val="22"/>
        </w:rPr>
        <w:t>mother and the child. Childbearing during adolescence is known to have adverse</w:t>
      </w:r>
      <w:r>
        <w:rPr>
          <w:rFonts w:eastAsia="Georgia" w:cs="Georgia"/>
          <w:color w:val="auto"/>
          <w:sz w:val="22"/>
        </w:rPr>
        <w:t xml:space="preserve"> </w:t>
      </w:r>
      <w:r w:rsidRPr="00DC20D2">
        <w:rPr>
          <w:rFonts w:eastAsia="Georgia" w:cs="Georgia"/>
          <w:color w:val="auto"/>
          <w:sz w:val="22"/>
        </w:rPr>
        <w:t>social consequences, particularly regarding educational attainment, as women who become mothers in</w:t>
      </w:r>
      <w:r>
        <w:rPr>
          <w:rFonts w:eastAsia="Georgia" w:cs="Georgia"/>
          <w:color w:val="auto"/>
          <w:sz w:val="22"/>
        </w:rPr>
        <w:t xml:space="preserve"> </w:t>
      </w:r>
      <w:r w:rsidRPr="00DC20D2">
        <w:rPr>
          <w:rFonts w:eastAsia="Georgia" w:cs="Georgia"/>
          <w:color w:val="auto"/>
          <w:sz w:val="22"/>
        </w:rPr>
        <w:t>their teens are more likely to drop</w:t>
      </w:r>
      <w:r w:rsidR="008A7E73">
        <w:rPr>
          <w:rFonts w:eastAsia="Georgia" w:cs="Georgia"/>
          <w:color w:val="auto"/>
          <w:sz w:val="22"/>
        </w:rPr>
        <w:t>-</w:t>
      </w:r>
      <w:r w:rsidRPr="00DC20D2">
        <w:rPr>
          <w:rFonts w:eastAsia="Georgia" w:cs="Georgia"/>
          <w:color w:val="auto"/>
          <w:sz w:val="22"/>
        </w:rPr>
        <w:t xml:space="preserve">out of school. In Rwanda, </w:t>
      </w:r>
      <w:r>
        <w:rPr>
          <w:rFonts w:eastAsia="Georgia" w:cs="Georgia"/>
          <w:color w:val="auto"/>
          <w:sz w:val="22"/>
        </w:rPr>
        <w:t xml:space="preserve">according to the RDHS 2019-2020, </w:t>
      </w:r>
      <w:r w:rsidRPr="00DC20D2">
        <w:rPr>
          <w:rFonts w:eastAsia="Georgia" w:cs="Georgia"/>
          <w:color w:val="auto"/>
          <w:sz w:val="22"/>
        </w:rPr>
        <w:t>5% of women age</w:t>
      </w:r>
      <w:r w:rsidR="008A7E73">
        <w:rPr>
          <w:rFonts w:eastAsia="Georgia" w:cs="Georgia"/>
          <w:color w:val="auto"/>
          <w:sz w:val="22"/>
        </w:rPr>
        <w:t>d</w:t>
      </w:r>
      <w:r w:rsidRPr="00DC20D2">
        <w:rPr>
          <w:rFonts w:eastAsia="Georgia" w:cs="Georgia"/>
          <w:color w:val="auto"/>
          <w:sz w:val="22"/>
        </w:rPr>
        <w:t xml:space="preserve"> 15-19</w:t>
      </w:r>
      <w:r w:rsidR="008A7E73">
        <w:rPr>
          <w:rFonts w:eastAsia="Georgia" w:cs="Georgia"/>
          <w:color w:val="auto"/>
          <w:sz w:val="22"/>
        </w:rPr>
        <w:t xml:space="preserve"> years</w:t>
      </w:r>
      <w:r w:rsidRPr="00DC20D2">
        <w:rPr>
          <w:rFonts w:eastAsia="Georgia" w:cs="Georgia"/>
          <w:color w:val="auto"/>
          <w:sz w:val="22"/>
        </w:rPr>
        <w:t xml:space="preserve"> have begun</w:t>
      </w:r>
      <w:r>
        <w:rPr>
          <w:rFonts w:eastAsia="Georgia" w:cs="Georgia"/>
          <w:color w:val="auto"/>
          <w:sz w:val="22"/>
        </w:rPr>
        <w:t xml:space="preserve"> </w:t>
      </w:r>
      <w:r w:rsidRPr="00DC20D2">
        <w:rPr>
          <w:rFonts w:eastAsia="Georgia" w:cs="Georgia"/>
          <w:color w:val="auto"/>
          <w:sz w:val="22"/>
        </w:rPr>
        <w:t>childbearing</w:t>
      </w:r>
      <w:r>
        <w:rPr>
          <w:rFonts w:eastAsia="Georgia" w:cs="Georgia"/>
          <w:color w:val="auto"/>
          <w:sz w:val="22"/>
        </w:rPr>
        <w:t>.</w:t>
      </w:r>
      <w:r w:rsidR="00834C4C">
        <w:rPr>
          <w:rFonts w:eastAsia="Georgia" w:cs="Georgia"/>
          <w:color w:val="auto"/>
          <w:sz w:val="22"/>
        </w:rPr>
        <w:t xml:space="preserve"> </w:t>
      </w:r>
      <w:r w:rsidR="00BB7797">
        <w:rPr>
          <w:rFonts w:eastAsia="Georgia" w:cs="Georgia"/>
          <w:color w:val="auto"/>
          <w:sz w:val="22"/>
        </w:rPr>
        <w:t>Regarding to the la</w:t>
      </w:r>
      <w:r w:rsidR="008A7E73">
        <w:rPr>
          <w:rFonts w:eastAsia="Georgia" w:cs="Georgia"/>
          <w:color w:val="auto"/>
          <w:sz w:val="22"/>
        </w:rPr>
        <w:t xml:space="preserve">test </w:t>
      </w:r>
      <w:r w:rsidR="00BB7797">
        <w:rPr>
          <w:rFonts w:eastAsia="Georgia" w:cs="Georgia"/>
          <w:color w:val="auto"/>
          <w:sz w:val="22"/>
        </w:rPr>
        <w:t>MCCH annual report, t</w:t>
      </w:r>
      <w:r w:rsidR="00BB7797" w:rsidRPr="00BB7797">
        <w:rPr>
          <w:rFonts w:eastAsia="Georgia" w:cs="Georgia"/>
          <w:color w:val="auto"/>
          <w:sz w:val="22"/>
        </w:rPr>
        <w:t xml:space="preserve">he proportion of </w:t>
      </w:r>
      <w:proofErr w:type="gramStart"/>
      <w:r w:rsidR="00BB7797" w:rsidRPr="00BB7797">
        <w:rPr>
          <w:rFonts w:eastAsia="Georgia" w:cs="Georgia"/>
          <w:color w:val="auto"/>
          <w:sz w:val="22"/>
        </w:rPr>
        <w:t>under</w:t>
      </w:r>
      <w:r w:rsidR="008A7E73">
        <w:rPr>
          <w:rFonts w:eastAsia="Georgia" w:cs="Georgia"/>
          <w:color w:val="auto"/>
          <w:sz w:val="22"/>
        </w:rPr>
        <w:t>-</w:t>
      </w:r>
      <w:r w:rsidR="00BB7797" w:rsidRPr="00BB7797">
        <w:rPr>
          <w:rFonts w:eastAsia="Georgia" w:cs="Georgia"/>
          <w:color w:val="auto"/>
          <w:sz w:val="22"/>
        </w:rPr>
        <w:t>20 year old</w:t>
      </w:r>
      <w:proofErr w:type="gramEnd"/>
      <w:r w:rsidR="00BB7797" w:rsidRPr="00BB7797">
        <w:rPr>
          <w:rFonts w:eastAsia="Georgia" w:cs="Georgia"/>
          <w:color w:val="auto"/>
          <w:sz w:val="22"/>
        </w:rPr>
        <w:t xml:space="preserve"> women registered in ANC services for 2021</w:t>
      </w:r>
      <w:r w:rsidR="00BB7797">
        <w:rPr>
          <w:rFonts w:eastAsia="Georgia" w:cs="Georgia"/>
          <w:color w:val="auto"/>
          <w:sz w:val="22"/>
        </w:rPr>
        <w:t>-</w:t>
      </w:r>
      <w:r w:rsidR="00BB7797" w:rsidRPr="00BB7797">
        <w:rPr>
          <w:rFonts w:eastAsia="Georgia" w:cs="Georgia"/>
          <w:color w:val="auto"/>
          <w:sz w:val="22"/>
        </w:rPr>
        <w:t>2022 was 9%.</w:t>
      </w:r>
    </w:p>
    <w:p w14:paraId="552B326B" w14:textId="19662DC3" w:rsidR="000C7D9F" w:rsidRDefault="000C7D9F" w:rsidP="00BB7797">
      <w:pPr>
        <w:spacing w:line="360" w:lineRule="auto"/>
        <w:jc w:val="both"/>
        <w:rPr>
          <w:rFonts w:eastAsia="Georgia" w:cs="Georgia"/>
          <w:color w:val="auto"/>
          <w:sz w:val="22"/>
          <w:u w:val="single"/>
        </w:rPr>
      </w:pPr>
      <w:r w:rsidRPr="009964B7">
        <w:rPr>
          <w:rFonts w:eastAsia="Georgia" w:cs="Georgia"/>
          <w:color w:val="auto"/>
          <w:sz w:val="22"/>
          <w:u w:val="single"/>
        </w:rPr>
        <w:t xml:space="preserve">Awareness </w:t>
      </w:r>
      <w:r w:rsidR="009964B7">
        <w:rPr>
          <w:rFonts w:eastAsia="Georgia" w:cs="Georgia"/>
          <w:color w:val="auto"/>
          <w:sz w:val="22"/>
          <w:u w:val="single"/>
        </w:rPr>
        <w:t>communication strategies</w:t>
      </w:r>
    </w:p>
    <w:p w14:paraId="67D05DDF" w14:textId="08772518" w:rsidR="00C62E13" w:rsidRPr="00C62E13" w:rsidRDefault="00C62E13" w:rsidP="00C62E13">
      <w:pPr>
        <w:spacing w:line="360" w:lineRule="auto"/>
        <w:jc w:val="both"/>
        <w:rPr>
          <w:rFonts w:eastAsia="Georgia" w:cs="Georgia"/>
          <w:color w:val="auto"/>
          <w:sz w:val="22"/>
        </w:rPr>
      </w:pPr>
      <w:r w:rsidRPr="00C62E13">
        <w:rPr>
          <w:rFonts w:eastAsia="Georgia" w:cs="Georgia"/>
          <w:color w:val="auto"/>
          <w:sz w:val="22"/>
        </w:rPr>
        <w:lastRenderedPageBreak/>
        <w:t xml:space="preserve">Awareness-raising is a process that seeks to inform and educate people about a topic or issue with the intention of influencing their attitudes, </w:t>
      </w:r>
      <w:proofErr w:type="gramStart"/>
      <w:r w:rsidRPr="00C62E13">
        <w:rPr>
          <w:rFonts w:eastAsia="Georgia" w:cs="Georgia"/>
          <w:color w:val="auto"/>
          <w:sz w:val="22"/>
        </w:rPr>
        <w:t>behaviours</w:t>
      </w:r>
      <w:proofErr w:type="gramEnd"/>
      <w:r w:rsidRPr="00C62E13">
        <w:rPr>
          <w:rFonts w:eastAsia="Georgia" w:cs="Georgia"/>
          <w:color w:val="auto"/>
          <w:sz w:val="22"/>
        </w:rPr>
        <w:t xml:space="preserve"> and beliefs towards the achievement of a defined purpose or goal. There are multiple awareness-raising strategies, methods and tools that can be used to convey and spread messages, and to gather the support necessary to influence public opinion.</w:t>
      </w:r>
    </w:p>
    <w:p w14:paraId="3FAE1E2F" w14:textId="6E2484D7" w:rsidR="00C62E13" w:rsidRDefault="00C62E13" w:rsidP="00C62E13">
      <w:pPr>
        <w:spacing w:line="360" w:lineRule="auto"/>
        <w:jc w:val="both"/>
        <w:rPr>
          <w:rFonts w:eastAsia="Georgia" w:cs="Georgia"/>
          <w:color w:val="auto"/>
          <w:sz w:val="22"/>
        </w:rPr>
      </w:pPr>
      <w:r w:rsidRPr="00C62E13">
        <w:rPr>
          <w:rFonts w:eastAsia="Georgia" w:cs="Georgia"/>
          <w:color w:val="auto"/>
          <w:sz w:val="22"/>
        </w:rPr>
        <w:t xml:space="preserve">Awareness about maternal, neonatal, adolescent, sexual and reproductive health matters, is an important step towards gaining access to, and using </w:t>
      </w:r>
      <w:r w:rsidR="008A7E73">
        <w:rPr>
          <w:rFonts w:eastAsia="Georgia" w:cs="Georgia"/>
          <w:color w:val="auto"/>
          <w:sz w:val="22"/>
        </w:rPr>
        <w:t xml:space="preserve">appropriate </w:t>
      </w:r>
      <w:r w:rsidRPr="00C62E13">
        <w:rPr>
          <w:rFonts w:eastAsia="Georgia" w:cs="Georgia"/>
          <w:color w:val="auto"/>
          <w:sz w:val="22"/>
        </w:rPr>
        <w:t xml:space="preserve">health services in a timely and effective manner. </w:t>
      </w:r>
      <w:r w:rsidR="008A7E73">
        <w:rPr>
          <w:rFonts w:eastAsia="Georgia" w:cs="Georgia"/>
          <w:color w:val="auto"/>
          <w:sz w:val="22"/>
        </w:rPr>
        <w:t>L</w:t>
      </w:r>
      <w:r w:rsidRPr="00C62E13">
        <w:rPr>
          <w:rFonts w:eastAsia="Georgia" w:cs="Georgia"/>
          <w:color w:val="auto"/>
          <w:sz w:val="22"/>
        </w:rPr>
        <w:t xml:space="preserve">ack of awareness exposes women, neonates and adolescents to the risk of obstetrical complications, </w:t>
      </w:r>
      <w:r w:rsidR="008A7E73">
        <w:rPr>
          <w:rFonts w:eastAsia="Georgia" w:cs="Georgia"/>
          <w:color w:val="auto"/>
          <w:sz w:val="22"/>
        </w:rPr>
        <w:t>unplanned</w:t>
      </w:r>
      <w:r w:rsidRPr="00C62E13">
        <w:rPr>
          <w:rFonts w:eastAsia="Georgia" w:cs="Georgia"/>
          <w:color w:val="auto"/>
          <w:sz w:val="22"/>
        </w:rPr>
        <w:t xml:space="preserve"> pregnancy, unsafe abortion, teenage delivery, </w:t>
      </w:r>
      <w:proofErr w:type="gramStart"/>
      <w:r w:rsidRPr="00C62E13">
        <w:rPr>
          <w:rFonts w:eastAsia="Georgia" w:cs="Georgia"/>
          <w:color w:val="auto"/>
          <w:sz w:val="22"/>
        </w:rPr>
        <w:t>child bearing</w:t>
      </w:r>
      <w:proofErr w:type="gramEnd"/>
      <w:r w:rsidRPr="00C62E13">
        <w:rPr>
          <w:rFonts w:eastAsia="Georgia" w:cs="Georgia"/>
          <w:color w:val="auto"/>
          <w:sz w:val="22"/>
        </w:rPr>
        <w:t>, school dropout, HIV, and various complications including death.</w:t>
      </w:r>
    </w:p>
    <w:p w14:paraId="76F483DE" w14:textId="4984C997" w:rsidR="0003743F" w:rsidRDefault="00BA6BCA" w:rsidP="00C62E13">
      <w:pPr>
        <w:spacing w:line="360" w:lineRule="auto"/>
        <w:jc w:val="both"/>
        <w:rPr>
          <w:rFonts w:eastAsia="Georgia" w:cs="Georgia"/>
          <w:color w:val="auto"/>
          <w:sz w:val="22"/>
        </w:rPr>
      </w:pPr>
      <w:r>
        <w:rPr>
          <w:rFonts w:eastAsia="Georgia" w:cs="Georgia"/>
          <w:color w:val="auto"/>
          <w:sz w:val="22"/>
        </w:rPr>
        <w:t xml:space="preserve">To be more effective the awareness </w:t>
      </w:r>
      <w:r w:rsidR="004D2B72">
        <w:rPr>
          <w:rFonts w:eastAsia="Georgia" w:cs="Georgia"/>
          <w:color w:val="auto"/>
          <w:sz w:val="22"/>
        </w:rPr>
        <w:t>messages should be tailored to</w:t>
      </w:r>
      <w:r w:rsidRPr="00BA6BCA">
        <w:rPr>
          <w:rFonts w:eastAsia="Georgia" w:cs="Georgia"/>
          <w:color w:val="auto"/>
          <w:sz w:val="22"/>
        </w:rPr>
        <w:t xml:space="preserve"> specific target group</w:t>
      </w:r>
      <w:r w:rsidR="008B4949">
        <w:rPr>
          <w:rFonts w:eastAsia="Georgia" w:cs="Georgia"/>
          <w:color w:val="auto"/>
          <w:sz w:val="22"/>
        </w:rPr>
        <w:t>s</w:t>
      </w:r>
      <w:r w:rsidR="00011CA7">
        <w:rPr>
          <w:rFonts w:eastAsia="Georgia" w:cs="Georgia"/>
          <w:color w:val="auto"/>
          <w:sz w:val="22"/>
        </w:rPr>
        <w:t xml:space="preserve">, should be </w:t>
      </w:r>
      <w:r w:rsidR="008B4949">
        <w:rPr>
          <w:rFonts w:eastAsia="Georgia" w:cs="Georgia"/>
          <w:color w:val="auto"/>
          <w:sz w:val="22"/>
        </w:rPr>
        <w:t>relevant</w:t>
      </w:r>
      <w:r w:rsidR="00011CA7">
        <w:rPr>
          <w:rFonts w:eastAsia="Georgia" w:cs="Georgia"/>
          <w:color w:val="auto"/>
          <w:sz w:val="22"/>
        </w:rPr>
        <w:t xml:space="preserve"> to</w:t>
      </w:r>
      <w:r w:rsidRPr="00BA6BCA">
        <w:rPr>
          <w:rFonts w:eastAsia="Georgia" w:cs="Georgia"/>
          <w:color w:val="auto"/>
          <w:sz w:val="22"/>
        </w:rPr>
        <w:t xml:space="preserve"> the local or national context</w:t>
      </w:r>
      <w:r w:rsidR="00011CA7">
        <w:rPr>
          <w:rFonts w:eastAsia="Georgia" w:cs="Georgia"/>
          <w:color w:val="auto"/>
          <w:sz w:val="22"/>
        </w:rPr>
        <w:t xml:space="preserve">, should use </w:t>
      </w:r>
      <w:r w:rsidRPr="00BA6BCA">
        <w:rPr>
          <w:rFonts w:eastAsia="Georgia" w:cs="Georgia"/>
          <w:color w:val="auto"/>
          <w:sz w:val="22"/>
        </w:rPr>
        <w:t>evidence-based data</w:t>
      </w:r>
      <w:r w:rsidR="006C7E90">
        <w:rPr>
          <w:rFonts w:eastAsia="Georgia" w:cs="Georgia"/>
          <w:color w:val="auto"/>
          <w:sz w:val="22"/>
        </w:rPr>
        <w:t xml:space="preserve"> and include </w:t>
      </w:r>
      <w:r w:rsidRPr="00BA6BCA">
        <w:rPr>
          <w:rFonts w:eastAsia="Georgia" w:cs="Georgia"/>
          <w:color w:val="auto"/>
          <w:sz w:val="22"/>
        </w:rPr>
        <w:t>stories telling to connect with people on a deeper emotional level and to motivate them to take action</w:t>
      </w:r>
      <w:r w:rsidR="008A7E73">
        <w:rPr>
          <w:rFonts w:eastAsia="Georgia" w:cs="Georgia"/>
          <w:color w:val="auto"/>
          <w:sz w:val="22"/>
        </w:rPr>
        <w:t>s</w:t>
      </w:r>
      <w:r w:rsidRPr="00BA6BCA">
        <w:rPr>
          <w:rFonts w:eastAsia="Georgia" w:cs="Georgia"/>
          <w:color w:val="auto"/>
          <w:sz w:val="22"/>
        </w:rPr>
        <w:t>.</w:t>
      </w:r>
      <w:r w:rsidR="00452302">
        <w:rPr>
          <w:rFonts w:eastAsia="Georgia" w:cs="Georgia"/>
          <w:color w:val="auto"/>
          <w:sz w:val="22"/>
        </w:rPr>
        <w:t xml:space="preserve"> However, d</w:t>
      </w:r>
      <w:r w:rsidR="00C62E13" w:rsidRPr="00C62E13">
        <w:rPr>
          <w:rFonts w:eastAsia="Georgia" w:cs="Georgia"/>
          <w:color w:val="auto"/>
          <w:sz w:val="22"/>
        </w:rPr>
        <w:t xml:space="preserve">epending on the topic, awareness-raising efforts may include the following activities: issuing press releases, </w:t>
      </w:r>
      <w:proofErr w:type="gramStart"/>
      <w:r w:rsidR="00C62E13" w:rsidRPr="00C62E13">
        <w:rPr>
          <w:rFonts w:eastAsia="Georgia" w:cs="Georgia"/>
          <w:color w:val="auto"/>
          <w:sz w:val="22"/>
        </w:rPr>
        <w:t>briefings</w:t>
      </w:r>
      <w:proofErr w:type="gramEnd"/>
      <w:r w:rsidR="00C62E13" w:rsidRPr="00C62E13">
        <w:rPr>
          <w:rFonts w:eastAsia="Georgia" w:cs="Georgia"/>
          <w:color w:val="auto"/>
          <w:sz w:val="22"/>
        </w:rPr>
        <w:t xml:space="preserve"> and commentaries; disseminating reports, studies and publications</w:t>
      </w:r>
      <w:r w:rsidR="00452302">
        <w:rPr>
          <w:rFonts w:eastAsia="Georgia" w:cs="Georgia"/>
          <w:color w:val="auto"/>
          <w:sz w:val="22"/>
        </w:rPr>
        <w:t>,</w:t>
      </w:r>
      <w:r w:rsidR="00C62E13" w:rsidRPr="00C62E13">
        <w:rPr>
          <w:rFonts w:eastAsia="Georgia" w:cs="Georgia"/>
          <w:color w:val="auto"/>
          <w:sz w:val="22"/>
        </w:rPr>
        <w:t xml:space="preserve"> holding public meetings and events; convening conferences and workshops; and creating and contributing to educational materials. Information may be disseminated through a range of different means or tools such as radio, television, video</w:t>
      </w:r>
      <w:r w:rsidR="008A7E73">
        <w:rPr>
          <w:rFonts w:eastAsia="Georgia" w:cs="Georgia"/>
          <w:color w:val="auto"/>
          <w:sz w:val="22"/>
        </w:rPr>
        <w:t>s</w:t>
      </w:r>
      <w:r w:rsidR="00C62E13" w:rsidRPr="00C62E13">
        <w:rPr>
          <w:rFonts w:eastAsia="Georgia" w:cs="Georgia"/>
          <w:color w:val="auto"/>
          <w:sz w:val="22"/>
        </w:rPr>
        <w:t>, film</w:t>
      </w:r>
      <w:r w:rsidR="008A7E73">
        <w:rPr>
          <w:rFonts w:eastAsia="Georgia" w:cs="Georgia"/>
          <w:color w:val="auto"/>
          <w:sz w:val="22"/>
        </w:rPr>
        <w:t>s</w:t>
      </w:r>
      <w:r w:rsidR="00C62E13" w:rsidRPr="00C62E13">
        <w:rPr>
          <w:rFonts w:eastAsia="Georgia" w:cs="Georgia"/>
          <w:color w:val="auto"/>
          <w:sz w:val="22"/>
        </w:rPr>
        <w:t>, internet, social media</w:t>
      </w:r>
      <w:r w:rsidR="008A7E73">
        <w:rPr>
          <w:rFonts w:eastAsia="Georgia" w:cs="Georgia"/>
          <w:color w:val="auto"/>
          <w:sz w:val="22"/>
        </w:rPr>
        <w:t>s</w:t>
      </w:r>
      <w:r w:rsidR="00C62E13" w:rsidRPr="00C62E13">
        <w:rPr>
          <w:rFonts w:eastAsia="Georgia" w:cs="Georgia"/>
          <w:color w:val="auto"/>
          <w:sz w:val="22"/>
        </w:rPr>
        <w:t>, mobile phones, newspapers, newsletters, leaflets, poster campaigns and arts.</w:t>
      </w:r>
    </w:p>
    <w:p w14:paraId="043565DE" w14:textId="7B7FA501" w:rsidR="00035FCF" w:rsidRPr="009A4FE0" w:rsidRDefault="00035FCF" w:rsidP="00BB7797">
      <w:pPr>
        <w:spacing w:line="360" w:lineRule="auto"/>
        <w:jc w:val="both"/>
        <w:rPr>
          <w:rFonts w:eastAsia="Georgia" w:cs="Georgia"/>
          <w:color w:val="auto"/>
          <w:sz w:val="22"/>
          <w:u w:val="single"/>
        </w:rPr>
      </w:pPr>
      <w:r w:rsidRPr="009A4FE0">
        <w:rPr>
          <w:rFonts w:eastAsia="Georgia" w:cs="Georgia"/>
          <w:color w:val="auto"/>
          <w:sz w:val="22"/>
          <w:u w:val="single"/>
        </w:rPr>
        <w:t xml:space="preserve">Community </w:t>
      </w:r>
      <w:r w:rsidR="004027D2">
        <w:rPr>
          <w:rFonts w:eastAsia="Georgia" w:cs="Georgia"/>
          <w:color w:val="auto"/>
          <w:sz w:val="22"/>
          <w:u w:val="single"/>
        </w:rPr>
        <w:t>engagement</w:t>
      </w:r>
    </w:p>
    <w:p w14:paraId="05BF0ADB" w14:textId="033D8788" w:rsidR="002F1AE2" w:rsidRDefault="008A089C" w:rsidP="00734D43">
      <w:pPr>
        <w:spacing w:line="360" w:lineRule="auto"/>
        <w:jc w:val="both"/>
        <w:rPr>
          <w:color w:val="auto"/>
          <w:sz w:val="22"/>
        </w:rPr>
      </w:pPr>
      <w:r w:rsidRPr="008A089C">
        <w:rPr>
          <w:color w:val="auto"/>
          <w:sz w:val="22"/>
        </w:rPr>
        <w:t>World Health Organization defines community engagement as “a process by which people are enabled to become actively and genuinely involved in defining the issues of concern to them, in making decisions about factors that affect their lives, in formulating and implementing policies, in planning, developing and delivering services and in taking action to achieve change”</w:t>
      </w:r>
      <w:r w:rsidR="001843C6">
        <w:rPr>
          <w:color w:val="auto"/>
          <w:sz w:val="22"/>
        </w:rPr>
        <w:t xml:space="preserve"> (WHO 2002)</w:t>
      </w:r>
      <w:r w:rsidR="007C29A5">
        <w:rPr>
          <w:color w:val="auto"/>
          <w:sz w:val="22"/>
        </w:rPr>
        <w:t>.</w:t>
      </w:r>
    </w:p>
    <w:p w14:paraId="55E026BF" w14:textId="05CFDA66" w:rsidR="00AA63E5" w:rsidRDefault="004027D2" w:rsidP="004E71BF">
      <w:pPr>
        <w:spacing w:line="360" w:lineRule="auto"/>
        <w:jc w:val="both"/>
        <w:rPr>
          <w:color w:val="auto"/>
          <w:sz w:val="22"/>
        </w:rPr>
      </w:pPr>
      <w:r>
        <w:rPr>
          <w:color w:val="auto"/>
          <w:sz w:val="22"/>
        </w:rPr>
        <w:t>The</w:t>
      </w:r>
      <w:r w:rsidR="001A5CDE" w:rsidRPr="001A5CDE">
        <w:rPr>
          <w:color w:val="auto"/>
          <w:sz w:val="22"/>
        </w:rPr>
        <w:t xml:space="preserve"> benefits of community engagement </w:t>
      </w:r>
      <w:r w:rsidR="00766636">
        <w:rPr>
          <w:color w:val="auto"/>
          <w:sz w:val="22"/>
        </w:rPr>
        <w:t xml:space="preserve">can be many: </w:t>
      </w:r>
      <w:r w:rsidR="00F939AA">
        <w:rPr>
          <w:color w:val="auto"/>
          <w:sz w:val="22"/>
        </w:rPr>
        <w:t>increased access,</w:t>
      </w:r>
      <w:r w:rsidR="00AA63E5">
        <w:rPr>
          <w:color w:val="auto"/>
          <w:sz w:val="22"/>
        </w:rPr>
        <w:t xml:space="preserve"> b</w:t>
      </w:r>
      <w:r w:rsidR="00AA63E5" w:rsidRPr="00AA63E5">
        <w:rPr>
          <w:color w:val="auto"/>
          <w:sz w:val="22"/>
        </w:rPr>
        <w:t xml:space="preserve">etter information and understanding </w:t>
      </w:r>
      <w:r w:rsidR="00AA63E5">
        <w:rPr>
          <w:color w:val="auto"/>
          <w:sz w:val="22"/>
        </w:rPr>
        <w:t>(</w:t>
      </w:r>
      <w:r w:rsidR="00AA63E5" w:rsidRPr="00AA63E5">
        <w:rPr>
          <w:color w:val="auto"/>
          <w:sz w:val="22"/>
        </w:rPr>
        <w:t>improved understanding of the complexity of health care and greater opportunities to make informed input</w:t>
      </w:r>
      <w:r w:rsidR="0027028C">
        <w:rPr>
          <w:color w:val="auto"/>
          <w:sz w:val="22"/>
        </w:rPr>
        <w:t>), s</w:t>
      </w:r>
      <w:r w:rsidR="00AA63E5" w:rsidRPr="00AA63E5">
        <w:rPr>
          <w:color w:val="auto"/>
          <w:sz w:val="22"/>
        </w:rPr>
        <w:t>ense of involvement</w:t>
      </w:r>
      <w:r w:rsidR="0027028C">
        <w:rPr>
          <w:color w:val="auto"/>
          <w:sz w:val="22"/>
        </w:rPr>
        <w:t>, b</w:t>
      </w:r>
      <w:r w:rsidR="00AA63E5" w:rsidRPr="00AA63E5">
        <w:rPr>
          <w:color w:val="auto"/>
          <w:sz w:val="22"/>
        </w:rPr>
        <w:t>etter outcomes</w:t>
      </w:r>
      <w:r w:rsidR="00AC43D0">
        <w:rPr>
          <w:color w:val="auto"/>
          <w:sz w:val="22"/>
        </w:rPr>
        <w:t xml:space="preserve"> that </w:t>
      </w:r>
      <w:r w:rsidR="00AA63E5" w:rsidRPr="00AA63E5">
        <w:rPr>
          <w:color w:val="auto"/>
          <w:sz w:val="22"/>
        </w:rPr>
        <w:t>reflect the aspirations of the client and the community</w:t>
      </w:r>
      <w:r w:rsidR="00AC43D0">
        <w:rPr>
          <w:color w:val="auto"/>
          <w:sz w:val="22"/>
        </w:rPr>
        <w:t xml:space="preserve">, </w:t>
      </w:r>
      <w:r w:rsidR="00B66B26">
        <w:rPr>
          <w:color w:val="auto"/>
          <w:sz w:val="22"/>
        </w:rPr>
        <w:t>increased c</w:t>
      </w:r>
      <w:r w:rsidR="00AA63E5" w:rsidRPr="00AA63E5">
        <w:rPr>
          <w:color w:val="auto"/>
          <w:sz w:val="22"/>
        </w:rPr>
        <w:t xml:space="preserve">redibility and accountability </w:t>
      </w:r>
      <w:r w:rsidR="00B66B26">
        <w:rPr>
          <w:color w:val="auto"/>
          <w:sz w:val="22"/>
        </w:rPr>
        <w:t xml:space="preserve">through </w:t>
      </w:r>
      <w:r w:rsidR="008357D0">
        <w:rPr>
          <w:color w:val="auto"/>
          <w:sz w:val="22"/>
        </w:rPr>
        <w:t xml:space="preserve">public </w:t>
      </w:r>
      <w:r w:rsidR="00B66B26">
        <w:rPr>
          <w:color w:val="auto"/>
          <w:sz w:val="22"/>
        </w:rPr>
        <w:t>information</w:t>
      </w:r>
      <w:r w:rsidR="008357D0">
        <w:rPr>
          <w:color w:val="auto"/>
          <w:sz w:val="22"/>
        </w:rPr>
        <w:t xml:space="preserve"> sharing, b</w:t>
      </w:r>
      <w:r w:rsidR="00AA63E5" w:rsidRPr="00AA63E5">
        <w:rPr>
          <w:color w:val="auto"/>
          <w:sz w:val="22"/>
        </w:rPr>
        <w:t>etter decisions are achieved that incorporate the communities’ aspirations</w:t>
      </w:r>
      <w:r w:rsidR="002F1AE2">
        <w:rPr>
          <w:color w:val="auto"/>
          <w:sz w:val="22"/>
        </w:rPr>
        <w:t xml:space="preserve"> (</w:t>
      </w:r>
      <w:r w:rsidR="004E71BF" w:rsidRPr="002A3DA4">
        <w:rPr>
          <w:i/>
          <w:iCs/>
          <w:color w:val="auto"/>
          <w:sz w:val="22"/>
        </w:rPr>
        <w:t xml:space="preserve">A Framework for Community Engagement In Primary Health - </w:t>
      </w:r>
      <w:r w:rsidR="002F1AE2" w:rsidRPr="002A3DA4">
        <w:rPr>
          <w:i/>
          <w:iCs/>
          <w:color w:val="auto"/>
          <w:sz w:val="22"/>
        </w:rPr>
        <w:t>Primary Health and Chronic Disease Management Saskatoon Health Region, Saskatoon SK</w:t>
      </w:r>
      <w:r w:rsidR="004E71BF" w:rsidRPr="002A3DA4">
        <w:rPr>
          <w:i/>
          <w:iCs/>
          <w:color w:val="auto"/>
          <w:sz w:val="22"/>
        </w:rPr>
        <w:t xml:space="preserve">, </w:t>
      </w:r>
      <w:r w:rsidR="002F1AE2" w:rsidRPr="002A3DA4">
        <w:rPr>
          <w:i/>
          <w:iCs/>
          <w:color w:val="auto"/>
          <w:sz w:val="22"/>
        </w:rPr>
        <w:t>December, 2012</w:t>
      </w:r>
      <w:r w:rsidR="002A3DA4" w:rsidRPr="002A3DA4">
        <w:rPr>
          <w:color w:val="auto"/>
          <w:sz w:val="22"/>
        </w:rPr>
        <w:t>)</w:t>
      </w:r>
      <w:r w:rsidR="008357D0">
        <w:rPr>
          <w:color w:val="auto"/>
          <w:sz w:val="22"/>
        </w:rPr>
        <w:t>.</w:t>
      </w:r>
    </w:p>
    <w:p w14:paraId="347F3E98" w14:textId="69B88B50" w:rsidR="00D365DD" w:rsidRDefault="00D365DD" w:rsidP="004E71BF">
      <w:pPr>
        <w:spacing w:line="360" w:lineRule="auto"/>
        <w:jc w:val="both"/>
        <w:rPr>
          <w:color w:val="auto"/>
          <w:sz w:val="22"/>
        </w:rPr>
      </w:pPr>
      <w:r w:rsidRPr="00D365DD">
        <w:rPr>
          <w:color w:val="auto"/>
          <w:sz w:val="22"/>
        </w:rPr>
        <w:lastRenderedPageBreak/>
        <w:t>According to UNICEF (</w:t>
      </w:r>
      <w:r>
        <w:rPr>
          <w:color w:val="auto"/>
          <w:sz w:val="22"/>
        </w:rPr>
        <w:t xml:space="preserve">In </w:t>
      </w:r>
      <w:r w:rsidRPr="00D365DD">
        <w:rPr>
          <w:i/>
          <w:iCs/>
          <w:color w:val="auto"/>
          <w:sz w:val="22"/>
        </w:rPr>
        <w:t>Minimum Quality Standards and Indicators for Community Engagement</w:t>
      </w:r>
      <w:r w:rsidRPr="00D365DD">
        <w:rPr>
          <w:color w:val="auto"/>
          <w:sz w:val="22"/>
        </w:rPr>
        <w:t xml:space="preserve">), the community-based approach is fundamental by participating in a process which allows people to express their needs and to decide their own future with a view to their empowerment. A community-based approach reinforces the dignity and self-esteem of people of concern and empowers all actors. </w:t>
      </w:r>
      <w:r w:rsidR="00585B27">
        <w:rPr>
          <w:color w:val="auto"/>
          <w:sz w:val="22"/>
        </w:rPr>
        <w:t>It is going together with the principle</w:t>
      </w:r>
      <w:r w:rsidR="003055B5">
        <w:rPr>
          <w:color w:val="auto"/>
          <w:sz w:val="22"/>
        </w:rPr>
        <w:t xml:space="preserve"> of</w:t>
      </w:r>
      <w:r w:rsidRPr="00D365DD">
        <w:rPr>
          <w:color w:val="auto"/>
          <w:sz w:val="22"/>
        </w:rPr>
        <w:t xml:space="preserve"> accountability </w:t>
      </w:r>
      <w:r w:rsidR="003055B5">
        <w:rPr>
          <w:color w:val="auto"/>
          <w:sz w:val="22"/>
        </w:rPr>
        <w:t>where health</w:t>
      </w:r>
      <w:r w:rsidRPr="00D365DD">
        <w:rPr>
          <w:color w:val="auto"/>
          <w:sz w:val="22"/>
        </w:rPr>
        <w:t xml:space="preserve"> providers</w:t>
      </w:r>
      <w:r w:rsidR="003055B5">
        <w:rPr>
          <w:color w:val="auto"/>
          <w:sz w:val="22"/>
        </w:rPr>
        <w:t xml:space="preserve"> are accountable</w:t>
      </w:r>
      <w:r w:rsidRPr="00D365DD">
        <w:rPr>
          <w:color w:val="auto"/>
          <w:sz w:val="22"/>
        </w:rPr>
        <w:t xml:space="preserve"> to populations for their actions, </w:t>
      </w:r>
      <w:proofErr w:type="gramStart"/>
      <w:r w:rsidRPr="00D365DD">
        <w:rPr>
          <w:color w:val="auto"/>
          <w:sz w:val="22"/>
        </w:rPr>
        <w:t>priorities</w:t>
      </w:r>
      <w:proofErr w:type="gramEnd"/>
      <w:r w:rsidRPr="00D365DD">
        <w:rPr>
          <w:color w:val="auto"/>
          <w:sz w:val="22"/>
        </w:rPr>
        <w:t xml:space="preserve"> and resource allocation decisions.</w:t>
      </w:r>
    </w:p>
    <w:p w14:paraId="236FDB6E" w14:textId="1C88C4BE" w:rsidR="00611C83" w:rsidRDefault="00452302" w:rsidP="0055166A">
      <w:pPr>
        <w:spacing w:after="0" w:line="360" w:lineRule="auto"/>
        <w:jc w:val="both"/>
        <w:rPr>
          <w:color w:val="auto"/>
          <w:sz w:val="22"/>
        </w:rPr>
      </w:pPr>
      <w:r>
        <w:rPr>
          <w:color w:val="auto"/>
          <w:sz w:val="22"/>
        </w:rPr>
        <w:t xml:space="preserve">To contribute to the above principles, two main </w:t>
      </w:r>
      <w:r w:rsidR="000D1AEA">
        <w:rPr>
          <w:color w:val="auto"/>
          <w:sz w:val="22"/>
        </w:rPr>
        <w:t>domains are of interest for this consultancy:</w:t>
      </w:r>
    </w:p>
    <w:p w14:paraId="4C4B8F8F" w14:textId="1A7CD617" w:rsidR="00590321" w:rsidRPr="00590321" w:rsidRDefault="00932637" w:rsidP="00A41CAE">
      <w:pPr>
        <w:pStyle w:val="ListParagraph"/>
        <w:numPr>
          <w:ilvl w:val="0"/>
          <w:numId w:val="62"/>
        </w:numPr>
        <w:spacing w:line="360" w:lineRule="auto"/>
        <w:jc w:val="both"/>
        <w:rPr>
          <w:color w:val="auto"/>
          <w:sz w:val="22"/>
        </w:rPr>
      </w:pPr>
      <w:r>
        <w:rPr>
          <w:color w:val="auto"/>
          <w:sz w:val="22"/>
        </w:rPr>
        <w:t>Increase the access of health information and understanding</w:t>
      </w:r>
      <w:r w:rsidR="0055166A">
        <w:rPr>
          <w:color w:val="auto"/>
          <w:sz w:val="22"/>
        </w:rPr>
        <w:t xml:space="preserve"> </w:t>
      </w:r>
      <w:r w:rsidR="00590321">
        <w:rPr>
          <w:color w:val="auto"/>
          <w:sz w:val="22"/>
        </w:rPr>
        <w:t xml:space="preserve">by </w:t>
      </w:r>
      <w:r w:rsidR="00CB57EA">
        <w:rPr>
          <w:color w:val="auto"/>
          <w:sz w:val="22"/>
        </w:rPr>
        <w:t>s</w:t>
      </w:r>
      <w:r w:rsidR="00132ECA" w:rsidRPr="00132ECA">
        <w:rPr>
          <w:color w:val="auto"/>
          <w:sz w:val="22"/>
        </w:rPr>
        <w:t xml:space="preserve">ystematic two-way communication mechanisms </w:t>
      </w:r>
      <w:r w:rsidR="00824C53">
        <w:rPr>
          <w:color w:val="auto"/>
          <w:sz w:val="22"/>
        </w:rPr>
        <w:t>between community and</w:t>
      </w:r>
      <w:r w:rsidR="00CB57EA">
        <w:rPr>
          <w:color w:val="auto"/>
          <w:sz w:val="22"/>
        </w:rPr>
        <w:t xml:space="preserve"> providers</w:t>
      </w:r>
      <w:r w:rsidR="00824C53">
        <w:rPr>
          <w:color w:val="auto"/>
          <w:sz w:val="22"/>
        </w:rPr>
        <w:t xml:space="preserve"> </w:t>
      </w:r>
      <w:r w:rsidR="00132ECA">
        <w:rPr>
          <w:color w:val="auto"/>
          <w:sz w:val="22"/>
        </w:rPr>
        <w:t>where c</w:t>
      </w:r>
      <w:r w:rsidR="00590321" w:rsidRPr="00590321">
        <w:rPr>
          <w:color w:val="auto"/>
          <w:sz w:val="22"/>
        </w:rPr>
        <w:t xml:space="preserve">ommunities give and receive clear, </w:t>
      </w:r>
      <w:proofErr w:type="gramStart"/>
      <w:r w:rsidR="00590321" w:rsidRPr="00590321">
        <w:rPr>
          <w:color w:val="auto"/>
          <w:sz w:val="22"/>
        </w:rPr>
        <w:t>appropriate</w:t>
      </w:r>
      <w:proofErr w:type="gramEnd"/>
      <w:r w:rsidR="00590321" w:rsidRPr="00590321">
        <w:rPr>
          <w:color w:val="auto"/>
          <w:sz w:val="22"/>
        </w:rPr>
        <w:t xml:space="preserve"> and accurate information </w:t>
      </w:r>
    </w:p>
    <w:p w14:paraId="025158FF" w14:textId="6A8521C1" w:rsidR="00527142" w:rsidRPr="0054642D" w:rsidRDefault="00120B29" w:rsidP="00A41CAE">
      <w:pPr>
        <w:pStyle w:val="ListParagraph"/>
        <w:numPr>
          <w:ilvl w:val="0"/>
          <w:numId w:val="62"/>
        </w:numPr>
        <w:spacing w:line="360" w:lineRule="auto"/>
        <w:jc w:val="both"/>
        <w:rPr>
          <w:color w:val="auto"/>
          <w:sz w:val="22"/>
        </w:rPr>
      </w:pPr>
      <w:r w:rsidRPr="00120B29">
        <w:rPr>
          <w:color w:val="auto"/>
          <w:sz w:val="22"/>
        </w:rPr>
        <w:t xml:space="preserve">Communities should be listened to, </w:t>
      </w:r>
      <w:proofErr w:type="gramStart"/>
      <w:r w:rsidRPr="00120B29">
        <w:rPr>
          <w:color w:val="auto"/>
          <w:sz w:val="22"/>
        </w:rPr>
        <w:t>heard</w:t>
      </w:r>
      <w:proofErr w:type="gramEnd"/>
      <w:r w:rsidRPr="00120B29">
        <w:rPr>
          <w:color w:val="auto"/>
          <w:sz w:val="22"/>
        </w:rPr>
        <w:t xml:space="preserve"> and believed</w:t>
      </w:r>
      <w:r w:rsidR="0054642D">
        <w:rPr>
          <w:color w:val="auto"/>
          <w:sz w:val="22"/>
        </w:rPr>
        <w:t xml:space="preserve"> </w:t>
      </w:r>
      <w:r w:rsidR="00A24D70" w:rsidRPr="0054642D">
        <w:rPr>
          <w:color w:val="auto"/>
          <w:sz w:val="22"/>
        </w:rPr>
        <w:t>for use in planning</w:t>
      </w:r>
      <w:r w:rsidR="007C29A5">
        <w:rPr>
          <w:color w:val="auto"/>
          <w:sz w:val="22"/>
        </w:rPr>
        <w:t>.</w:t>
      </w:r>
    </w:p>
    <w:p w14:paraId="14378065" w14:textId="43008E63" w:rsidR="00C86DEF" w:rsidRPr="00C86DEF" w:rsidRDefault="00C86DEF" w:rsidP="00C86DEF">
      <w:pPr>
        <w:spacing w:after="0" w:line="360" w:lineRule="auto"/>
        <w:jc w:val="both"/>
        <w:rPr>
          <w:color w:val="auto"/>
          <w:sz w:val="22"/>
        </w:rPr>
      </w:pPr>
      <w:r>
        <w:rPr>
          <w:color w:val="auto"/>
          <w:sz w:val="22"/>
        </w:rPr>
        <w:t>In Rwanda, a</w:t>
      </w:r>
      <w:r w:rsidRPr="00C86DEF">
        <w:rPr>
          <w:color w:val="auto"/>
          <w:sz w:val="22"/>
        </w:rPr>
        <w:t xml:space="preserve"> Rapid Assessment on customer care and infection prevention control practices in public health facilities (conducted in February 2018 by MoH) revealed an inadequate patient voice and low interaction with care providers. The following gaps were also highlighted in the Rapid assessment and the Citizen Report Cards (CRC):</w:t>
      </w:r>
    </w:p>
    <w:p w14:paraId="30455C50" w14:textId="7C5CDAFC" w:rsidR="00C86DEF" w:rsidRPr="00C86DEF" w:rsidRDefault="00C86DEF" w:rsidP="00A41CAE">
      <w:pPr>
        <w:pStyle w:val="ListParagraph"/>
        <w:numPr>
          <w:ilvl w:val="0"/>
          <w:numId w:val="62"/>
        </w:numPr>
        <w:spacing w:line="360" w:lineRule="auto"/>
        <w:jc w:val="both"/>
        <w:rPr>
          <w:color w:val="auto"/>
          <w:sz w:val="22"/>
        </w:rPr>
      </w:pPr>
      <w:r w:rsidRPr="00C86DEF">
        <w:rPr>
          <w:color w:val="auto"/>
          <w:sz w:val="22"/>
        </w:rPr>
        <w:t>Lack community-provider linkages, teamwork spirit and hence indicate low involvement of patients during their implementation</w:t>
      </w:r>
    </w:p>
    <w:p w14:paraId="6FF336B0" w14:textId="1149FCA5" w:rsidR="00C86DEF" w:rsidRPr="00C86DEF" w:rsidRDefault="00C86DEF" w:rsidP="00A41CAE">
      <w:pPr>
        <w:pStyle w:val="ListParagraph"/>
        <w:numPr>
          <w:ilvl w:val="0"/>
          <w:numId w:val="62"/>
        </w:numPr>
        <w:spacing w:line="360" w:lineRule="auto"/>
        <w:jc w:val="both"/>
        <w:rPr>
          <w:color w:val="auto"/>
          <w:sz w:val="22"/>
        </w:rPr>
      </w:pPr>
      <w:r w:rsidRPr="00C86DEF">
        <w:rPr>
          <w:color w:val="auto"/>
          <w:sz w:val="22"/>
        </w:rPr>
        <w:t xml:space="preserve">Low service utilization by community members </w:t>
      </w:r>
      <w:proofErr w:type="gramStart"/>
      <w:r w:rsidRPr="00C86DEF">
        <w:rPr>
          <w:color w:val="auto"/>
          <w:sz w:val="22"/>
        </w:rPr>
        <w:t>e.g.</w:t>
      </w:r>
      <w:proofErr w:type="gramEnd"/>
      <w:r w:rsidRPr="00C86DEF">
        <w:rPr>
          <w:color w:val="auto"/>
          <w:sz w:val="22"/>
        </w:rPr>
        <w:t xml:space="preserve"> ANC, modern FP probably due to lack of appropriate information, cultural beliefs, poor customer care at health facilities, poor quality of services</w:t>
      </w:r>
    </w:p>
    <w:p w14:paraId="6085DEAB" w14:textId="1F9044E6" w:rsidR="00C86DEF" w:rsidRPr="00C86DEF" w:rsidRDefault="00C86DEF" w:rsidP="00A41CAE">
      <w:pPr>
        <w:pStyle w:val="ListParagraph"/>
        <w:numPr>
          <w:ilvl w:val="0"/>
          <w:numId w:val="62"/>
        </w:numPr>
        <w:spacing w:line="360" w:lineRule="auto"/>
        <w:jc w:val="both"/>
        <w:rPr>
          <w:color w:val="auto"/>
          <w:sz w:val="22"/>
        </w:rPr>
      </w:pPr>
      <w:r w:rsidRPr="00C86DEF">
        <w:rPr>
          <w:color w:val="auto"/>
          <w:sz w:val="22"/>
        </w:rPr>
        <w:t xml:space="preserve">Insufficient community participation, </w:t>
      </w:r>
      <w:proofErr w:type="gramStart"/>
      <w:r w:rsidRPr="00C86DEF">
        <w:rPr>
          <w:color w:val="auto"/>
          <w:sz w:val="22"/>
        </w:rPr>
        <w:t>engagement</w:t>
      </w:r>
      <w:proofErr w:type="gramEnd"/>
      <w:r w:rsidRPr="00C86DEF">
        <w:rPr>
          <w:color w:val="auto"/>
          <w:sz w:val="22"/>
        </w:rPr>
        <w:t xml:space="preserve"> and oversight in planning, organizing and implementation processes as reported in CRC, satisfaction surveys</w:t>
      </w:r>
    </w:p>
    <w:p w14:paraId="0ABC3325" w14:textId="032E5A85" w:rsidR="00C86DEF" w:rsidRPr="00C86DEF" w:rsidRDefault="00C86DEF" w:rsidP="00A41CAE">
      <w:pPr>
        <w:pStyle w:val="ListParagraph"/>
        <w:numPr>
          <w:ilvl w:val="0"/>
          <w:numId w:val="62"/>
        </w:numPr>
        <w:spacing w:line="360" w:lineRule="auto"/>
        <w:jc w:val="both"/>
        <w:rPr>
          <w:color w:val="auto"/>
          <w:sz w:val="22"/>
        </w:rPr>
      </w:pPr>
      <w:r w:rsidRPr="00C86DEF">
        <w:rPr>
          <w:color w:val="auto"/>
          <w:sz w:val="22"/>
        </w:rPr>
        <w:t>Low commitment to patient and family rights by health professionals (as per accreditations assessments and CRC report 2019</w:t>
      </w:r>
      <w:proofErr w:type="gramStart"/>
      <w:r w:rsidRPr="00C86DEF">
        <w:rPr>
          <w:color w:val="auto"/>
          <w:sz w:val="22"/>
        </w:rPr>
        <w:t>);</w:t>
      </w:r>
      <w:proofErr w:type="gramEnd"/>
    </w:p>
    <w:p w14:paraId="7102D0EE" w14:textId="351AC81A" w:rsidR="00C86DEF" w:rsidRPr="00C86DEF" w:rsidRDefault="00C86DEF" w:rsidP="00A41CAE">
      <w:pPr>
        <w:pStyle w:val="ListParagraph"/>
        <w:numPr>
          <w:ilvl w:val="0"/>
          <w:numId w:val="62"/>
        </w:numPr>
        <w:spacing w:line="360" w:lineRule="auto"/>
        <w:jc w:val="both"/>
        <w:rPr>
          <w:color w:val="auto"/>
          <w:sz w:val="22"/>
        </w:rPr>
      </w:pPr>
      <w:r w:rsidRPr="00C86DEF">
        <w:rPr>
          <w:color w:val="auto"/>
          <w:sz w:val="22"/>
        </w:rPr>
        <w:t>Improper and/or lack of responsive mechanisms to address client complaints and suggestions</w:t>
      </w:r>
    </w:p>
    <w:p w14:paraId="14162709" w14:textId="2A7E7D76" w:rsidR="00C86DEF" w:rsidRPr="00C86DEF" w:rsidRDefault="00C86DEF" w:rsidP="00A41CAE">
      <w:pPr>
        <w:pStyle w:val="ListParagraph"/>
        <w:numPr>
          <w:ilvl w:val="0"/>
          <w:numId w:val="62"/>
        </w:numPr>
        <w:spacing w:line="360" w:lineRule="auto"/>
        <w:jc w:val="both"/>
        <w:rPr>
          <w:color w:val="auto"/>
          <w:sz w:val="22"/>
        </w:rPr>
      </w:pPr>
      <w:r w:rsidRPr="00C86DEF">
        <w:rPr>
          <w:color w:val="auto"/>
          <w:sz w:val="22"/>
        </w:rPr>
        <w:t>Improper and/or lack of responsive mechanisms to monitor patient satisfaction issues</w:t>
      </w:r>
    </w:p>
    <w:p w14:paraId="374124C7" w14:textId="77A78D26" w:rsidR="00C86DEF" w:rsidRPr="00AF6F0A" w:rsidRDefault="00AF6F0A" w:rsidP="00AF6F0A">
      <w:pPr>
        <w:spacing w:line="360" w:lineRule="auto"/>
        <w:jc w:val="both"/>
        <w:rPr>
          <w:color w:val="auto"/>
          <w:sz w:val="22"/>
        </w:rPr>
      </w:pPr>
      <w:r>
        <w:rPr>
          <w:color w:val="auto"/>
          <w:sz w:val="22"/>
        </w:rPr>
        <w:t>According to t</w:t>
      </w:r>
      <w:r w:rsidR="00C86DEF" w:rsidRPr="00AF6F0A">
        <w:rPr>
          <w:color w:val="auto"/>
          <w:sz w:val="22"/>
        </w:rPr>
        <w:t>he Citizen</w:t>
      </w:r>
      <w:r w:rsidR="00525D57">
        <w:rPr>
          <w:color w:val="auto"/>
          <w:sz w:val="22"/>
        </w:rPr>
        <w:t xml:space="preserve"> report card 2019, the</w:t>
      </w:r>
      <w:r w:rsidR="00C86DEF" w:rsidRPr="00AF6F0A">
        <w:rPr>
          <w:color w:val="auto"/>
          <w:sz w:val="22"/>
        </w:rPr>
        <w:t xml:space="preserve"> Satisfaction level over health service delivery for Gisagara and Karongi</w:t>
      </w:r>
      <w:r w:rsidR="005D43D8">
        <w:rPr>
          <w:color w:val="auto"/>
          <w:sz w:val="22"/>
        </w:rPr>
        <w:t xml:space="preserve">, </w:t>
      </w:r>
      <w:r w:rsidR="00C86DEF" w:rsidRPr="00AF6F0A">
        <w:rPr>
          <w:color w:val="auto"/>
          <w:sz w:val="22"/>
        </w:rPr>
        <w:t xml:space="preserve">has </w:t>
      </w:r>
      <w:r w:rsidR="005D43D8">
        <w:rPr>
          <w:color w:val="auto"/>
          <w:sz w:val="22"/>
        </w:rPr>
        <w:t>stagnated at around</w:t>
      </w:r>
      <w:r w:rsidR="00C86DEF" w:rsidRPr="00AF6F0A">
        <w:rPr>
          <w:color w:val="auto"/>
          <w:sz w:val="22"/>
        </w:rPr>
        <w:t xml:space="preserve"> 79% </w:t>
      </w:r>
      <w:r w:rsidR="005D43D8">
        <w:rPr>
          <w:color w:val="auto"/>
          <w:sz w:val="22"/>
        </w:rPr>
        <w:t>and 73%</w:t>
      </w:r>
      <w:r w:rsidR="00525D57">
        <w:rPr>
          <w:color w:val="auto"/>
          <w:sz w:val="22"/>
        </w:rPr>
        <w:t xml:space="preserve"> </w:t>
      </w:r>
      <w:r w:rsidR="00C86DEF" w:rsidRPr="00AF6F0A">
        <w:rPr>
          <w:color w:val="auto"/>
          <w:sz w:val="22"/>
        </w:rPr>
        <w:t>respectively</w:t>
      </w:r>
      <w:r w:rsidR="00525D57">
        <w:rPr>
          <w:color w:val="auto"/>
          <w:sz w:val="22"/>
        </w:rPr>
        <w:t>.</w:t>
      </w:r>
    </w:p>
    <w:p w14:paraId="035D483F" w14:textId="77777777" w:rsidR="004F07DF" w:rsidRPr="00F64165" w:rsidRDefault="004F07DF" w:rsidP="00A41CAE">
      <w:pPr>
        <w:numPr>
          <w:ilvl w:val="1"/>
          <w:numId w:val="63"/>
        </w:numPr>
        <w:spacing w:before="160" w:line="360" w:lineRule="auto"/>
        <w:rPr>
          <w:rFonts w:cs="Calibri"/>
          <w:b/>
          <w:color w:val="auto"/>
          <w:sz w:val="24"/>
          <w:szCs w:val="24"/>
          <w:lang w:val="en-US"/>
        </w:rPr>
      </w:pPr>
      <w:bookmarkStart w:id="154" w:name="_Toc42079072"/>
      <w:bookmarkStart w:id="155" w:name="_Toc89850325"/>
      <w:bookmarkEnd w:id="153"/>
      <w:r w:rsidRPr="00F64165">
        <w:rPr>
          <w:rFonts w:cs="Calibri"/>
          <w:b/>
          <w:color w:val="auto"/>
          <w:sz w:val="24"/>
          <w:szCs w:val="24"/>
          <w:lang w:val="en-US"/>
        </w:rPr>
        <w:t>DESCRIPTION OF THE ASSIGNMENT</w:t>
      </w:r>
      <w:bookmarkEnd w:id="154"/>
      <w:bookmarkEnd w:id="155"/>
      <w:r w:rsidRPr="00F64165">
        <w:rPr>
          <w:rFonts w:cs="Calibri"/>
          <w:b/>
          <w:color w:val="auto"/>
          <w:sz w:val="24"/>
          <w:szCs w:val="24"/>
          <w:lang w:val="en-US"/>
        </w:rPr>
        <w:t xml:space="preserve"> </w:t>
      </w:r>
    </w:p>
    <w:p w14:paraId="0452AA68" w14:textId="77777777" w:rsidR="00C72641" w:rsidRDefault="00E264AE" w:rsidP="008F2B62">
      <w:pPr>
        <w:spacing w:before="120" w:after="120" w:line="360" w:lineRule="auto"/>
        <w:jc w:val="both"/>
        <w:rPr>
          <w:color w:val="auto"/>
          <w:sz w:val="22"/>
          <w:lang w:val="en-US"/>
        </w:rPr>
      </w:pPr>
      <w:r>
        <w:rPr>
          <w:color w:val="auto"/>
          <w:sz w:val="22"/>
          <w:lang w:val="en-US"/>
        </w:rPr>
        <w:t xml:space="preserve">Considering the </w:t>
      </w:r>
      <w:r w:rsidR="00B10A6E">
        <w:rPr>
          <w:color w:val="auto"/>
          <w:sz w:val="22"/>
          <w:lang w:val="en-US"/>
        </w:rPr>
        <w:t>long list of remaining challenges regarding the</w:t>
      </w:r>
      <w:r w:rsidR="008807E2">
        <w:rPr>
          <w:color w:val="auto"/>
          <w:sz w:val="22"/>
          <w:lang w:val="en-US"/>
        </w:rPr>
        <w:t xml:space="preserve"> utilization of the</w:t>
      </w:r>
      <w:r w:rsidR="00B10A6E">
        <w:rPr>
          <w:color w:val="auto"/>
          <w:sz w:val="22"/>
          <w:lang w:val="en-US"/>
        </w:rPr>
        <w:t xml:space="preserve"> </w:t>
      </w:r>
      <w:r w:rsidR="008807E2">
        <w:rPr>
          <w:color w:val="auto"/>
          <w:sz w:val="22"/>
          <w:lang w:val="en-US"/>
        </w:rPr>
        <w:t xml:space="preserve">MNASRH services </w:t>
      </w:r>
      <w:r w:rsidR="00642C09">
        <w:rPr>
          <w:color w:val="auto"/>
          <w:sz w:val="22"/>
          <w:lang w:val="en-US"/>
        </w:rPr>
        <w:t>and regarding the outcome and performances in the sector</w:t>
      </w:r>
      <w:r w:rsidR="00B0074D">
        <w:rPr>
          <w:color w:val="auto"/>
          <w:sz w:val="22"/>
          <w:lang w:val="en-US"/>
        </w:rPr>
        <w:t xml:space="preserve">, different strategies should be implemented </w:t>
      </w:r>
      <w:r w:rsidR="00525EA6">
        <w:rPr>
          <w:color w:val="auto"/>
          <w:sz w:val="22"/>
          <w:lang w:val="en-US"/>
        </w:rPr>
        <w:t xml:space="preserve">through the “demand” or the community side. </w:t>
      </w:r>
    </w:p>
    <w:p w14:paraId="6871C219" w14:textId="6BE81CCB" w:rsidR="00C72641" w:rsidRDefault="00C72641" w:rsidP="00A7557C">
      <w:pPr>
        <w:spacing w:before="120" w:after="120" w:line="360" w:lineRule="auto"/>
        <w:jc w:val="both"/>
        <w:rPr>
          <w:color w:val="auto"/>
          <w:sz w:val="22"/>
          <w:lang w:val="en-US"/>
        </w:rPr>
      </w:pPr>
      <w:r w:rsidRPr="00C72641">
        <w:rPr>
          <w:color w:val="auto"/>
          <w:sz w:val="22"/>
          <w:lang w:val="en-US"/>
        </w:rPr>
        <w:lastRenderedPageBreak/>
        <w:t>BARAME Project intends to hire a consulting firm or a group of consultants to induce behavioral and social changes among the community regarding the Maternal, Neonatal, Adolescent, Sexual and Reproductive Health (MNASRH) to increase the appropriate use of health services with informed consent and to develop positive attitudes and practices related to MNASRH in the 7 districts of intervention of Barame (Gakenke, Gisagara, Karongi, Nyamasheke, Nyarugenge, Rulindo and Rusizi).</w:t>
      </w:r>
      <w:r w:rsidR="00D01D8E">
        <w:rPr>
          <w:color w:val="auto"/>
          <w:sz w:val="22"/>
          <w:lang w:val="en-US"/>
        </w:rPr>
        <w:t xml:space="preserve"> This will </w:t>
      </w:r>
      <w:r w:rsidR="00D87BE4">
        <w:rPr>
          <w:color w:val="auto"/>
          <w:sz w:val="22"/>
          <w:lang w:val="en-US"/>
        </w:rPr>
        <w:t xml:space="preserve">lead </w:t>
      </w:r>
      <w:r w:rsidR="00D0688D">
        <w:rPr>
          <w:color w:val="auto"/>
          <w:sz w:val="22"/>
          <w:lang w:val="en-US"/>
        </w:rPr>
        <w:t>health providers and policy makers to</w:t>
      </w:r>
      <w:r w:rsidR="00D87BE4">
        <w:rPr>
          <w:color w:val="auto"/>
          <w:sz w:val="22"/>
          <w:lang w:val="en-US"/>
        </w:rPr>
        <w:t xml:space="preserve"> </w:t>
      </w:r>
      <w:r w:rsidR="00A51688">
        <w:rPr>
          <w:color w:val="auto"/>
          <w:sz w:val="22"/>
          <w:lang w:val="en-US"/>
        </w:rPr>
        <w:t xml:space="preserve">better </w:t>
      </w:r>
      <w:r w:rsidR="00D87BE4">
        <w:rPr>
          <w:color w:val="auto"/>
          <w:sz w:val="22"/>
          <w:lang w:val="en-US"/>
        </w:rPr>
        <w:t xml:space="preserve">listen </w:t>
      </w:r>
      <w:r w:rsidR="00A51688">
        <w:rPr>
          <w:color w:val="auto"/>
          <w:sz w:val="22"/>
          <w:lang w:val="en-US"/>
        </w:rPr>
        <w:t xml:space="preserve">the community when </w:t>
      </w:r>
      <w:r w:rsidR="00BC770F">
        <w:rPr>
          <w:color w:val="auto"/>
          <w:sz w:val="22"/>
          <w:lang w:val="en-US"/>
        </w:rPr>
        <w:t>designing health priorities and plans.</w:t>
      </w:r>
    </w:p>
    <w:p w14:paraId="5A44F071" w14:textId="77777777" w:rsidR="0011747F" w:rsidRDefault="007C367F" w:rsidP="0011747F">
      <w:pPr>
        <w:spacing w:before="120" w:after="120" w:line="360" w:lineRule="auto"/>
        <w:jc w:val="both"/>
        <w:rPr>
          <w:color w:val="auto"/>
          <w:sz w:val="22"/>
          <w:lang w:val="en-US"/>
        </w:rPr>
      </w:pPr>
      <w:r>
        <w:rPr>
          <w:color w:val="auto"/>
          <w:sz w:val="22"/>
          <w:lang w:val="en-US"/>
        </w:rPr>
        <w:t>Practically the firm will develop</w:t>
      </w:r>
      <w:r w:rsidR="0011747F">
        <w:rPr>
          <w:color w:val="auto"/>
          <w:sz w:val="22"/>
          <w:lang w:val="en-US"/>
        </w:rPr>
        <w:t>:</w:t>
      </w:r>
    </w:p>
    <w:p w14:paraId="6DD691F0" w14:textId="66DBED2E" w:rsidR="00F628A7" w:rsidRDefault="0011747F" w:rsidP="0011679D">
      <w:pPr>
        <w:pStyle w:val="ListParagraph"/>
        <w:numPr>
          <w:ilvl w:val="0"/>
          <w:numId w:val="66"/>
        </w:numPr>
        <w:spacing w:before="120" w:after="120" w:line="360" w:lineRule="auto"/>
        <w:ind w:left="360"/>
        <w:jc w:val="both"/>
        <w:rPr>
          <w:b/>
          <w:bCs/>
          <w:color w:val="auto"/>
          <w:sz w:val="22"/>
          <w:lang w:val="en-US"/>
        </w:rPr>
      </w:pPr>
      <w:r w:rsidRPr="00D748B6">
        <w:rPr>
          <w:b/>
          <w:bCs/>
          <w:color w:val="auto"/>
          <w:sz w:val="22"/>
          <w:lang w:val="en-US"/>
        </w:rPr>
        <w:t>A</w:t>
      </w:r>
      <w:r w:rsidR="007C367F" w:rsidRPr="00D748B6">
        <w:rPr>
          <w:b/>
          <w:bCs/>
          <w:color w:val="auto"/>
          <w:sz w:val="22"/>
          <w:lang w:val="en-US"/>
        </w:rPr>
        <w:t xml:space="preserve">wareness </w:t>
      </w:r>
      <w:r w:rsidRPr="00D748B6">
        <w:rPr>
          <w:b/>
          <w:bCs/>
          <w:color w:val="auto"/>
          <w:sz w:val="22"/>
          <w:lang w:val="en-US"/>
        </w:rPr>
        <w:t xml:space="preserve">communication strategies </w:t>
      </w:r>
      <w:r w:rsidR="00F628A7" w:rsidRPr="00D748B6">
        <w:rPr>
          <w:b/>
          <w:bCs/>
          <w:color w:val="auto"/>
          <w:sz w:val="22"/>
          <w:lang w:val="en-US"/>
        </w:rPr>
        <w:t xml:space="preserve">for the community </w:t>
      </w:r>
      <w:r w:rsidR="007C367F" w:rsidRPr="00D748B6">
        <w:rPr>
          <w:b/>
          <w:bCs/>
          <w:color w:val="auto"/>
          <w:sz w:val="22"/>
          <w:lang w:val="en-US"/>
        </w:rPr>
        <w:t>about maternal, neonatal, adolescent, sexual and reproductive health matters</w:t>
      </w:r>
    </w:p>
    <w:p w14:paraId="1B5E2E3A" w14:textId="44432559" w:rsidR="008F2B62" w:rsidRDefault="008F2B62" w:rsidP="0011679D">
      <w:pPr>
        <w:pStyle w:val="ListParagraph"/>
        <w:spacing w:before="120" w:after="120" w:line="360" w:lineRule="auto"/>
        <w:ind w:left="360"/>
        <w:jc w:val="both"/>
        <w:rPr>
          <w:color w:val="auto"/>
          <w:sz w:val="22"/>
          <w:lang w:val="en-US"/>
        </w:rPr>
      </w:pPr>
      <w:r w:rsidRPr="00F628A7">
        <w:rPr>
          <w:color w:val="auto"/>
          <w:sz w:val="22"/>
          <w:lang w:val="en-US"/>
        </w:rPr>
        <w:t xml:space="preserve">Barame/Enabel project has commissioned a KAP study at community level and the results will guide communication and awareness strategies to </w:t>
      </w:r>
      <w:r w:rsidR="0013531C">
        <w:rPr>
          <w:color w:val="auto"/>
          <w:sz w:val="22"/>
          <w:lang w:val="en-US"/>
        </w:rPr>
        <w:t xml:space="preserve">(i) </w:t>
      </w:r>
      <w:r w:rsidRPr="00F628A7">
        <w:rPr>
          <w:color w:val="auto"/>
          <w:sz w:val="22"/>
          <w:lang w:val="en-US"/>
        </w:rPr>
        <w:t>increase knowledge of the community about their rights and about the services on maternal, neonatal, adolescent, sexual and reproductive health</w:t>
      </w:r>
      <w:r w:rsidR="00C94C26">
        <w:rPr>
          <w:color w:val="auto"/>
          <w:sz w:val="22"/>
          <w:lang w:val="en-US"/>
        </w:rPr>
        <w:t>;</w:t>
      </w:r>
      <w:r w:rsidRPr="00F628A7">
        <w:rPr>
          <w:color w:val="auto"/>
          <w:sz w:val="22"/>
          <w:lang w:val="en-US"/>
        </w:rPr>
        <w:t xml:space="preserve"> </w:t>
      </w:r>
      <w:r w:rsidR="0013531C">
        <w:rPr>
          <w:color w:val="auto"/>
          <w:sz w:val="22"/>
          <w:lang w:val="en-US"/>
        </w:rPr>
        <w:t>(ii) induce social and behavioral changes among the community</w:t>
      </w:r>
      <w:r w:rsidR="00D6468F">
        <w:rPr>
          <w:color w:val="auto"/>
          <w:sz w:val="22"/>
          <w:lang w:val="en-US"/>
        </w:rPr>
        <w:t xml:space="preserve"> with</w:t>
      </w:r>
      <w:r w:rsidRPr="00F628A7">
        <w:rPr>
          <w:color w:val="auto"/>
          <w:sz w:val="22"/>
          <w:lang w:val="en-US"/>
        </w:rPr>
        <w:t xml:space="preserve"> increase</w:t>
      </w:r>
      <w:r w:rsidR="00D6468F">
        <w:rPr>
          <w:color w:val="auto"/>
          <w:sz w:val="22"/>
          <w:lang w:val="en-US"/>
        </w:rPr>
        <w:t>d</w:t>
      </w:r>
      <w:r w:rsidRPr="00F628A7">
        <w:rPr>
          <w:color w:val="auto"/>
          <w:sz w:val="22"/>
          <w:lang w:val="en-US"/>
        </w:rPr>
        <w:t xml:space="preserve"> use of services </w:t>
      </w:r>
      <w:r w:rsidR="00D6468F">
        <w:rPr>
          <w:color w:val="auto"/>
          <w:sz w:val="22"/>
          <w:lang w:val="en-US"/>
        </w:rPr>
        <w:t xml:space="preserve">and </w:t>
      </w:r>
      <w:r w:rsidRPr="00F628A7">
        <w:rPr>
          <w:color w:val="auto"/>
          <w:sz w:val="22"/>
          <w:lang w:val="en-US"/>
        </w:rPr>
        <w:t xml:space="preserve">improved health outcomes </w:t>
      </w:r>
      <w:r w:rsidR="00A52D7F">
        <w:rPr>
          <w:color w:val="auto"/>
          <w:sz w:val="22"/>
          <w:lang w:val="en-US"/>
        </w:rPr>
        <w:t>in the seven districts supported by Barame project in Rwanda.</w:t>
      </w:r>
    </w:p>
    <w:p w14:paraId="3DD3654D" w14:textId="77777777" w:rsidR="00A7557C" w:rsidRPr="00A7557C" w:rsidRDefault="00A7557C" w:rsidP="0011679D">
      <w:pPr>
        <w:pStyle w:val="ListParagraph"/>
        <w:numPr>
          <w:ilvl w:val="0"/>
          <w:numId w:val="66"/>
        </w:numPr>
        <w:spacing w:line="360" w:lineRule="auto"/>
        <w:ind w:left="360"/>
        <w:jc w:val="both"/>
        <w:rPr>
          <w:b/>
          <w:bCs/>
          <w:color w:val="auto"/>
          <w:sz w:val="22"/>
          <w:lang w:val="en-US"/>
        </w:rPr>
      </w:pPr>
      <w:r w:rsidRPr="00A7557C">
        <w:rPr>
          <w:b/>
          <w:bCs/>
          <w:color w:val="auto"/>
          <w:sz w:val="22"/>
          <w:lang w:val="en-US"/>
        </w:rPr>
        <w:t>Strategies of two-way communication to i</w:t>
      </w:r>
      <w:r w:rsidR="00663E47" w:rsidRPr="00A7557C">
        <w:rPr>
          <w:b/>
          <w:bCs/>
          <w:color w:val="auto"/>
          <w:sz w:val="22"/>
          <w:lang w:val="en-US"/>
        </w:rPr>
        <w:t xml:space="preserve">ncrease the access of health information and understanding </w:t>
      </w:r>
    </w:p>
    <w:p w14:paraId="4859C5BD" w14:textId="474D6FC1" w:rsidR="00663E47" w:rsidRPr="00663E47" w:rsidRDefault="0011679D" w:rsidP="0011679D">
      <w:pPr>
        <w:pStyle w:val="ListParagraph"/>
        <w:spacing w:line="360" w:lineRule="auto"/>
        <w:ind w:left="360"/>
        <w:jc w:val="both"/>
        <w:rPr>
          <w:color w:val="auto"/>
          <w:sz w:val="22"/>
          <w:lang w:val="en-US"/>
        </w:rPr>
      </w:pPr>
      <w:r>
        <w:rPr>
          <w:color w:val="auto"/>
          <w:sz w:val="22"/>
          <w:lang w:val="en-US"/>
        </w:rPr>
        <w:t xml:space="preserve">The idea </w:t>
      </w:r>
      <w:r w:rsidR="00A7557C">
        <w:rPr>
          <w:color w:val="auto"/>
          <w:sz w:val="22"/>
          <w:lang w:val="en-US"/>
        </w:rPr>
        <w:t>is to develop a</w:t>
      </w:r>
      <w:r w:rsidR="00663E47" w:rsidRPr="00663E47">
        <w:rPr>
          <w:color w:val="auto"/>
          <w:sz w:val="22"/>
          <w:lang w:val="en-US"/>
        </w:rPr>
        <w:t xml:space="preserve"> </w:t>
      </w:r>
      <w:proofErr w:type="gramStart"/>
      <w:r w:rsidR="00663E47" w:rsidRPr="00663E47">
        <w:rPr>
          <w:color w:val="auto"/>
          <w:sz w:val="22"/>
          <w:lang w:val="en-US"/>
        </w:rPr>
        <w:t>systematic two-way communication mechanisms</w:t>
      </w:r>
      <w:proofErr w:type="gramEnd"/>
      <w:r w:rsidR="00663E47" w:rsidRPr="00663E47">
        <w:rPr>
          <w:color w:val="auto"/>
          <w:sz w:val="22"/>
          <w:lang w:val="en-US"/>
        </w:rPr>
        <w:t xml:space="preserve"> between community and providers where communities give and receive clear, appropriate and accurate information</w:t>
      </w:r>
      <w:r w:rsidR="000453AC">
        <w:rPr>
          <w:color w:val="auto"/>
          <w:sz w:val="22"/>
          <w:lang w:val="en-US"/>
        </w:rPr>
        <w:t xml:space="preserve"> regarding their MNASRH data and local/national strategy</w:t>
      </w:r>
      <w:r w:rsidR="00430EB8">
        <w:rPr>
          <w:color w:val="auto"/>
          <w:sz w:val="22"/>
          <w:lang w:val="en-US"/>
        </w:rPr>
        <w:t>.</w:t>
      </w:r>
    </w:p>
    <w:p w14:paraId="626AB1EB" w14:textId="77777777" w:rsidR="00455A31" w:rsidRDefault="000453AC" w:rsidP="0011679D">
      <w:pPr>
        <w:pStyle w:val="ListParagraph"/>
        <w:numPr>
          <w:ilvl w:val="0"/>
          <w:numId w:val="66"/>
        </w:numPr>
        <w:spacing w:before="120" w:after="120" w:line="360" w:lineRule="auto"/>
        <w:ind w:left="360"/>
        <w:jc w:val="both"/>
        <w:rPr>
          <w:b/>
          <w:bCs/>
          <w:color w:val="auto"/>
          <w:sz w:val="22"/>
          <w:lang w:val="en-US"/>
        </w:rPr>
      </w:pPr>
      <w:r w:rsidRPr="00455A31">
        <w:rPr>
          <w:b/>
          <w:bCs/>
          <w:color w:val="auto"/>
          <w:sz w:val="22"/>
          <w:lang w:val="en-US"/>
        </w:rPr>
        <w:t xml:space="preserve">Strategies to revive </w:t>
      </w:r>
      <w:r w:rsidR="00D810EA" w:rsidRPr="00455A31">
        <w:rPr>
          <w:b/>
          <w:bCs/>
          <w:color w:val="auto"/>
          <w:sz w:val="22"/>
          <w:lang w:val="en-US"/>
        </w:rPr>
        <w:t xml:space="preserve">and/or strengthen existing </w:t>
      </w:r>
      <w:r w:rsidR="00455A31" w:rsidRPr="00455A31">
        <w:rPr>
          <w:b/>
          <w:bCs/>
          <w:color w:val="auto"/>
          <w:sz w:val="22"/>
          <w:lang w:val="en-US"/>
        </w:rPr>
        <w:t>patients/community voice and involvement</w:t>
      </w:r>
    </w:p>
    <w:p w14:paraId="07201A8D" w14:textId="164A26D8" w:rsidR="008F2B62" w:rsidRPr="00455A31" w:rsidRDefault="008F2B62" w:rsidP="0011679D">
      <w:pPr>
        <w:pStyle w:val="ListParagraph"/>
        <w:spacing w:before="120" w:after="120" w:line="360" w:lineRule="auto"/>
        <w:ind w:left="360"/>
        <w:jc w:val="both"/>
        <w:rPr>
          <w:b/>
          <w:bCs/>
          <w:color w:val="auto"/>
          <w:sz w:val="22"/>
          <w:lang w:val="en-US"/>
        </w:rPr>
      </w:pPr>
      <w:r w:rsidRPr="00455A31">
        <w:rPr>
          <w:color w:val="auto"/>
          <w:sz w:val="22"/>
          <w:lang w:val="en-US"/>
        </w:rPr>
        <w:t xml:space="preserve">The focus will be on the quality of the health services as perceived by the users. Existing mechanisms such as the Citizen Service Charter, patient satisfaction feedback tools, and the interactive programme ‘Patient voice’ will be </w:t>
      </w:r>
      <w:r w:rsidR="005E003E" w:rsidRPr="00455A31">
        <w:rPr>
          <w:color w:val="auto"/>
          <w:sz w:val="22"/>
          <w:lang w:val="en-US"/>
        </w:rPr>
        <w:t>optimized</w:t>
      </w:r>
      <w:r w:rsidRPr="00455A31">
        <w:rPr>
          <w:color w:val="auto"/>
          <w:sz w:val="22"/>
          <w:lang w:val="en-US"/>
        </w:rPr>
        <w:t xml:space="preserve"> in the practical context of the districts.</w:t>
      </w:r>
    </w:p>
    <w:p w14:paraId="2C16C0CC" w14:textId="4E65511B" w:rsidR="008F2B62" w:rsidRPr="008F2B62" w:rsidRDefault="004B4228" w:rsidP="008F2B62">
      <w:pPr>
        <w:spacing w:before="120" w:after="120" w:line="360" w:lineRule="auto"/>
        <w:jc w:val="both"/>
        <w:rPr>
          <w:color w:val="auto"/>
          <w:sz w:val="22"/>
          <w:lang w:val="en-US"/>
        </w:rPr>
      </w:pPr>
      <w:r>
        <w:rPr>
          <w:color w:val="auto"/>
          <w:sz w:val="22"/>
          <w:lang w:val="en-US"/>
        </w:rPr>
        <w:t>I</w:t>
      </w:r>
      <w:r w:rsidR="008F2B62" w:rsidRPr="008F2B62">
        <w:rPr>
          <w:color w:val="auto"/>
          <w:sz w:val="22"/>
          <w:lang w:val="en-US"/>
        </w:rPr>
        <w:t xml:space="preserve">nterventions as designed are ranging from demand creation at community level (through information sharing sessions, development and dissemination of behavior change messages and other community mobilization approaches), service delivery and maintain the positive behaviors towards a responsible and informed decision about maternal, neonatal, adolescent, sexual reproductive </w:t>
      </w:r>
      <w:proofErr w:type="gramStart"/>
      <w:r w:rsidR="008F2B62" w:rsidRPr="008F2B62">
        <w:rPr>
          <w:color w:val="auto"/>
          <w:sz w:val="22"/>
          <w:lang w:val="en-US"/>
        </w:rPr>
        <w:t>health</w:t>
      </w:r>
      <w:proofErr w:type="gramEnd"/>
      <w:r w:rsidR="008F2B62" w:rsidRPr="008F2B62">
        <w:rPr>
          <w:color w:val="auto"/>
          <w:sz w:val="22"/>
          <w:lang w:val="en-US"/>
        </w:rPr>
        <w:t xml:space="preserve"> and rights.</w:t>
      </w:r>
    </w:p>
    <w:p w14:paraId="0F01C282" w14:textId="4865060C" w:rsidR="008F2B62" w:rsidRPr="008F2B62" w:rsidRDefault="008F2B62" w:rsidP="008F2B62">
      <w:pPr>
        <w:spacing w:before="120" w:after="120" w:line="360" w:lineRule="auto"/>
        <w:jc w:val="both"/>
        <w:rPr>
          <w:color w:val="auto"/>
          <w:sz w:val="22"/>
          <w:lang w:val="en-US"/>
        </w:rPr>
      </w:pPr>
      <w:r w:rsidRPr="008F2B62">
        <w:rPr>
          <w:color w:val="auto"/>
          <w:sz w:val="22"/>
          <w:lang w:val="en-US"/>
        </w:rPr>
        <w:t xml:space="preserve">The awareness strategies should move away from the traditional printing of posters and ‘top-down’ awareness raising for ‘passive’ clients. The idea is to empower the communities, using participatory methods to actively involve people living in villages, so that communities from </w:t>
      </w:r>
      <w:r w:rsidRPr="008F2B62">
        <w:rPr>
          <w:color w:val="auto"/>
          <w:sz w:val="22"/>
          <w:lang w:val="en-US"/>
        </w:rPr>
        <w:lastRenderedPageBreak/>
        <w:t>both urban and rural settings are aware and empowered to make use the health information and data.</w:t>
      </w:r>
    </w:p>
    <w:p w14:paraId="10646643" w14:textId="77777777" w:rsidR="008F2B62" w:rsidRPr="008F2B62" w:rsidRDefault="008F2B62" w:rsidP="008F2B62">
      <w:pPr>
        <w:spacing w:before="120" w:after="120" w:line="360" w:lineRule="auto"/>
        <w:jc w:val="both"/>
        <w:rPr>
          <w:color w:val="auto"/>
          <w:sz w:val="22"/>
          <w:lang w:val="en-US"/>
        </w:rPr>
      </w:pPr>
      <w:r w:rsidRPr="008F2B62">
        <w:rPr>
          <w:color w:val="auto"/>
          <w:sz w:val="22"/>
          <w:lang w:val="en-US"/>
        </w:rPr>
        <w:t>This will be done by empowering the communities in accessing, understanding and using health information, through the use of participatory methods, creation of dashboards, development of innovative communication (Social and Behavioural Change Communication and Information and Communication) materials on Maternal, Neonatal, Child and Adolescents Health (RMNCAH), modern FP, Sexual and Reproductive Health (SRH) in 7 districts of Rwanda (Gakenke, Gisagara, Karongi, Nyamasheke, Nyarugenge, Rulindo, and Rusizi).</w:t>
      </w:r>
    </w:p>
    <w:p w14:paraId="7FFB066F" w14:textId="682B8544" w:rsidR="0054412D" w:rsidRPr="00F64165" w:rsidRDefault="0054412D" w:rsidP="00052EFB">
      <w:pPr>
        <w:spacing w:before="120" w:after="120" w:line="360" w:lineRule="auto"/>
        <w:jc w:val="both"/>
        <w:rPr>
          <w:rFonts w:cs="Calibri"/>
          <w:color w:val="auto"/>
          <w:sz w:val="22"/>
          <w:lang w:val="en-US"/>
        </w:rPr>
      </w:pPr>
      <w:r w:rsidRPr="00F64165">
        <w:rPr>
          <w:rFonts w:cs="Calibri"/>
          <w:color w:val="auto"/>
          <w:sz w:val="22"/>
          <w:lang w:val="en-US"/>
        </w:rPr>
        <w:t>More specifically, the consultant/consulting company will:</w:t>
      </w:r>
    </w:p>
    <w:p w14:paraId="1E1BCA87" w14:textId="00C511EA" w:rsidR="0054412D" w:rsidRPr="00DD347F" w:rsidRDefault="0054412D" w:rsidP="00A41CAE">
      <w:pPr>
        <w:pStyle w:val="ListParagraph"/>
        <w:numPr>
          <w:ilvl w:val="0"/>
          <w:numId w:val="69"/>
        </w:numPr>
        <w:spacing w:before="120" w:after="120" w:line="360" w:lineRule="auto"/>
        <w:jc w:val="both"/>
        <w:rPr>
          <w:color w:val="auto"/>
          <w:sz w:val="22"/>
          <w:lang w:val="en-US"/>
        </w:rPr>
      </w:pPr>
      <w:r w:rsidRPr="00DD347F">
        <w:rPr>
          <w:color w:val="auto"/>
          <w:sz w:val="22"/>
          <w:lang w:val="en-US"/>
        </w:rPr>
        <w:t xml:space="preserve">Use the findings of </w:t>
      </w:r>
      <w:r w:rsidR="00251D44" w:rsidRPr="00DD347F">
        <w:rPr>
          <w:color w:val="auto"/>
          <w:sz w:val="22"/>
          <w:lang w:val="en-US"/>
        </w:rPr>
        <w:t xml:space="preserve">a </w:t>
      </w:r>
      <w:r w:rsidRPr="00DD347F">
        <w:rPr>
          <w:color w:val="auto"/>
          <w:sz w:val="22"/>
          <w:lang w:val="en-US"/>
        </w:rPr>
        <w:t xml:space="preserve">knowledge, </w:t>
      </w:r>
      <w:proofErr w:type="gramStart"/>
      <w:r w:rsidRPr="00DD347F">
        <w:rPr>
          <w:color w:val="auto"/>
          <w:sz w:val="22"/>
          <w:lang w:val="en-US"/>
        </w:rPr>
        <w:t>attitudes</w:t>
      </w:r>
      <w:proofErr w:type="gramEnd"/>
      <w:r w:rsidRPr="00DD347F">
        <w:rPr>
          <w:color w:val="auto"/>
          <w:sz w:val="22"/>
          <w:lang w:val="en-US"/>
        </w:rPr>
        <w:t xml:space="preserve"> and practices (KAP study) of communities regarding sexual and reproductive health-seeking behavior, patterns of utilization of services, to orient the </w:t>
      </w:r>
      <w:r w:rsidR="00021565" w:rsidRPr="00DD347F">
        <w:rPr>
          <w:color w:val="auto"/>
          <w:sz w:val="22"/>
          <w:lang w:val="en-US"/>
        </w:rPr>
        <w:t xml:space="preserve">empowerment of the community </w:t>
      </w:r>
      <w:r w:rsidRPr="00DD347F">
        <w:rPr>
          <w:color w:val="auto"/>
          <w:sz w:val="22"/>
          <w:lang w:val="en-US"/>
        </w:rPr>
        <w:t xml:space="preserve">and awareness strategies </w:t>
      </w:r>
      <w:r w:rsidR="000F7A24" w:rsidRPr="00DD347F">
        <w:rPr>
          <w:color w:val="auto"/>
          <w:sz w:val="22"/>
          <w:lang w:val="en-US"/>
        </w:rPr>
        <w:t xml:space="preserve">and communication mechanisms </w:t>
      </w:r>
      <w:r w:rsidRPr="00DD347F">
        <w:rPr>
          <w:color w:val="auto"/>
          <w:sz w:val="22"/>
          <w:lang w:val="en-US"/>
        </w:rPr>
        <w:t>to influence health outcomes.</w:t>
      </w:r>
      <w:r w:rsidR="000F7A24" w:rsidRPr="00DD347F">
        <w:rPr>
          <w:color w:val="auto"/>
          <w:sz w:val="22"/>
          <w:lang w:val="en-US"/>
        </w:rPr>
        <w:t xml:space="preserve"> on Maternal, Neonatal, and Adolescents Health (RMNAH), modern Family Planning (</w:t>
      </w:r>
      <w:proofErr w:type="spellStart"/>
      <w:r w:rsidR="000F7A24" w:rsidRPr="00DD347F">
        <w:rPr>
          <w:color w:val="auto"/>
          <w:sz w:val="22"/>
          <w:lang w:val="en-US"/>
        </w:rPr>
        <w:t>mFP</w:t>
      </w:r>
      <w:proofErr w:type="spellEnd"/>
      <w:r w:rsidR="000F7A24" w:rsidRPr="00DD347F">
        <w:rPr>
          <w:color w:val="auto"/>
          <w:sz w:val="22"/>
          <w:lang w:val="en-US"/>
        </w:rPr>
        <w:t>), Sexual and Reproductive Health and Rights (SRHR)</w:t>
      </w:r>
      <w:r w:rsidR="005676FA" w:rsidRPr="00DD347F">
        <w:rPr>
          <w:color w:val="auto"/>
          <w:sz w:val="22"/>
          <w:lang w:val="en-US"/>
        </w:rPr>
        <w:t>.</w:t>
      </w:r>
      <w:r w:rsidR="006F1178" w:rsidRPr="00DD347F">
        <w:rPr>
          <w:color w:val="auto"/>
          <w:sz w:val="22"/>
          <w:lang w:val="en-US"/>
        </w:rPr>
        <w:t xml:space="preserve"> The different social and behavioral change communication (SBCC) strategies should be participatory, </w:t>
      </w:r>
      <w:proofErr w:type="gramStart"/>
      <w:r w:rsidR="006F1178" w:rsidRPr="00DD347F">
        <w:rPr>
          <w:color w:val="auto"/>
          <w:sz w:val="22"/>
          <w:lang w:val="en-US"/>
        </w:rPr>
        <w:t>innovative</w:t>
      </w:r>
      <w:proofErr w:type="gramEnd"/>
      <w:r w:rsidR="006F1178" w:rsidRPr="00DD347F">
        <w:rPr>
          <w:color w:val="auto"/>
          <w:sz w:val="22"/>
          <w:lang w:val="en-US"/>
        </w:rPr>
        <w:t xml:space="preserve"> and using different technologies, adapted to the different audiences, that offer opportunities to the entire community to make informed decisions and induce positive behavior change about RMNAH, modern FP, SRH/ASRH.</w:t>
      </w:r>
    </w:p>
    <w:p w14:paraId="717F63DE" w14:textId="77777777" w:rsidR="00A453BD" w:rsidRPr="00DD347F" w:rsidRDefault="00A453BD" w:rsidP="00A41CAE">
      <w:pPr>
        <w:pStyle w:val="ListParagraph"/>
        <w:numPr>
          <w:ilvl w:val="0"/>
          <w:numId w:val="69"/>
        </w:numPr>
        <w:spacing w:before="120" w:after="120" w:line="360" w:lineRule="auto"/>
        <w:jc w:val="both"/>
        <w:rPr>
          <w:color w:val="auto"/>
          <w:sz w:val="22"/>
          <w:lang w:val="en-US"/>
        </w:rPr>
      </w:pPr>
      <w:r w:rsidRPr="00DD347F">
        <w:rPr>
          <w:color w:val="auto"/>
          <w:sz w:val="22"/>
          <w:lang w:val="en-US"/>
        </w:rPr>
        <w:t>Actively engage the community through participatory methods with the view to decrease perceived barriers to utilizing healthcare and ultimately enhance active participation in decision-making processes for the improved services.</w:t>
      </w:r>
    </w:p>
    <w:p w14:paraId="3F272FCA" w14:textId="77777777" w:rsidR="00A453BD" w:rsidRPr="00DD347F" w:rsidRDefault="00A453BD" w:rsidP="00A41CAE">
      <w:pPr>
        <w:pStyle w:val="ListParagraph"/>
        <w:numPr>
          <w:ilvl w:val="0"/>
          <w:numId w:val="69"/>
        </w:numPr>
        <w:spacing w:before="120" w:after="120" w:line="360" w:lineRule="auto"/>
        <w:jc w:val="both"/>
        <w:rPr>
          <w:color w:val="auto"/>
          <w:sz w:val="22"/>
          <w:lang w:val="en-US"/>
        </w:rPr>
      </w:pPr>
      <w:r w:rsidRPr="00DD347F">
        <w:rPr>
          <w:color w:val="auto"/>
          <w:sz w:val="22"/>
          <w:lang w:val="en-US"/>
        </w:rPr>
        <w:t>Find ways of harnessing the demand side in pressing for change and improving the responsiveness of the supply side, an empowering strategy for health that includes vulnerable and marginalized groups engaged as meaningful and active participants.</w:t>
      </w:r>
    </w:p>
    <w:p w14:paraId="2B3560EE" w14:textId="46A5E416" w:rsidR="0054412D" w:rsidRPr="00DD347F" w:rsidRDefault="00EE1D87" w:rsidP="00A41CAE">
      <w:pPr>
        <w:pStyle w:val="ListParagraph"/>
        <w:numPr>
          <w:ilvl w:val="0"/>
          <w:numId w:val="69"/>
        </w:numPr>
        <w:spacing w:before="120" w:after="120" w:line="360" w:lineRule="auto"/>
        <w:jc w:val="both"/>
        <w:rPr>
          <w:color w:val="auto"/>
          <w:sz w:val="22"/>
          <w:lang w:val="en-US"/>
        </w:rPr>
      </w:pPr>
      <w:r w:rsidRPr="00DD347F">
        <w:rPr>
          <w:color w:val="auto"/>
          <w:sz w:val="22"/>
          <w:lang w:val="en-US"/>
        </w:rPr>
        <w:t>Through participatory methods, d</w:t>
      </w:r>
      <w:r w:rsidR="0054412D" w:rsidRPr="00DD347F">
        <w:rPr>
          <w:color w:val="auto"/>
          <w:sz w:val="22"/>
          <w:lang w:val="en-US"/>
        </w:rPr>
        <w:t xml:space="preserve">evelop </w:t>
      </w:r>
      <w:r w:rsidR="006E071E" w:rsidRPr="00DD347F">
        <w:rPr>
          <w:color w:val="auto"/>
          <w:sz w:val="22"/>
          <w:lang w:val="en-US"/>
        </w:rPr>
        <w:t xml:space="preserve">two-way communication </w:t>
      </w:r>
      <w:r w:rsidR="00902284" w:rsidRPr="00DD347F">
        <w:rPr>
          <w:color w:val="auto"/>
          <w:sz w:val="22"/>
          <w:lang w:val="en-US"/>
        </w:rPr>
        <w:t xml:space="preserve">between the providers and the users </w:t>
      </w:r>
      <w:r w:rsidR="006E071E" w:rsidRPr="00DD347F">
        <w:rPr>
          <w:color w:val="auto"/>
          <w:sz w:val="22"/>
          <w:lang w:val="en-US"/>
        </w:rPr>
        <w:t xml:space="preserve">to increase the access of health information and </w:t>
      </w:r>
      <w:r w:rsidR="00902284" w:rsidRPr="00DD347F">
        <w:rPr>
          <w:color w:val="auto"/>
          <w:sz w:val="22"/>
          <w:lang w:val="en-US"/>
        </w:rPr>
        <w:t xml:space="preserve">its </w:t>
      </w:r>
      <w:r w:rsidR="006E071E" w:rsidRPr="00DD347F">
        <w:rPr>
          <w:color w:val="auto"/>
          <w:sz w:val="22"/>
          <w:lang w:val="en-US"/>
        </w:rPr>
        <w:t xml:space="preserve">understanding </w:t>
      </w:r>
      <w:r w:rsidR="00A20D8B" w:rsidRPr="00DD347F">
        <w:rPr>
          <w:color w:val="auto"/>
          <w:sz w:val="22"/>
          <w:lang w:val="en-US"/>
        </w:rPr>
        <w:t xml:space="preserve">through </w:t>
      </w:r>
      <w:r w:rsidR="00902284" w:rsidRPr="00DD347F">
        <w:rPr>
          <w:color w:val="auto"/>
          <w:sz w:val="22"/>
          <w:lang w:val="en-US"/>
        </w:rPr>
        <w:t xml:space="preserve">different innovative </w:t>
      </w:r>
      <w:r w:rsidR="00B06238" w:rsidRPr="00DD347F">
        <w:rPr>
          <w:color w:val="auto"/>
          <w:sz w:val="22"/>
          <w:lang w:val="en-US"/>
        </w:rPr>
        <w:t>mechanisms</w:t>
      </w:r>
      <w:r w:rsidR="006F1178" w:rsidRPr="00DD347F">
        <w:rPr>
          <w:color w:val="auto"/>
          <w:sz w:val="22"/>
          <w:lang w:val="en-US"/>
        </w:rPr>
        <w:t xml:space="preserve"> of communication</w:t>
      </w:r>
      <w:r w:rsidR="0054412D" w:rsidRPr="00DD347F">
        <w:rPr>
          <w:color w:val="auto"/>
          <w:sz w:val="22"/>
          <w:lang w:val="en-US"/>
        </w:rPr>
        <w:t xml:space="preserve">. </w:t>
      </w:r>
    </w:p>
    <w:p w14:paraId="219A8C5B" w14:textId="77777777" w:rsidR="0054412D" w:rsidRPr="00DD347F" w:rsidRDefault="0054412D" w:rsidP="00A41CAE">
      <w:pPr>
        <w:pStyle w:val="ListParagraph"/>
        <w:numPr>
          <w:ilvl w:val="0"/>
          <w:numId w:val="69"/>
        </w:numPr>
        <w:spacing w:before="120" w:after="120" w:line="360" w:lineRule="auto"/>
        <w:jc w:val="both"/>
        <w:rPr>
          <w:color w:val="auto"/>
          <w:sz w:val="22"/>
          <w:lang w:val="en-US"/>
        </w:rPr>
      </w:pPr>
      <w:r w:rsidRPr="00DD347F">
        <w:rPr>
          <w:color w:val="auto"/>
          <w:sz w:val="22"/>
          <w:lang w:val="en-US"/>
        </w:rPr>
        <w:t>Test and develop feedback mechanisms for the different audiences in the community about the different materials developed in the 7 districts.</w:t>
      </w:r>
    </w:p>
    <w:p w14:paraId="4107529B" w14:textId="77777777" w:rsidR="0054412D" w:rsidRPr="00DD347F" w:rsidRDefault="0054412D" w:rsidP="00A41CAE">
      <w:pPr>
        <w:pStyle w:val="ListParagraph"/>
        <w:numPr>
          <w:ilvl w:val="0"/>
          <w:numId w:val="69"/>
        </w:numPr>
        <w:spacing w:before="120" w:after="120" w:line="360" w:lineRule="auto"/>
        <w:jc w:val="both"/>
        <w:rPr>
          <w:color w:val="auto"/>
          <w:sz w:val="22"/>
          <w:lang w:val="en-US"/>
        </w:rPr>
      </w:pPr>
      <w:r w:rsidRPr="00DD347F">
        <w:rPr>
          <w:color w:val="auto"/>
          <w:sz w:val="22"/>
          <w:lang w:val="en-US"/>
        </w:rPr>
        <w:t>Develop a strategy to attract the community into using the health services, ensuring their participation in the development of the strategy.</w:t>
      </w:r>
    </w:p>
    <w:p w14:paraId="50F8CC17" w14:textId="58E611C2" w:rsidR="0054412D" w:rsidRPr="00DD347F" w:rsidRDefault="0054412D" w:rsidP="00A41CAE">
      <w:pPr>
        <w:pStyle w:val="ListParagraph"/>
        <w:numPr>
          <w:ilvl w:val="0"/>
          <w:numId w:val="69"/>
        </w:numPr>
        <w:spacing w:before="120" w:after="120" w:line="360" w:lineRule="auto"/>
        <w:jc w:val="both"/>
        <w:rPr>
          <w:color w:val="auto"/>
          <w:sz w:val="22"/>
          <w:lang w:val="en-US"/>
        </w:rPr>
      </w:pPr>
      <w:r w:rsidRPr="00DD347F">
        <w:rPr>
          <w:color w:val="auto"/>
          <w:sz w:val="22"/>
          <w:lang w:val="en-US"/>
        </w:rPr>
        <w:t>Ensure that quality and improvement communication materials are adapted and accessible to all publics and available in every health center</w:t>
      </w:r>
      <w:r w:rsidR="00936C1D">
        <w:rPr>
          <w:color w:val="auto"/>
          <w:sz w:val="22"/>
          <w:lang w:val="en-US"/>
        </w:rPr>
        <w:t xml:space="preserve"> (131)</w:t>
      </w:r>
      <w:r w:rsidRPr="00DD347F">
        <w:rPr>
          <w:color w:val="auto"/>
          <w:sz w:val="22"/>
          <w:lang w:val="en-US"/>
        </w:rPr>
        <w:t xml:space="preserve"> and hospital</w:t>
      </w:r>
      <w:r w:rsidR="00936C1D">
        <w:rPr>
          <w:color w:val="auto"/>
          <w:sz w:val="22"/>
          <w:lang w:val="en-US"/>
        </w:rPr>
        <w:t xml:space="preserve"> (16)</w:t>
      </w:r>
      <w:r w:rsidRPr="00DD347F">
        <w:rPr>
          <w:color w:val="auto"/>
          <w:sz w:val="22"/>
          <w:lang w:val="en-US"/>
        </w:rPr>
        <w:t>, to strengthen accountability mechanisms.</w:t>
      </w:r>
    </w:p>
    <w:p w14:paraId="514D570F" w14:textId="0FC0F9F2" w:rsidR="0054412D" w:rsidRPr="009028D2" w:rsidRDefault="0041256A" w:rsidP="00A41CAE">
      <w:pPr>
        <w:pStyle w:val="ListParagraph"/>
        <w:numPr>
          <w:ilvl w:val="0"/>
          <w:numId w:val="69"/>
        </w:numPr>
        <w:spacing w:before="120" w:after="120" w:line="360" w:lineRule="auto"/>
        <w:jc w:val="both"/>
        <w:rPr>
          <w:color w:val="auto"/>
          <w:sz w:val="22"/>
          <w:lang w:val="en-US"/>
        </w:rPr>
      </w:pPr>
      <w:r w:rsidRPr="00DD347F">
        <w:rPr>
          <w:color w:val="auto"/>
          <w:sz w:val="22"/>
          <w:lang w:val="en-US"/>
        </w:rPr>
        <w:lastRenderedPageBreak/>
        <w:t xml:space="preserve">Develop strategies to optimize the existing </w:t>
      </w:r>
      <w:r w:rsidR="003F2BB4" w:rsidRPr="00DD347F">
        <w:rPr>
          <w:color w:val="auto"/>
          <w:sz w:val="22"/>
          <w:lang w:val="en-US"/>
        </w:rPr>
        <w:t>patient/community voice</w:t>
      </w:r>
      <w:r w:rsidR="00646774" w:rsidRPr="00DD347F">
        <w:rPr>
          <w:color w:val="auto"/>
          <w:sz w:val="22"/>
          <w:lang w:val="en-US"/>
        </w:rPr>
        <w:t xml:space="preserve"> to know the aspirations, </w:t>
      </w:r>
      <w:r w:rsidR="00B966B3" w:rsidRPr="00DD347F">
        <w:rPr>
          <w:color w:val="auto"/>
          <w:sz w:val="22"/>
          <w:lang w:val="en-US"/>
        </w:rPr>
        <w:t>degree of satisfaction, the complaints, etc</w:t>
      </w:r>
      <w:r w:rsidR="0054412D" w:rsidRPr="009028D2">
        <w:rPr>
          <w:color w:val="auto"/>
          <w:sz w:val="22"/>
          <w:lang w:val="en-US"/>
        </w:rPr>
        <w:t>.</w:t>
      </w:r>
    </w:p>
    <w:p w14:paraId="52A9061D" w14:textId="06C27DD0" w:rsidR="00052EFB" w:rsidRPr="00F64165" w:rsidRDefault="00FF3706" w:rsidP="00FF3706">
      <w:pPr>
        <w:spacing w:before="120" w:after="120" w:line="360" w:lineRule="auto"/>
        <w:jc w:val="both"/>
        <w:rPr>
          <w:color w:val="auto"/>
          <w:sz w:val="22"/>
          <w:lang w:val="en-US"/>
        </w:rPr>
      </w:pPr>
      <w:r w:rsidRPr="00F64165">
        <w:rPr>
          <w:color w:val="auto"/>
          <w:sz w:val="22"/>
          <w:lang w:val="en-US"/>
        </w:rPr>
        <w:t xml:space="preserve">All activities should </w:t>
      </w:r>
      <w:r w:rsidR="00063C42">
        <w:rPr>
          <w:color w:val="auto"/>
          <w:sz w:val="22"/>
          <w:lang w:val="en-US"/>
        </w:rPr>
        <w:t xml:space="preserve">be </w:t>
      </w:r>
      <w:r w:rsidRPr="00F64165">
        <w:rPr>
          <w:color w:val="auto"/>
          <w:sz w:val="22"/>
          <w:lang w:val="en-US"/>
        </w:rPr>
        <w:t>adapted to the different types of audiences (</w:t>
      </w:r>
      <w:r w:rsidR="00696609">
        <w:rPr>
          <w:color w:val="auto"/>
          <w:sz w:val="22"/>
          <w:lang w:val="en-US"/>
        </w:rPr>
        <w:t xml:space="preserve">pregnant women, men, adolescents, </w:t>
      </w:r>
      <w:r w:rsidRPr="00F64165">
        <w:rPr>
          <w:color w:val="auto"/>
          <w:sz w:val="22"/>
          <w:lang w:val="en-US"/>
        </w:rPr>
        <w:t>illiterate, older people, vulnerable people, people living with disabilities, etc</w:t>
      </w:r>
      <w:r w:rsidR="00696609">
        <w:rPr>
          <w:color w:val="auto"/>
          <w:sz w:val="22"/>
          <w:lang w:val="en-US"/>
        </w:rPr>
        <w:t>.</w:t>
      </w:r>
      <w:r w:rsidRPr="00F64165">
        <w:rPr>
          <w:color w:val="auto"/>
          <w:sz w:val="22"/>
          <w:lang w:val="en-US"/>
        </w:rPr>
        <w:t>).</w:t>
      </w:r>
    </w:p>
    <w:p w14:paraId="1CCB94C9" w14:textId="77777777" w:rsidR="004F07DF" w:rsidRPr="00F64165" w:rsidRDefault="004F07DF" w:rsidP="00A41CAE">
      <w:pPr>
        <w:numPr>
          <w:ilvl w:val="1"/>
          <w:numId w:val="63"/>
        </w:numPr>
        <w:spacing w:before="160" w:line="360" w:lineRule="auto"/>
        <w:rPr>
          <w:rFonts w:cs="Calibri"/>
          <w:b/>
          <w:color w:val="auto"/>
          <w:sz w:val="24"/>
          <w:szCs w:val="24"/>
          <w:lang w:val="en-US"/>
        </w:rPr>
      </w:pPr>
      <w:bookmarkStart w:id="156" w:name="_Toc42079075"/>
      <w:bookmarkStart w:id="157" w:name="_Toc89850326"/>
      <w:r w:rsidRPr="00F64165">
        <w:rPr>
          <w:rFonts w:cs="Calibri"/>
          <w:b/>
          <w:color w:val="auto"/>
          <w:sz w:val="24"/>
          <w:szCs w:val="24"/>
          <w:lang w:val="en-US"/>
        </w:rPr>
        <w:t>Assessment objectives</w:t>
      </w:r>
      <w:bookmarkEnd w:id="156"/>
      <w:bookmarkEnd w:id="157"/>
      <w:r w:rsidRPr="00F64165">
        <w:rPr>
          <w:rFonts w:cs="Calibri"/>
          <w:b/>
          <w:color w:val="auto"/>
          <w:sz w:val="24"/>
          <w:szCs w:val="24"/>
          <w:lang w:val="en-US"/>
        </w:rPr>
        <w:t xml:space="preserve"> </w:t>
      </w:r>
    </w:p>
    <w:p w14:paraId="2D148F15" w14:textId="77777777" w:rsidR="00780E0F" w:rsidRDefault="004F07DF" w:rsidP="004F07DF">
      <w:pPr>
        <w:spacing w:after="120" w:line="360" w:lineRule="auto"/>
        <w:jc w:val="both"/>
        <w:rPr>
          <w:rFonts w:eastAsia="Gill Sans MT" w:cs="Calibri"/>
          <w:color w:val="auto"/>
          <w:sz w:val="22"/>
          <w:lang w:val="en-US"/>
        </w:rPr>
      </w:pPr>
      <w:r w:rsidRPr="00F64165">
        <w:rPr>
          <w:rFonts w:eastAsia="Gill Sans MT" w:cs="Calibri"/>
          <w:color w:val="auto"/>
          <w:sz w:val="22"/>
          <w:lang w:val="en-US"/>
        </w:rPr>
        <w:t xml:space="preserve">The main objective of the </w:t>
      </w:r>
      <w:r w:rsidR="006B2CC3" w:rsidRPr="00F64165">
        <w:rPr>
          <w:rFonts w:eastAsia="Gill Sans MT" w:cs="Calibri"/>
          <w:color w:val="auto"/>
          <w:sz w:val="22"/>
          <w:lang w:val="en-US"/>
        </w:rPr>
        <w:t>assignment is</w:t>
      </w:r>
      <w:r w:rsidRPr="00F64165">
        <w:rPr>
          <w:rFonts w:eastAsia="Gill Sans MT" w:cs="Calibri"/>
          <w:color w:val="auto"/>
          <w:sz w:val="22"/>
          <w:lang w:val="en-US"/>
        </w:rPr>
        <w:t xml:space="preserve"> to </w:t>
      </w:r>
    </w:p>
    <w:p w14:paraId="768571C3" w14:textId="7879613E" w:rsidR="006B2CC3" w:rsidRDefault="00780E0F" w:rsidP="00A41CAE">
      <w:pPr>
        <w:pStyle w:val="ListParagraph"/>
        <w:numPr>
          <w:ilvl w:val="0"/>
          <w:numId w:val="67"/>
        </w:numPr>
        <w:spacing w:after="120" w:line="360" w:lineRule="auto"/>
        <w:jc w:val="both"/>
        <w:rPr>
          <w:rFonts w:eastAsia="Gill Sans MT" w:cs="Calibri"/>
          <w:color w:val="auto"/>
          <w:sz w:val="22"/>
          <w:lang w:val="en-US"/>
        </w:rPr>
      </w:pPr>
      <w:r w:rsidRPr="00780E0F">
        <w:rPr>
          <w:rFonts w:eastAsia="Gill Sans MT" w:cs="Calibri"/>
          <w:color w:val="auto"/>
          <w:sz w:val="22"/>
          <w:lang w:val="en-US"/>
        </w:rPr>
        <w:t xml:space="preserve">Develop awareness strategies and tools to induce social and behavioural changes to </w:t>
      </w:r>
      <w:r w:rsidR="004F07DF" w:rsidRPr="00780E0F">
        <w:rPr>
          <w:rFonts w:eastAsia="Gill Sans MT" w:cs="Calibri"/>
          <w:color w:val="auto"/>
          <w:sz w:val="22"/>
          <w:lang w:val="en-US"/>
        </w:rPr>
        <w:t xml:space="preserve">(i) increase knowledge of the community about their rights and about the services on maternal, neonatal, adolescent, sexual and reproductive health; (ii) increase the use of </w:t>
      </w:r>
      <w:r w:rsidR="00052EFB" w:rsidRPr="00780E0F">
        <w:rPr>
          <w:rFonts w:eastAsia="Gill Sans MT" w:cs="Calibri"/>
          <w:color w:val="auto"/>
          <w:sz w:val="22"/>
          <w:lang w:val="en-US"/>
        </w:rPr>
        <w:t>health</w:t>
      </w:r>
      <w:r w:rsidR="004F07DF" w:rsidRPr="00780E0F">
        <w:rPr>
          <w:rFonts w:eastAsia="Gill Sans MT" w:cs="Calibri"/>
          <w:color w:val="auto"/>
          <w:sz w:val="22"/>
          <w:lang w:val="en-US"/>
        </w:rPr>
        <w:t xml:space="preserve"> services; to finally (iii) better influence the health outcomes in the seven districts supported by Barame in Rwanda</w:t>
      </w:r>
      <w:r w:rsidR="00430EB8">
        <w:rPr>
          <w:rFonts w:eastAsia="Gill Sans MT" w:cs="Calibri"/>
          <w:color w:val="auto"/>
          <w:sz w:val="22"/>
          <w:lang w:val="en-US"/>
        </w:rPr>
        <w:t>.</w:t>
      </w:r>
    </w:p>
    <w:p w14:paraId="64CDF892" w14:textId="5BE8B991" w:rsidR="007E5A9C" w:rsidRDefault="007E5A9C" w:rsidP="00A41CAE">
      <w:pPr>
        <w:pStyle w:val="ListParagraph"/>
        <w:numPr>
          <w:ilvl w:val="0"/>
          <w:numId w:val="67"/>
        </w:numPr>
        <w:spacing w:after="120" w:line="360" w:lineRule="auto"/>
        <w:jc w:val="both"/>
        <w:rPr>
          <w:rFonts w:eastAsia="Gill Sans MT" w:cs="Calibri"/>
          <w:color w:val="auto"/>
          <w:sz w:val="22"/>
          <w:lang w:val="en-US"/>
        </w:rPr>
      </w:pPr>
      <w:r>
        <w:rPr>
          <w:rFonts w:eastAsia="Gill Sans MT" w:cs="Calibri"/>
          <w:color w:val="auto"/>
          <w:sz w:val="22"/>
          <w:lang w:val="en-US"/>
        </w:rPr>
        <w:t>Develop a two</w:t>
      </w:r>
      <w:r w:rsidR="001E6D18">
        <w:rPr>
          <w:rFonts w:eastAsia="Gill Sans MT" w:cs="Calibri"/>
          <w:color w:val="auto"/>
          <w:sz w:val="22"/>
          <w:lang w:val="en-US"/>
        </w:rPr>
        <w:t>-</w:t>
      </w:r>
      <w:r>
        <w:rPr>
          <w:rFonts w:eastAsia="Gill Sans MT" w:cs="Calibri"/>
          <w:color w:val="auto"/>
          <w:sz w:val="22"/>
          <w:lang w:val="en-US"/>
        </w:rPr>
        <w:t xml:space="preserve">way </w:t>
      </w:r>
      <w:r w:rsidRPr="007E5A9C">
        <w:rPr>
          <w:rFonts w:eastAsia="Gill Sans MT" w:cs="Calibri"/>
          <w:color w:val="auto"/>
          <w:sz w:val="22"/>
          <w:lang w:val="en-US"/>
        </w:rPr>
        <w:t xml:space="preserve">communication </w:t>
      </w:r>
      <w:r w:rsidR="000147B0">
        <w:rPr>
          <w:rFonts w:eastAsia="Gill Sans MT" w:cs="Calibri"/>
          <w:color w:val="auto"/>
          <w:sz w:val="22"/>
          <w:lang w:val="en-US"/>
        </w:rPr>
        <w:t>sy</w:t>
      </w:r>
      <w:r w:rsidR="00BF7275">
        <w:rPr>
          <w:rFonts w:eastAsia="Gill Sans MT" w:cs="Calibri"/>
          <w:color w:val="auto"/>
          <w:sz w:val="22"/>
          <w:lang w:val="en-US"/>
        </w:rPr>
        <w:t xml:space="preserve">stem </w:t>
      </w:r>
      <w:r w:rsidRPr="007E5A9C">
        <w:rPr>
          <w:rFonts w:eastAsia="Gill Sans MT" w:cs="Calibri"/>
          <w:color w:val="auto"/>
          <w:sz w:val="22"/>
          <w:lang w:val="en-US"/>
        </w:rPr>
        <w:t xml:space="preserve">to increase the access of </w:t>
      </w:r>
      <w:r w:rsidR="005D5B53">
        <w:rPr>
          <w:rFonts w:eastAsia="Gill Sans MT" w:cs="Calibri"/>
          <w:color w:val="auto"/>
          <w:sz w:val="22"/>
          <w:lang w:val="en-US"/>
        </w:rPr>
        <w:t xml:space="preserve">comprehensible </w:t>
      </w:r>
      <w:r w:rsidRPr="007E5A9C">
        <w:rPr>
          <w:rFonts w:eastAsia="Gill Sans MT" w:cs="Calibri"/>
          <w:color w:val="auto"/>
          <w:sz w:val="22"/>
          <w:lang w:val="en-US"/>
        </w:rPr>
        <w:t xml:space="preserve">health information and </w:t>
      </w:r>
      <w:r w:rsidR="005D5B53">
        <w:rPr>
          <w:rFonts w:eastAsia="Gill Sans MT" w:cs="Calibri"/>
          <w:color w:val="auto"/>
          <w:sz w:val="22"/>
          <w:lang w:val="en-US"/>
        </w:rPr>
        <w:t xml:space="preserve">improve general understanding </w:t>
      </w:r>
      <w:r w:rsidR="001F4BEC">
        <w:rPr>
          <w:rFonts w:eastAsia="Gill Sans MT" w:cs="Calibri"/>
          <w:color w:val="auto"/>
          <w:sz w:val="22"/>
          <w:lang w:val="en-US"/>
        </w:rPr>
        <w:t xml:space="preserve">that will empower the community and </w:t>
      </w:r>
      <w:r w:rsidR="000147B0" w:rsidRPr="000147B0">
        <w:rPr>
          <w:rFonts w:eastAsia="Gill Sans MT" w:cs="Calibri"/>
          <w:color w:val="auto"/>
          <w:sz w:val="22"/>
          <w:lang w:val="en-US"/>
        </w:rPr>
        <w:t xml:space="preserve">allowing </w:t>
      </w:r>
      <w:r w:rsidR="000147B0">
        <w:rPr>
          <w:rFonts w:eastAsia="Gill Sans MT" w:cs="Calibri"/>
          <w:color w:val="auto"/>
          <w:sz w:val="22"/>
          <w:lang w:val="en-US"/>
        </w:rPr>
        <w:t>people</w:t>
      </w:r>
      <w:r w:rsidR="000147B0" w:rsidRPr="000147B0">
        <w:rPr>
          <w:rFonts w:eastAsia="Gill Sans MT" w:cs="Calibri"/>
          <w:color w:val="auto"/>
          <w:sz w:val="22"/>
          <w:lang w:val="en-US"/>
        </w:rPr>
        <w:t xml:space="preserve"> to make informed decisions</w:t>
      </w:r>
      <w:r w:rsidR="00430EB8">
        <w:rPr>
          <w:rFonts w:eastAsia="Gill Sans MT" w:cs="Calibri"/>
          <w:color w:val="auto"/>
          <w:sz w:val="22"/>
          <w:lang w:val="en-US"/>
        </w:rPr>
        <w:t>.</w:t>
      </w:r>
    </w:p>
    <w:p w14:paraId="0F51FA91" w14:textId="505D93E1" w:rsidR="000147B0" w:rsidRPr="00BF7275" w:rsidRDefault="002B46BD" w:rsidP="001E6D18">
      <w:pPr>
        <w:pStyle w:val="ListParagraph"/>
        <w:numPr>
          <w:ilvl w:val="0"/>
          <w:numId w:val="67"/>
        </w:numPr>
        <w:spacing w:line="360" w:lineRule="auto"/>
        <w:rPr>
          <w:rFonts w:eastAsia="Gill Sans MT" w:cs="Calibri"/>
          <w:color w:val="auto"/>
          <w:sz w:val="22"/>
          <w:lang w:val="en-US"/>
        </w:rPr>
      </w:pPr>
      <w:r>
        <w:rPr>
          <w:rFonts w:eastAsia="Gill Sans MT" w:cs="Calibri"/>
          <w:color w:val="auto"/>
          <w:sz w:val="22"/>
          <w:lang w:val="en-US"/>
        </w:rPr>
        <w:t xml:space="preserve">Develop </w:t>
      </w:r>
      <w:r w:rsidR="00ED5D81">
        <w:rPr>
          <w:rFonts w:eastAsia="Gill Sans MT" w:cs="Calibri"/>
          <w:color w:val="auto"/>
          <w:sz w:val="22"/>
          <w:lang w:val="en-US"/>
        </w:rPr>
        <w:t>s</w:t>
      </w:r>
      <w:r w:rsidR="000147B0" w:rsidRPr="000147B0">
        <w:rPr>
          <w:rFonts w:eastAsia="Gill Sans MT" w:cs="Calibri"/>
          <w:color w:val="auto"/>
          <w:sz w:val="22"/>
          <w:lang w:val="en-US"/>
        </w:rPr>
        <w:t xml:space="preserve">trategies to revive and/or strengthen existing patients/community voice and </w:t>
      </w:r>
      <w:r w:rsidR="00BF7275">
        <w:rPr>
          <w:rFonts w:eastAsia="Gill Sans MT" w:cs="Calibri"/>
          <w:color w:val="auto"/>
          <w:sz w:val="22"/>
          <w:lang w:val="en-US"/>
        </w:rPr>
        <w:t>i</w:t>
      </w:r>
      <w:r w:rsidR="000147B0" w:rsidRPr="000147B0">
        <w:rPr>
          <w:rFonts w:eastAsia="Gill Sans MT" w:cs="Calibri"/>
          <w:color w:val="auto"/>
          <w:sz w:val="22"/>
          <w:lang w:val="en-US"/>
        </w:rPr>
        <w:t>nvolvement</w:t>
      </w:r>
      <w:r w:rsidR="00430EB8">
        <w:rPr>
          <w:rFonts w:eastAsia="Gill Sans MT" w:cs="Calibri"/>
          <w:color w:val="auto"/>
          <w:sz w:val="22"/>
          <w:lang w:val="en-US"/>
        </w:rPr>
        <w:t>.</w:t>
      </w:r>
    </w:p>
    <w:p w14:paraId="335509CB" w14:textId="77777777" w:rsidR="004F07DF" w:rsidRPr="00F64165" w:rsidRDefault="004F07DF" w:rsidP="00A41CAE">
      <w:pPr>
        <w:numPr>
          <w:ilvl w:val="1"/>
          <w:numId w:val="63"/>
        </w:numPr>
        <w:spacing w:before="160" w:line="360" w:lineRule="auto"/>
        <w:rPr>
          <w:rFonts w:cs="Calibri"/>
          <w:b/>
          <w:color w:val="auto"/>
          <w:sz w:val="24"/>
          <w:szCs w:val="24"/>
          <w:lang w:val="en-US"/>
        </w:rPr>
      </w:pPr>
      <w:bookmarkStart w:id="158" w:name="_Toc89850327"/>
      <w:r w:rsidRPr="00F64165">
        <w:rPr>
          <w:rFonts w:cs="Calibri"/>
          <w:b/>
          <w:color w:val="auto"/>
          <w:sz w:val="24"/>
          <w:szCs w:val="24"/>
          <w:lang w:val="en-US"/>
        </w:rPr>
        <w:t>Expected results</w:t>
      </w:r>
      <w:bookmarkEnd w:id="158"/>
    </w:p>
    <w:p w14:paraId="599E7026" w14:textId="67C126B2" w:rsidR="008013F2" w:rsidRPr="00F64165" w:rsidRDefault="00FD484D" w:rsidP="00A41CAE">
      <w:pPr>
        <w:pStyle w:val="ListParagraph"/>
        <w:numPr>
          <w:ilvl w:val="0"/>
          <w:numId w:val="68"/>
        </w:numPr>
        <w:spacing w:after="120" w:line="360" w:lineRule="auto"/>
        <w:jc w:val="both"/>
        <w:rPr>
          <w:rFonts w:eastAsia="Gill Sans MT" w:cs="Calibri"/>
          <w:color w:val="auto"/>
          <w:sz w:val="22"/>
          <w:lang w:val="en-US"/>
        </w:rPr>
      </w:pPr>
      <w:r>
        <w:rPr>
          <w:rFonts w:eastAsia="Gill Sans MT" w:cs="Calibri"/>
          <w:color w:val="auto"/>
          <w:sz w:val="22"/>
          <w:lang w:val="en-US"/>
        </w:rPr>
        <w:t>Availability of</w:t>
      </w:r>
      <w:r w:rsidR="00684E97">
        <w:rPr>
          <w:rFonts w:eastAsia="Gill Sans MT" w:cs="Calibri"/>
          <w:color w:val="auto"/>
          <w:sz w:val="22"/>
          <w:lang w:val="en-US"/>
        </w:rPr>
        <w:t xml:space="preserve"> different </w:t>
      </w:r>
      <w:r w:rsidR="00FB5E4E">
        <w:rPr>
          <w:rFonts w:eastAsia="Gill Sans MT" w:cs="Calibri"/>
          <w:color w:val="auto"/>
          <w:sz w:val="22"/>
          <w:lang w:val="en-US"/>
        </w:rPr>
        <w:t>innovative</w:t>
      </w:r>
      <w:r w:rsidR="00FB5E4E" w:rsidRPr="00FB5E4E">
        <w:t xml:space="preserve"> </w:t>
      </w:r>
      <w:r w:rsidR="00FB5E4E" w:rsidRPr="00FB5E4E">
        <w:rPr>
          <w:rFonts w:eastAsia="Gill Sans MT" w:cs="Calibri"/>
          <w:color w:val="auto"/>
          <w:sz w:val="22"/>
          <w:lang w:val="en-US"/>
        </w:rPr>
        <w:t>social and behavioural change</w:t>
      </w:r>
      <w:r w:rsidR="00FB5E4E">
        <w:rPr>
          <w:rFonts w:eastAsia="Gill Sans MT" w:cs="Calibri"/>
          <w:color w:val="auto"/>
          <w:sz w:val="22"/>
          <w:lang w:val="en-US"/>
        </w:rPr>
        <w:t xml:space="preserve"> </w:t>
      </w:r>
      <w:r w:rsidR="00697664">
        <w:rPr>
          <w:rFonts w:eastAsia="Gill Sans MT" w:cs="Calibri"/>
          <w:color w:val="auto"/>
          <w:sz w:val="22"/>
          <w:lang w:val="en-US"/>
        </w:rPr>
        <w:t xml:space="preserve">communication </w:t>
      </w:r>
      <w:r w:rsidR="00684E97">
        <w:rPr>
          <w:rFonts w:eastAsia="Gill Sans MT" w:cs="Calibri"/>
          <w:color w:val="auto"/>
          <w:sz w:val="22"/>
          <w:lang w:val="en-US"/>
        </w:rPr>
        <w:t xml:space="preserve">mechanisms/tools </w:t>
      </w:r>
      <w:r w:rsidR="00FB5E4E">
        <w:rPr>
          <w:rFonts w:eastAsia="Gill Sans MT" w:cs="Calibri"/>
          <w:color w:val="auto"/>
          <w:sz w:val="22"/>
          <w:lang w:val="en-US"/>
        </w:rPr>
        <w:t xml:space="preserve">for </w:t>
      </w:r>
      <w:r w:rsidR="00BE2E88">
        <w:rPr>
          <w:rFonts w:eastAsia="Gill Sans MT" w:cs="Calibri"/>
          <w:color w:val="auto"/>
          <w:sz w:val="22"/>
          <w:lang w:val="en-US"/>
        </w:rPr>
        <w:t>awareness on MNASRH</w:t>
      </w:r>
      <w:r w:rsidR="004E6090">
        <w:rPr>
          <w:rFonts w:eastAsia="Gill Sans MT" w:cs="Calibri"/>
          <w:color w:val="auto"/>
          <w:sz w:val="22"/>
          <w:lang w:val="en-US"/>
        </w:rPr>
        <w:t>, such as photovoice,</w:t>
      </w:r>
      <w:r w:rsidR="00BE2E88">
        <w:rPr>
          <w:rFonts w:eastAsia="Gill Sans MT" w:cs="Calibri"/>
          <w:color w:val="auto"/>
          <w:sz w:val="22"/>
          <w:lang w:val="en-US"/>
        </w:rPr>
        <w:t xml:space="preserve"> </w:t>
      </w:r>
      <w:r>
        <w:rPr>
          <w:rFonts w:eastAsia="Gill Sans MT" w:cs="Calibri"/>
          <w:color w:val="auto"/>
          <w:sz w:val="22"/>
          <w:lang w:val="en-US"/>
        </w:rPr>
        <w:t xml:space="preserve">that have been </w:t>
      </w:r>
      <w:r w:rsidR="00697664">
        <w:rPr>
          <w:rFonts w:eastAsia="Gill Sans MT" w:cs="Calibri"/>
          <w:color w:val="auto"/>
          <w:sz w:val="22"/>
          <w:lang w:val="en-US"/>
        </w:rPr>
        <w:t xml:space="preserve">adapted </w:t>
      </w:r>
      <w:r>
        <w:rPr>
          <w:rFonts w:eastAsia="Gill Sans MT" w:cs="Calibri"/>
          <w:color w:val="auto"/>
          <w:sz w:val="22"/>
          <w:lang w:val="en-US"/>
        </w:rPr>
        <w:t>with the</w:t>
      </w:r>
      <w:r w:rsidR="00697664">
        <w:rPr>
          <w:rFonts w:eastAsia="Gill Sans MT" w:cs="Calibri"/>
          <w:color w:val="auto"/>
          <w:sz w:val="22"/>
          <w:lang w:val="en-US"/>
        </w:rPr>
        <w:t xml:space="preserve"> </w:t>
      </w:r>
      <w:r w:rsidR="00FB5E4E">
        <w:rPr>
          <w:rFonts w:eastAsia="Gill Sans MT" w:cs="Calibri"/>
          <w:color w:val="auto"/>
          <w:sz w:val="22"/>
          <w:lang w:val="en-US"/>
        </w:rPr>
        <w:t xml:space="preserve">KAP study and </w:t>
      </w:r>
      <w:r>
        <w:rPr>
          <w:rFonts w:eastAsia="Gill Sans MT" w:cs="Calibri"/>
          <w:color w:val="auto"/>
          <w:sz w:val="22"/>
          <w:lang w:val="en-US"/>
        </w:rPr>
        <w:t xml:space="preserve">adapted </w:t>
      </w:r>
      <w:r w:rsidR="00FB5E4E">
        <w:rPr>
          <w:rFonts w:eastAsia="Gill Sans MT" w:cs="Calibri"/>
          <w:color w:val="auto"/>
          <w:sz w:val="22"/>
          <w:lang w:val="en-US"/>
        </w:rPr>
        <w:t>to different audience</w:t>
      </w:r>
      <w:r>
        <w:rPr>
          <w:rFonts w:eastAsia="Gill Sans MT" w:cs="Calibri"/>
          <w:color w:val="auto"/>
          <w:sz w:val="22"/>
          <w:lang w:val="en-US"/>
        </w:rPr>
        <w:t>s</w:t>
      </w:r>
      <w:r w:rsidR="00430EB8">
        <w:rPr>
          <w:rFonts w:eastAsia="Gill Sans MT" w:cs="Calibri"/>
          <w:color w:val="auto"/>
          <w:sz w:val="22"/>
          <w:lang w:val="en-US"/>
        </w:rPr>
        <w:t>.</w:t>
      </w:r>
    </w:p>
    <w:p w14:paraId="583B09C6" w14:textId="130FFC4C" w:rsidR="00FD484D" w:rsidRPr="00FD484D" w:rsidRDefault="00A623AB" w:rsidP="00A41CAE">
      <w:pPr>
        <w:pStyle w:val="ListParagraph"/>
        <w:numPr>
          <w:ilvl w:val="0"/>
          <w:numId w:val="68"/>
        </w:numPr>
        <w:spacing w:after="0" w:line="360" w:lineRule="auto"/>
        <w:ind w:left="714" w:hanging="357"/>
        <w:contextualSpacing w:val="0"/>
        <w:jc w:val="both"/>
        <w:rPr>
          <w:rFonts w:eastAsia="Gill Sans MT" w:cs="Calibri"/>
          <w:color w:val="auto"/>
          <w:sz w:val="22"/>
          <w:lang w:val="en-US"/>
        </w:rPr>
      </w:pPr>
      <w:r w:rsidRPr="00FD484D">
        <w:rPr>
          <w:rFonts w:eastAsia="Gill Sans MT" w:cs="Calibri"/>
          <w:color w:val="auto"/>
          <w:sz w:val="22"/>
          <w:lang w:val="en-US"/>
        </w:rPr>
        <w:t xml:space="preserve">Availability </w:t>
      </w:r>
      <w:r w:rsidR="00DD347F">
        <w:rPr>
          <w:rFonts w:eastAsia="Gill Sans MT" w:cs="Calibri"/>
          <w:color w:val="auto"/>
          <w:sz w:val="22"/>
          <w:lang w:val="en-US"/>
        </w:rPr>
        <w:t xml:space="preserve">of two-way communication strategies between the providers and the community </w:t>
      </w:r>
      <w:r w:rsidR="00150029">
        <w:rPr>
          <w:rFonts w:eastAsia="Gill Sans MT" w:cs="Calibri"/>
          <w:color w:val="auto"/>
          <w:sz w:val="22"/>
          <w:lang w:val="en-US"/>
        </w:rPr>
        <w:t xml:space="preserve">ensuring that health information </w:t>
      </w:r>
      <w:r w:rsidR="002B39D2" w:rsidRPr="002B39D2">
        <w:rPr>
          <w:rFonts w:eastAsia="Gill Sans MT" w:cs="Calibri"/>
          <w:color w:val="auto"/>
          <w:sz w:val="22"/>
          <w:lang w:val="en-US"/>
        </w:rPr>
        <w:t xml:space="preserve">MNASRH data and local/national strategy </w:t>
      </w:r>
      <w:r w:rsidR="007A0118">
        <w:rPr>
          <w:rFonts w:eastAsia="Gill Sans MT" w:cs="Calibri"/>
          <w:color w:val="auto"/>
          <w:sz w:val="22"/>
          <w:lang w:val="en-US"/>
        </w:rPr>
        <w:t xml:space="preserve">shared </w:t>
      </w:r>
      <w:r w:rsidR="002B39D2">
        <w:rPr>
          <w:rFonts w:eastAsia="Gill Sans MT" w:cs="Calibri"/>
          <w:color w:val="auto"/>
          <w:sz w:val="22"/>
          <w:lang w:val="en-US"/>
        </w:rPr>
        <w:t>is</w:t>
      </w:r>
      <w:r w:rsidR="009E6B89" w:rsidRPr="009E6B89">
        <w:rPr>
          <w:rFonts w:eastAsia="Gill Sans MT" w:cs="Calibri"/>
          <w:color w:val="auto"/>
          <w:sz w:val="22"/>
          <w:lang w:val="en-US"/>
        </w:rPr>
        <w:t xml:space="preserve"> clear, </w:t>
      </w:r>
      <w:proofErr w:type="gramStart"/>
      <w:r w:rsidR="009E6B89" w:rsidRPr="009E6B89">
        <w:rPr>
          <w:rFonts w:eastAsia="Gill Sans MT" w:cs="Calibri"/>
          <w:color w:val="auto"/>
          <w:sz w:val="22"/>
          <w:lang w:val="en-US"/>
        </w:rPr>
        <w:t>appropriate</w:t>
      </w:r>
      <w:proofErr w:type="gramEnd"/>
      <w:r w:rsidR="009E6B89" w:rsidRPr="009E6B89">
        <w:rPr>
          <w:rFonts w:eastAsia="Gill Sans MT" w:cs="Calibri"/>
          <w:color w:val="auto"/>
          <w:sz w:val="22"/>
          <w:lang w:val="en-US"/>
        </w:rPr>
        <w:t xml:space="preserve"> and accurate </w:t>
      </w:r>
      <w:r w:rsidR="007A0118">
        <w:rPr>
          <w:rFonts w:eastAsia="Gill Sans MT" w:cs="Calibri"/>
          <w:color w:val="auto"/>
          <w:sz w:val="22"/>
          <w:lang w:val="en-US"/>
        </w:rPr>
        <w:t xml:space="preserve">and serves </w:t>
      </w:r>
      <w:r w:rsidR="00FD484D" w:rsidRPr="00FD484D">
        <w:rPr>
          <w:rFonts w:eastAsia="Gill Sans MT" w:cs="Calibri"/>
          <w:color w:val="auto"/>
          <w:sz w:val="22"/>
          <w:lang w:val="en-US"/>
        </w:rPr>
        <w:t xml:space="preserve">as empowering mechanisms to </w:t>
      </w:r>
      <w:r w:rsidR="007A0118">
        <w:rPr>
          <w:rFonts w:eastAsia="Gill Sans MT" w:cs="Calibri"/>
          <w:color w:val="auto"/>
          <w:sz w:val="22"/>
          <w:lang w:val="en-US"/>
        </w:rPr>
        <w:t>make informed decisions.</w:t>
      </w:r>
    </w:p>
    <w:p w14:paraId="55A9CC57" w14:textId="1833DF44" w:rsidR="009E596C" w:rsidRDefault="00587FDF" w:rsidP="00A41CAE">
      <w:pPr>
        <w:pStyle w:val="ListParagraph"/>
        <w:numPr>
          <w:ilvl w:val="0"/>
          <w:numId w:val="68"/>
        </w:numPr>
        <w:spacing w:after="120" w:line="360" w:lineRule="auto"/>
        <w:jc w:val="both"/>
        <w:rPr>
          <w:rFonts w:eastAsia="Gill Sans MT" w:cs="Calibri"/>
          <w:color w:val="auto"/>
          <w:sz w:val="22"/>
          <w:lang w:val="en-US"/>
        </w:rPr>
      </w:pPr>
      <w:r>
        <w:rPr>
          <w:rFonts w:eastAsia="Gill Sans MT" w:cs="Calibri"/>
          <w:color w:val="auto"/>
          <w:sz w:val="22"/>
          <w:lang w:val="en-US"/>
        </w:rPr>
        <w:t xml:space="preserve">Availability of </w:t>
      </w:r>
      <w:r w:rsidR="00BB6018">
        <w:rPr>
          <w:rFonts w:eastAsia="Gill Sans MT" w:cs="Calibri"/>
          <w:color w:val="auto"/>
          <w:sz w:val="22"/>
          <w:lang w:val="en-US"/>
        </w:rPr>
        <w:t xml:space="preserve">optimized </w:t>
      </w:r>
      <w:r>
        <w:rPr>
          <w:rFonts w:eastAsia="Gill Sans MT" w:cs="Calibri"/>
          <w:color w:val="auto"/>
          <w:sz w:val="22"/>
          <w:lang w:val="en-US"/>
        </w:rPr>
        <w:t xml:space="preserve">community and </w:t>
      </w:r>
      <w:r w:rsidR="00BB6018">
        <w:rPr>
          <w:rFonts w:eastAsia="Gill Sans MT" w:cs="Calibri"/>
          <w:color w:val="auto"/>
          <w:sz w:val="22"/>
          <w:lang w:val="en-US"/>
        </w:rPr>
        <w:t>patient opinions mechanisms like “Community score card”</w:t>
      </w:r>
      <w:r w:rsidR="00023E0E">
        <w:rPr>
          <w:rFonts w:eastAsia="Gill Sans MT" w:cs="Calibri"/>
          <w:color w:val="auto"/>
          <w:sz w:val="22"/>
          <w:lang w:val="en-US"/>
        </w:rPr>
        <w:t xml:space="preserve">, </w:t>
      </w:r>
      <w:r w:rsidR="005E34DB" w:rsidRPr="00F64165">
        <w:rPr>
          <w:rFonts w:eastAsia="Gill Sans MT" w:cs="Calibri"/>
          <w:color w:val="auto"/>
          <w:sz w:val="22"/>
          <w:lang w:val="en-US"/>
        </w:rPr>
        <w:t xml:space="preserve">patient voice program and patient satisfaction survey, which will (i) </w:t>
      </w:r>
      <w:r w:rsidR="00023E0E" w:rsidRPr="00023E0E">
        <w:rPr>
          <w:rFonts w:eastAsia="Gill Sans MT" w:cs="Calibri"/>
          <w:color w:val="auto"/>
          <w:sz w:val="22"/>
          <w:lang w:val="en-US"/>
        </w:rPr>
        <w:t xml:space="preserve">rate performance of the assessed health facility, </w:t>
      </w:r>
      <w:r w:rsidR="00023E0E">
        <w:rPr>
          <w:rFonts w:eastAsia="Gill Sans MT" w:cs="Calibri"/>
          <w:color w:val="auto"/>
          <w:sz w:val="22"/>
          <w:lang w:val="en-US"/>
        </w:rPr>
        <w:t xml:space="preserve">(ii) </w:t>
      </w:r>
      <w:r w:rsidR="005E34DB" w:rsidRPr="00F64165">
        <w:rPr>
          <w:rFonts w:eastAsia="Gill Sans MT" w:cs="Calibri"/>
          <w:color w:val="auto"/>
          <w:sz w:val="22"/>
          <w:lang w:val="en-US"/>
        </w:rPr>
        <w:t>reduce communication gaps between clients and healthcare providers through effective information dissemination; (ii</w:t>
      </w:r>
      <w:r w:rsidR="00023E0E">
        <w:rPr>
          <w:rFonts w:eastAsia="Gill Sans MT" w:cs="Calibri"/>
          <w:color w:val="auto"/>
          <w:sz w:val="22"/>
          <w:lang w:val="en-US"/>
        </w:rPr>
        <w:t>i</w:t>
      </w:r>
      <w:r w:rsidR="005E34DB" w:rsidRPr="00F64165">
        <w:rPr>
          <w:rFonts w:eastAsia="Gill Sans MT" w:cs="Calibri"/>
          <w:color w:val="auto"/>
          <w:sz w:val="22"/>
          <w:lang w:val="en-US"/>
        </w:rPr>
        <w:t>) diminish identified barriers to service utilization; (i</w:t>
      </w:r>
      <w:r w:rsidR="00023E0E">
        <w:rPr>
          <w:rFonts w:eastAsia="Gill Sans MT" w:cs="Calibri"/>
          <w:color w:val="auto"/>
          <w:sz w:val="22"/>
          <w:lang w:val="en-US"/>
        </w:rPr>
        <w:t>v</w:t>
      </w:r>
      <w:r w:rsidR="005E34DB" w:rsidRPr="00F64165">
        <w:rPr>
          <w:rFonts w:eastAsia="Gill Sans MT" w:cs="Calibri"/>
          <w:color w:val="auto"/>
          <w:sz w:val="22"/>
          <w:lang w:val="en-US"/>
        </w:rPr>
        <w:t>) increase and sustain provider accountability to clients/communities; (v) increase client/community participation in healthcare quality assessment and subsequent quality improvement initiatives/efforts</w:t>
      </w:r>
      <w:r w:rsidR="00F9774F">
        <w:rPr>
          <w:rFonts w:eastAsia="Gill Sans MT" w:cs="Calibri"/>
          <w:color w:val="auto"/>
          <w:sz w:val="22"/>
          <w:lang w:val="en-US"/>
        </w:rPr>
        <w:t>.</w:t>
      </w:r>
    </w:p>
    <w:p w14:paraId="3F1E4F6D" w14:textId="77777777" w:rsidR="00A33E4F" w:rsidRPr="0045528C" w:rsidRDefault="002078C3" w:rsidP="00A41CAE">
      <w:pPr>
        <w:pStyle w:val="ListParagraph"/>
        <w:numPr>
          <w:ilvl w:val="0"/>
          <w:numId w:val="68"/>
        </w:numPr>
        <w:spacing w:after="120" w:line="360" w:lineRule="auto"/>
        <w:jc w:val="both"/>
        <w:rPr>
          <w:rFonts w:eastAsia="Gill Sans MT" w:cs="Calibri"/>
          <w:color w:val="auto"/>
          <w:sz w:val="22"/>
          <w:lang w:val="en-US"/>
        </w:rPr>
      </w:pPr>
      <w:r w:rsidRPr="0045528C">
        <w:rPr>
          <w:rFonts w:eastAsia="Gill Sans MT" w:cs="Calibri"/>
          <w:color w:val="auto"/>
          <w:sz w:val="22"/>
          <w:lang w:val="en-US"/>
        </w:rPr>
        <w:t>The following s</w:t>
      </w:r>
      <w:r w:rsidR="00A623AB" w:rsidRPr="0045528C">
        <w:rPr>
          <w:rFonts w:eastAsia="Gill Sans MT" w:cs="Calibri"/>
          <w:color w:val="auto"/>
          <w:sz w:val="22"/>
          <w:lang w:val="en-US"/>
        </w:rPr>
        <w:t>ocial and behavioral changes</w:t>
      </w:r>
      <w:r w:rsidR="006C3655" w:rsidRPr="0045528C">
        <w:rPr>
          <w:rFonts w:eastAsia="Gill Sans MT" w:cs="Calibri"/>
          <w:color w:val="auto"/>
          <w:sz w:val="22"/>
          <w:lang w:val="en-US"/>
        </w:rPr>
        <w:t xml:space="preserve"> </w:t>
      </w:r>
    </w:p>
    <w:p w14:paraId="47D0126A" w14:textId="2A19E977" w:rsidR="00A623AB" w:rsidRPr="00DE2924" w:rsidRDefault="00A623AB" w:rsidP="00A41CAE">
      <w:pPr>
        <w:pStyle w:val="ListParagraph"/>
        <w:numPr>
          <w:ilvl w:val="0"/>
          <w:numId w:val="70"/>
        </w:numPr>
        <w:spacing w:after="120" w:line="360" w:lineRule="auto"/>
        <w:jc w:val="both"/>
        <w:rPr>
          <w:rFonts w:eastAsia="Gill Sans MT" w:cs="Calibri"/>
          <w:color w:val="auto"/>
          <w:sz w:val="22"/>
          <w:lang w:val="en-US"/>
        </w:rPr>
      </w:pPr>
      <w:r w:rsidRPr="00DE2924">
        <w:rPr>
          <w:rFonts w:eastAsia="Gill Sans MT" w:cs="Calibri"/>
          <w:color w:val="auto"/>
          <w:sz w:val="22"/>
          <w:lang w:val="en-US"/>
        </w:rPr>
        <w:t xml:space="preserve">Harness the demand side in pressing for change and improving the responsiveness of the supply </w:t>
      </w:r>
      <w:proofErr w:type="gramStart"/>
      <w:r w:rsidRPr="00DE2924">
        <w:rPr>
          <w:rFonts w:eastAsia="Gill Sans MT" w:cs="Calibri"/>
          <w:color w:val="auto"/>
          <w:sz w:val="22"/>
          <w:lang w:val="en-US"/>
        </w:rPr>
        <w:t>side;</w:t>
      </w:r>
      <w:proofErr w:type="gramEnd"/>
    </w:p>
    <w:p w14:paraId="78A79FCB" w14:textId="3B3D5BD0" w:rsidR="009E596C" w:rsidRPr="0083623F" w:rsidRDefault="00A623AB" w:rsidP="00A41CAE">
      <w:pPr>
        <w:pStyle w:val="ListParagraph"/>
        <w:numPr>
          <w:ilvl w:val="0"/>
          <w:numId w:val="70"/>
        </w:numPr>
        <w:spacing w:after="120" w:line="360" w:lineRule="auto"/>
        <w:jc w:val="both"/>
        <w:rPr>
          <w:rFonts w:eastAsia="Gill Sans MT" w:cs="Calibri"/>
          <w:color w:val="auto"/>
          <w:sz w:val="22"/>
          <w:lang w:val="en-US"/>
        </w:rPr>
      </w:pPr>
      <w:r w:rsidRPr="0083623F">
        <w:rPr>
          <w:rFonts w:eastAsia="Gill Sans MT" w:cs="Calibri"/>
          <w:color w:val="auto"/>
          <w:sz w:val="22"/>
          <w:lang w:val="en-US"/>
        </w:rPr>
        <w:lastRenderedPageBreak/>
        <w:t>Increased use of health services related to RMNCAH, modern FP, ASRH.</w:t>
      </w:r>
    </w:p>
    <w:p w14:paraId="45B6EB43" w14:textId="37526AEB" w:rsidR="009E596C" w:rsidRPr="00F64165" w:rsidRDefault="00A623AB" w:rsidP="00A41CAE">
      <w:pPr>
        <w:pStyle w:val="ListParagraph"/>
        <w:numPr>
          <w:ilvl w:val="0"/>
          <w:numId w:val="68"/>
        </w:numPr>
        <w:spacing w:after="120" w:line="360" w:lineRule="auto"/>
        <w:jc w:val="both"/>
        <w:rPr>
          <w:rFonts w:eastAsia="Gill Sans MT" w:cs="Calibri"/>
          <w:color w:val="auto"/>
          <w:sz w:val="22"/>
          <w:lang w:val="en-US"/>
        </w:rPr>
      </w:pPr>
      <w:r w:rsidRPr="00F64165">
        <w:rPr>
          <w:rFonts w:eastAsia="Gill Sans MT" w:cs="Calibri"/>
          <w:color w:val="auto"/>
          <w:sz w:val="22"/>
          <w:lang w:val="en-US"/>
        </w:rPr>
        <w:t>The monitoring and evaluation system is in place to follow up and document program progress, social and behavior changes observed and provide feedback to stakeholders for future program orientation</w:t>
      </w:r>
      <w:r w:rsidR="00DE2924">
        <w:rPr>
          <w:rFonts w:eastAsia="Gill Sans MT" w:cs="Calibri"/>
          <w:color w:val="auto"/>
          <w:sz w:val="22"/>
          <w:lang w:val="en-US"/>
        </w:rPr>
        <w:t>.</w:t>
      </w:r>
    </w:p>
    <w:p w14:paraId="0C748022" w14:textId="3FA4CD78" w:rsidR="009E596C" w:rsidRPr="00F64165" w:rsidRDefault="00A623AB" w:rsidP="00A41CAE">
      <w:pPr>
        <w:pStyle w:val="ListParagraph"/>
        <w:numPr>
          <w:ilvl w:val="0"/>
          <w:numId w:val="68"/>
        </w:numPr>
        <w:spacing w:after="120" w:line="360" w:lineRule="auto"/>
        <w:jc w:val="both"/>
        <w:rPr>
          <w:rFonts w:eastAsia="Gill Sans MT" w:cs="Calibri"/>
          <w:color w:val="auto"/>
          <w:sz w:val="22"/>
          <w:lang w:val="en-US"/>
        </w:rPr>
      </w:pPr>
      <w:r w:rsidRPr="00F64165">
        <w:rPr>
          <w:rFonts w:eastAsia="Gill Sans MT" w:cs="Calibri"/>
          <w:color w:val="auto"/>
          <w:sz w:val="22"/>
          <w:lang w:val="en-US"/>
        </w:rPr>
        <w:t>Strategies that sustain changes in the population in place to be replicated in different districts</w:t>
      </w:r>
      <w:r w:rsidR="00A33E4F">
        <w:rPr>
          <w:rFonts w:eastAsia="Gill Sans MT" w:cs="Calibri"/>
          <w:color w:val="auto"/>
          <w:sz w:val="22"/>
          <w:lang w:val="en-US"/>
        </w:rPr>
        <w:t>.</w:t>
      </w:r>
    </w:p>
    <w:p w14:paraId="3F277E55" w14:textId="38CF2C48" w:rsidR="00FB1CBC" w:rsidRPr="00670F50" w:rsidRDefault="00A623AB" w:rsidP="00A41CAE">
      <w:pPr>
        <w:pStyle w:val="ListParagraph"/>
        <w:numPr>
          <w:ilvl w:val="0"/>
          <w:numId w:val="68"/>
        </w:numPr>
        <w:spacing w:after="120" w:line="360" w:lineRule="auto"/>
        <w:jc w:val="both"/>
        <w:rPr>
          <w:rFonts w:eastAsia="Gill Sans MT" w:cs="Calibri"/>
          <w:color w:val="auto"/>
          <w:sz w:val="22"/>
          <w:lang w:val="en-US"/>
        </w:rPr>
      </w:pPr>
      <w:r w:rsidRPr="00F64165">
        <w:rPr>
          <w:rFonts w:eastAsia="Gill Sans MT" w:cs="Calibri"/>
          <w:color w:val="auto"/>
          <w:sz w:val="22"/>
          <w:lang w:val="en-US"/>
        </w:rPr>
        <w:t>Evidence-based communication channels that are influencing changes highlighted to be scaled up in different districts.</w:t>
      </w:r>
    </w:p>
    <w:p w14:paraId="1C980009" w14:textId="77777777" w:rsidR="004F07DF" w:rsidRPr="00F64165" w:rsidRDefault="004F07DF" w:rsidP="00A41CAE">
      <w:pPr>
        <w:numPr>
          <w:ilvl w:val="1"/>
          <w:numId w:val="63"/>
        </w:numPr>
        <w:spacing w:before="160" w:line="360" w:lineRule="auto"/>
        <w:rPr>
          <w:rFonts w:cs="Calibri"/>
          <w:b/>
          <w:color w:val="auto"/>
          <w:sz w:val="24"/>
          <w:szCs w:val="24"/>
          <w:lang w:val="en-US"/>
        </w:rPr>
      </w:pPr>
      <w:bookmarkStart w:id="159" w:name="_Toc42079076"/>
      <w:bookmarkStart w:id="160" w:name="_Toc89850328"/>
      <w:r w:rsidRPr="00F64165">
        <w:rPr>
          <w:rFonts w:cs="Calibri"/>
          <w:b/>
          <w:color w:val="auto"/>
          <w:sz w:val="24"/>
          <w:szCs w:val="24"/>
          <w:lang w:val="en-US"/>
        </w:rPr>
        <w:t>Scope of Work</w:t>
      </w:r>
      <w:bookmarkEnd w:id="159"/>
      <w:bookmarkEnd w:id="160"/>
    </w:p>
    <w:p w14:paraId="0E461A3C" w14:textId="77777777" w:rsidR="004F07DF" w:rsidRPr="00F64165" w:rsidRDefault="004F07DF" w:rsidP="004F07DF">
      <w:pPr>
        <w:spacing w:before="120" w:after="120"/>
        <w:rPr>
          <w:rFonts w:cs="Calibri"/>
          <w:b/>
          <w:bCs/>
          <w:color w:val="auto"/>
          <w:sz w:val="24"/>
          <w:szCs w:val="24"/>
          <w:lang w:val="en-US"/>
        </w:rPr>
      </w:pPr>
      <w:r w:rsidRPr="00F64165">
        <w:rPr>
          <w:rFonts w:cs="Calibri"/>
          <w:b/>
          <w:bCs/>
          <w:color w:val="auto"/>
          <w:sz w:val="24"/>
          <w:szCs w:val="24"/>
          <w:lang w:val="en-US"/>
        </w:rPr>
        <w:t>(a) Geographical Scope</w:t>
      </w:r>
    </w:p>
    <w:p w14:paraId="326935C8" w14:textId="77777777" w:rsidR="004F07DF" w:rsidRPr="00F64165" w:rsidRDefault="004F07DF" w:rsidP="007757F8">
      <w:pPr>
        <w:spacing w:after="120" w:line="360" w:lineRule="auto"/>
        <w:jc w:val="both"/>
        <w:rPr>
          <w:rFonts w:cs="Calibri"/>
          <w:color w:val="auto"/>
          <w:kern w:val="18"/>
          <w:sz w:val="22"/>
          <w:lang w:val="en-US"/>
        </w:rPr>
      </w:pPr>
      <w:r w:rsidRPr="00F64165">
        <w:rPr>
          <w:rFonts w:cs="Calibri"/>
          <w:color w:val="auto"/>
          <w:kern w:val="18"/>
          <w:sz w:val="22"/>
          <w:lang w:val="en-US"/>
        </w:rPr>
        <w:t>The consultant(s)/consulting firm is expected to carry out the assignment in seven districts supported by Barame Project located Southern, Western and Northern and City of Kigali.</w:t>
      </w:r>
    </w:p>
    <w:p w14:paraId="09410629" w14:textId="341AFF27" w:rsidR="004F07DF" w:rsidRPr="00F64165" w:rsidRDefault="004F07DF" w:rsidP="007757F8">
      <w:pPr>
        <w:spacing w:after="120" w:line="360" w:lineRule="auto"/>
        <w:jc w:val="both"/>
        <w:rPr>
          <w:rFonts w:cs="Calibri"/>
          <w:color w:val="auto"/>
          <w:kern w:val="18"/>
          <w:sz w:val="22"/>
          <w:lang w:val="en-US"/>
        </w:rPr>
      </w:pPr>
      <w:r w:rsidRPr="00F64165">
        <w:rPr>
          <w:rFonts w:cs="Calibri"/>
          <w:color w:val="auto"/>
          <w:kern w:val="18"/>
          <w:sz w:val="22"/>
          <w:lang w:val="en-US"/>
        </w:rPr>
        <w:t>The table below gives an overview of the geographical coverage of the assignment: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463"/>
        <w:gridCol w:w="1737"/>
        <w:gridCol w:w="1416"/>
        <w:gridCol w:w="1613"/>
      </w:tblGrid>
      <w:tr w:rsidR="00F64165" w:rsidRPr="00F64165" w14:paraId="101F57F0" w14:textId="77777777" w:rsidTr="009F6F46">
        <w:trPr>
          <w:trHeight w:val="360"/>
        </w:trPr>
        <w:tc>
          <w:tcPr>
            <w:tcW w:w="1911" w:type="dxa"/>
            <w:shd w:val="clear" w:color="auto" w:fill="FFFFFF"/>
          </w:tcPr>
          <w:p w14:paraId="1E9617D5" w14:textId="77777777" w:rsidR="004F07DF" w:rsidRPr="00F64165" w:rsidRDefault="004F07DF" w:rsidP="009F6F46">
            <w:pPr>
              <w:tabs>
                <w:tab w:val="right" w:pos="2403"/>
              </w:tabs>
              <w:spacing w:line="240" w:lineRule="auto"/>
              <w:rPr>
                <w:rFonts w:cs="Calibri"/>
                <w:b/>
                <w:color w:val="auto"/>
                <w:kern w:val="18"/>
                <w:sz w:val="22"/>
              </w:rPr>
            </w:pPr>
            <w:r w:rsidRPr="00F64165">
              <w:rPr>
                <w:rFonts w:cs="Calibri"/>
                <w:b/>
                <w:color w:val="auto"/>
                <w:kern w:val="18"/>
                <w:sz w:val="22"/>
              </w:rPr>
              <w:t>Province</w:t>
            </w:r>
          </w:p>
        </w:tc>
        <w:tc>
          <w:tcPr>
            <w:tcW w:w="1211" w:type="dxa"/>
            <w:shd w:val="clear" w:color="auto" w:fill="FFFFFF"/>
          </w:tcPr>
          <w:p w14:paraId="7F1CFE0C" w14:textId="77777777" w:rsidR="004F07DF" w:rsidRPr="00F64165" w:rsidRDefault="004F07DF" w:rsidP="009F6F46">
            <w:pPr>
              <w:spacing w:line="240" w:lineRule="auto"/>
              <w:rPr>
                <w:rFonts w:cs="Calibri"/>
                <w:b/>
                <w:color w:val="auto"/>
                <w:kern w:val="18"/>
                <w:sz w:val="22"/>
              </w:rPr>
            </w:pPr>
            <w:r w:rsidRPr="00F64165">
              <w:rPr>
                <w:rFonts w:cs="Calibri"/>
                <w:b/>
                <w:color w:val="auto"/>
                <w:kern w:val="18"/>
                <w:sz w:val="22"/>
              </w:rPr>
              <w:t>District</w:t>
            </w:r>
          </w:p>
        </w:tc>
        <w:tc>
          <w:tcPr>
            <w:tcW w:w="1737" w:type="dxa"/>
            <w:shd w:val="clear" w:color="auto" w:fill="FFFFFF"/>
          </w:tcPr>
          <w:p w14:paraId="164B10FE" w14:textId="77777777" w:rsidR="004F07DF" w:rsidRPr="00F64165" w:rsidRDefault="004F07DF" w:rsidP="009F6F46">
            <w:pPr>
              <w:spacing w:line="240" w:lineRule="auto"/>
              <w:rPr>
                <w:rFonts w:cs="Calibri"/>
                <w:b/>
                <w:color w:val="auto"/>
                <w:kern w:val="18"/>
                <w:sz w:val="22"/>
              </w:rPr>
            </w:pPr>
            <w:r w:rsidRPr="00F64165">
              <w:rPr>
                <w:rFonts w:cs="Calibri"/>
                <w:b/>
                <w:color w:val="auto"/>
                <w:kern w:val="18"/>
                <w:sz w:val="22"/>
              </w:rPr>
              <w:t>Number of sectors</w:t>
            </w:r>
          </w:p>
        </w:tc>
        <w:tc>
          <w:tcPr>
            <w:tcW w:w="1416" w:type="dxa"/>
            <w:shd w:val="clear" w:color="auto" w:fill="FFFFFF"/>
          </w:tcPr>
          <w:p w14:paraId="58D792D9" w14:textId="77777777" w:rsidR="004F07DF" w:rsidRPr="00F64165" w:rsidRDefault="004F07DF" w:rsidP="009F6F46">
            <w:pPr>
              <w:spacing w:line="240" w:lineRule="auto"/>
              <w:rPr>
                <w:rFonts w:cs="Calibri"/>
                <w:b/>
                <w:color w:val="auto"/>
                <w:kern w:val="18"/>
                <w:sz w:val="22"/>
              </w:rPr>
            </w:pPr>
            <w:r w:rsidRPr="00F64165">
              <w:rPr>
                <w:rFonts w:cs="Calibri"/>
                <w:b/>
                <w:color w:val="auto"/>
                <w:kern w:val="18"/>
                <w:sz w:val="22"/>
              </w:rPr>
              <w:t>Number of cells</w:t>
            </w:r>
          </w:p>
        </w:tc>
        <w:tc>
          <w:tcPr>
            <w:tcW w:w="1613" w:type="dxa"/>
            <w:shd w:val="clear" w:color="auto" w:fill="FFFFFF"/>
          </w:tcPr>
          <w:p w14:paraId="61297FF9" w14:textId="77777777" w:rsidR="004F07DF" w:rsidRPr="00F64165" w:rsidRDefault="004F07DF" w:rsidP="009F6F46">
            <w:pPr>
              <w:spacing w:line="240" w:lineRule="auto"/>
              <w:rPr>
                <w:rFonts w:cs="Calibri"/>
                <w:b/>
                <w:color w:val="auto"/>
                <w:kern w:val="18"/>
                <w:sz w:val="22"/>
              </w:rPr>
            </w:pPr>
            <w:r w:rsidRPr="00F64165">
              <w:rPr>
                <w:rFonts w:cs="Calibri"/>
                <w:b/>
                <w:color w:val="auto"/>
                <w:kern w:val="18"/>
                <w:sz w:val="22"/>
              </w:rPr>
              <w:t>Number of villages</w:t>
            </w:r>
          </w:p>
        </w:tc>
      </w:tr>
      <w:tr w:rsidR="00F64165" w:rsidRPr="00F64165" w14:paraId="083ABE89" w14:textId="77777777" w:rsidTr="009F6F46">
        <w:trPr>
          <w:trHeight w:val="148"/>
        </w:trPr>
        <w:tc>
          <w:tcPr>
            <w:tcW w:w="1911" w:type="dxa"/>
            <w:shd w:val="clear" w:color="auto" w:fill="auto"/>
          </w:tcPr>
          <w:p w14:paraId="1D7D5BEB" w14:textId="77777777" w:rsidR="004F07DF" w:rsidRPr="00F64165" w:rsidRDefault="004F07DF" w:rsidP="009F6F46">
            <w:pPr>
              <w:spacing w:line="240" w:lineRule="auto"/>
              <w:rPr>
                <w:rFonts w:cs="Calibri"/>
                <w:b/>
                <w:color w:val="auto"/>
                <w:kern w:val="18"/>
                <w:sz w:val="22"/>
              </w:rPr>
            </w:pPr>
            <w:r w:rsidRPr="00F64165">
              <w:rPr>
                <w:rFonts w:cs="Calibri"/>
                <w:b/>
                <w:color w:val="auto"/>
                <w:kern w:val="18"/>
                <w:sz w:val="22"/>
              </w:rPr>
              <w:t>City of Kigali</w:t>
            </w:r>
          </w:p>
        </w:tc>
        <w:tc>
          <w:tcPr>
            <w:tcW w:w="1211" w:type="dxa"/>
            <w:shd w:val="clear" w:color="auto" w:fill="auto"/>
          </w:tcPr>
          <w:p w14:paraId="6D3C1604"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Nyarugenge</w:t>
            </w:r>
          </w:p>
        </w:tc>
        <w:tc>
          <w:tcPr>
            <w:tcW w:w="1737" w:type="dxa"/>
            <w:shd w:val="clear" w:color="auto" w:fill="auto"/>
          </w:tcPr>
          <w:p w14:paraId="35259AE1"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10</w:t>
            </w:r>
          </w:p>
        </w:tc>
        <w:tc>
          <w:tcPr>
            <w:tcW w:w="1416" w:type="dxa"/>
            <w:tcBorders>
              <w:top w:val="nil"/>
              <w:left w:val="single" w:sz="4" w:space="0" w:color="auto"/>
              <w:bottom w:val="single" w:sz="4" w:space="0" w:color="auto"/>
              <w:right w:val="single" w:sz="4" w:space="0" w:color="auto"/>
            </w:tcBorders>
            <w:shd w:val="clear" w:color="auto" w:fill="auto"/>
            <w:vAlign w:val="bottom"/>
          </w:tcPr>
          <w:p w14:paraId="7EB3744A" w14:textId="77777777" w:rsidR="004F07DF" w:rsidRPr="00F64165" w:rsidRDefault="004F07DF" w:rsidP="009F6F46">
            <w:pPr>
              <w:spacing w:line="240" w:lineRule="auto"/>
              <w:rPr>
                <w:rFonts w:cs="Calibri"/>
                <w:color w:val="auto"/>
                <w:kern w:val="18"/>
                <w:sz w:val="22"/>
              </w:rPr>
            </w:pPr>
            <w:r w:rsidRPr="00F64165">
              <w:rPr>
                <w:rFonts w:eastAsia="Times New Roman" w:cs="Calibri"/>
                <w:color w:val="auto"/>
                <w:sz w:val="22"/>
              </w:rPr>
              <w:t>47</w:t>
            </w:r>
          </w:p>
        </w:tc>
        <w:tc>
          <w:tcPr>
            <w:tcW w:w="1613" w:type="dxa"/>
            <w:shd w:val="clear" w:color="auto" w:fill="auto"/>
          </w:tcPr>
          <w:p w14:paraId="458130D2"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350</w:t>
            </w:r>
          </w:p>
        </w:tc>
      </w:tr>
      <w:tr w:rsidR="00F64165" w:rsidRPr="00F64165" w14:paraId="4A8BC60E" w14:textId="77777777" w:rsidTr="009F6F46">
        <w:trPr>
          <w:trHeight w:val="208"/>
        </w:trPr>
        <w:tc>
          <w:tcPr>
            <w:tcW w:w="1911" w:type="dxa"/>
            <w:vMerge w:val="restart"/>
            <w:shd w:val="clear" w:color="auto" w:fill="auto"/>
          </w:tcPr>
          <w:p w14:paraId="50AC43DE" w14:textId="77777777" w:rsidR="004F07DF" w:rsidRPr="00F64165" w:rsidRDefault="004F07DF" w:rsidP="009F6F46">
            <w:pPr>
              <w:spacing w:line="240" w:lineRule="auto"/>
              <w:rPr>
                <w:rFonts w:cs="Calibri"/>
                <w:b/>
                <w:color w:val="auto"/>
                <w:kern w:val="18"/>
                <w:sz w:val="22"/>
              </w:rPr>
            </w:pPr>
            <w:r w:rsidRPr="00F64165">
              <w:rPr>
                <w:rFonts w:cs="Calibri"/>
                <w:b/>
                <w:color w:val="auto"/>
                <w:kern w:val="18"/>
                <w:sz w:val="22"/>
              </w:rPr>
              <w:t>Northern</w:t>
            </w:r>
          </w:p>
        </w:tc>
        <w:tc>
          <w:tcPr>
            <w:tcW w:w="1211" w:type="dxa"/>
            <w:shd w:val="clear" w:color="auto" w:fill="auto"/>
          </w:tcPr>
          <w:p w14:paraId="7BB47B07"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Gakenke</w:t>
            </w:r>
          </w:p>
        </w:tc>
        <w:tc>
          <w:tcPr>
            <w:tcW w:w="1737" w:type="dxa"/>
            <w:shd w:val="clear" w:color="auto" w:fill="auto"/>
          </w:tcPr>
          <w:p w14:paraId="55E0C483"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19</w:t>
            </w:r>
          </w:p>
        </w:tc>
        <w:tc>
          <w:tcPr>
            <w:tcW w:w="1416" w:type="dxa"/>
            <w:tcBorders>
              <w:top w:val="nil"/>
              <w:left w:val="single" w:sz="4" w:space="0" w:color="auto"/>
              <w:bottom w:val="single" w:sz="4" w:space="0" w:color="auto"/>
              <w:right w:val="single" w:sz="4" w:space="0" w:color="auto"/>
            </w:tcBorders>
            <w:shd w:val="clear" w:color="auto" w:fill="auto"/>
            <w:vAlign w:val="bottom"/>
          </w:tcPr>
          <w:p w14:paraId="2ADFB0EE"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97</w:t>
            </w:r>
          </w:p>
        </w:tc>
        <w:tc>
          <w:tcPr>
            <w:tcW w:w="1613" w:type="dxa"/>
            <w:shd w:val="clear" w:color="auto" w:fill="auto"/>
          </w:tcPr>
          <w:p w14:paraId="62935E0B"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617</w:t>
            </w:r>
          </w:p>
        </w:tc>
      </w:tr>
      <w:tr w:rsidR="00F64165" w:rsidRPr="00F64165" w14:paraId="5A892CC3" w14:textId="77777777" w:rsidTr="009F6F46">
        <w:trPr>
          <w:trHeight w:val="305"/>
        </w:trPr>
        <w:tc>
          <w:tcPr>
            <w:tcW w:w="1911" w:type="dxa"/>
            <w:vMerge/>
            <w:shd w:val="clear" w:color="auto" w:fill="auto"/>
          </w:tcPr>
          <w:p w14:paraId="6F39DCCD" w14:textId="77777777" w:rsidR="004F07DF" w:rsidRPr="00F64165" w:rsidRDefault="004F07DF" w:rsidP="009F6F46">
            <w:pPr>
              <w:spacing w:line="240" w:lineRule="auto"/>
              <w:rPr>
                <w:rFonts w:cs="Calibri"/>
                <w:b/>
                <w:color w:val="auto"/>
                <w:kern w:val="18"/>
                <w:sz w:val="22"/>
              </w:rPr>
            </w:pPr>
          </w:p>
        </w:tc>
        <w:tc>
          <w:tcPr>
            <w:tcW w:w="1211" w:type="dxa"/>
            <w:shd w:val="clear" w:color="auto" w:fill="auto"/>
          </w:tcPr>
          <w:p w14:paraId="19D89CE3"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Rulindo</w:t>
            </w:r>
          </w:p>
        </w:tc>
        <w:tc>
          <w:tcPr>
            <w:tcW w:w="1737" w:type="dxa"/>
            <w:shd w:val="clear" w:color="auto" w:fill="auto"/>
          </w:tcPr>
          <w:p w14:paraId="2607600C"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17</w:t>
            </w:r>
          </w:p>
        </w:tc>
        <w:tc>
          <w:tcPr>
            <w:tcW w:w="1416" w:type="dxa"/>
            <w:tcBorders>
              <w:top w:val="nil"/>
              <w:left w:val="single" w:sz="4" w:space="0" w:color="auto"/>
              <w:bottom w:val="single" w:sz="4" w:space="0" w:color="auto"/>
              <w:right w:val="single" w:sz="4" w:space="0" w:color="auto"/>
            </w:tcBorders>
            <w:shd w:val="clear" w:color="auto" w:fill="auto"/>
            <w:vAlign w:val="bottom"/>
          </w:tcPr>
          <w:p w14:paraId="03FC6CF4" w14:textId="77777777" w:rsidR="004F07DF" w:rsidRPr="00F64165" w:rsidRDefault="004F07DF" w:rsidP="009F6F46">
            <w:pPr>
              <w:spacing w:line="240" w:lineRule="auto"/>
              <w:rPr>
                <w:rFonts w:cs="Calibri"/>
                <w:color w:val="auto"/>
                <w:kern w:val="18"/>
                <w:sz w:val="22"/>
              </w:rPr>
            </w:pPr>
            <w:r w:rsidRPr="00F64165">
              <w:rPr>
                <w:rFonts w:eastAsia="Times New Roman" w:cs="Calibri"/>
                <w:color w:val="auto"/>
                <w:sz w:val="22"/>
              </w:rPr>
              <w:t>71</w:t>
            </w:r>
          </w:p>
        </w:tc>
        <w:tc>
          <w:tcPr>
            <w:tcW w:w="1613" w:type="dxa"/>
            <w:shd w:val="clear" w:color="auto" w:fill="auto"/>
          </w:tcPr>
          <w:p w14:paraId="05EC6FC9"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494</w:t>
            </w:r>
          </w:p>
        </w:tc>
      </w:tr>
      <w:tr w:rsidR="00F64165" w:rsidRPr="00F64165" w14:paraId="4386B0A1" w14:textId="77777777" w:rsidTr="009F6F46">
        <w:trPr>
          <w:trHeight w:val="410"/>
        </w:trPr>
        <w:tc>
          <w:tcPr>
            <w:tcW w:w="1911" w:type="dxa"/>
            <w:shd w:val="clear" w:color="auto" w:fill="auto"/>
          </w:tcPr>
          <w:p w14:paraId="5B871E43" w14:textId="77777777" w:rsidR="004F07DF" w:rsidRPr="00F64165" w:rsidRDefault="004F07DF" w:rsidP="009F6F46">
            <w:pPr>
              <w:spacing w:line="240" w:lineRule="auto"/>
              <w:rPr>
                <w:rFonts w:cs="Calibri"/>
                <w:b/>
                <w:color w:val="auto"/>
                <w:kern w:val="18"/>
                <w:sz w:val="22"/>
              </w:rPr>
            </w:pPr>
            <w:r w:rsidRPr="00F64165">
              <w:rPr>
                <w:rFonts w:cs="Calibri"/>
                <w:b/>
                <w:color w:val="auto"/>
                <w:kern w:val="18"/>
                <w:sz w:val="22"/>
              </w:rPr>
              <w:t>Southern</w:t>
            </w:r>
          </w:p>
        </w:tc>
        <w:tc>
          <w:tcPr>
            <w:tcW w:w="1211" w:type="dxa"/>
            <w:shd w:val="clear" w:color="auto" w:fill="auto"/>
          </w:tcPr>
          <w:p w14:paraId="69A0DFFB"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Gisagara</w:t>
            </w:r>
          </w:p>
        </w:tc>
        <w:tc>
          <w:tcPr>
            <w:tcW w:w="1737" w:type="dxa"/>
            <w:shd w:val="clear" w:color="auto" w:fill="auto"/>
          </w:tcPr>
          <w:p w14:paraId="5BBD92BF"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13</w:t>
            </w:r>
          </w:p>
        </w:tc>
        <w:tc>
          <w:tcPr>
            <w:tcW w:w="1416" w:type="dxa"/>
            <w:tcBorders>
              <w:top w:val="nil"/>
              <w:left w:val="single" w:sz="4" w:space="0" w:color="auto"/>
              <w:bottom w:val="single" w:sz="4" w:space="0" w:color="auto"/>
              <w:right w:val="single" w:sz="4" w:space="0" w:color="auto"/>
            </w:tcBorders>
            <w:shd w:val="clear" w:color="auto" w:fill="auto"/>
            <w:vAlign w:val="bottom"/>
          </w:tcPr>
          <w:p w14:paraId="12B39F2D" w14:textId="77777777" w:rsidR="004F07DF" w:rsidRPr="00F64165" w:rsidRDefault="004F07DF" w:rsidP="009F6F46">
            <w:pPr>
              <w:spacing w:line="240" w:lineRule="auto"/>
              <w:rPr>
                <w:rFonts w:cs="Calibri"/>
                <w:color w:val="auto"/>
                <w:kern w:val="18"/>
                <w:sz w:val="22"/>
              </w:rPr>
            </w:pPr>
            <w:r w:rsidRPr="00F64165">
              <w:rPr>
                <w:rFonts w:eastAsia="Times New Roman" w:cs="Calibri"/>
                <w:color w:val="auto"/>
                <w:sz w:val="22"/>
              </w:rPr>
              <w:t>59</w:t>
            </w:r>
          </w:p>
        </w:tc>
        <w:tc>
          <w:tcPr>
            <w:tcW w:w="1613" w:type="dxa"/>
            <w:shd w:val="clear" w:color="auto" w:fill="auto"/>
          </w:tcPr>
          <w:p w14:paraId="0FEE4982"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524</w:t>
            </w:r>
          </w:p>
        </w:tc>
      </w:tr>
      <w:tr w:rsidR="00F64165" w:rsidRPr="00F64165" w14:paraId="4C2E0E7E" w14:textId="77777777" w:rsidTr="009F6F46">
        <w:trPr>
          <w:trHeight w:val="305"/>
        </w:trPr>
        <w:tc>
          <w:tcPr>
            <w:tcW w:w="1911" w:type="dxa"/>
            <w:vMerge w:val="restart"/>
            <w:shd w:val="clear" w:color="auto" w:fill="auto"/>
          </w:tcPr>
          <w:p w14:paraId="2132F75E" w14:textId="77777777" w:rsidR="004F07DF" w:rsidRPr="00F64165" w:rsidRDefault="004F07DF" w:rsidP="009F6F46">
            <w:pPr>
              <w:spacing w:line="240" w:lineRule="auto"/>
              <w:rPr>
                <w:rFonts w:cs="Calibri"/>
                <w:b/>
                <w:color w:val="auto"/>
                <w:kern w:val="18"/>
                <w:sz w:val="22"/>
              </w:rPr>
            </w:pPr>
            <w:r w:rsidRPr="00F64165">
              <w:rPr>
                <w:rFonts w:cs="Calibri"/>
                <w:b/>
                <w:color w:val="auto"/>
                <w:kern w:val="18"/>
                <w:sz w:val="22"/>
              </w:rPr>
              <w:t xml:space="preserve">Western </w:t>
            </w:r>
          </w:p>
        </w:tc>
        <w:tc>
          <w:tcPr>
            <w:tcW w:w="1211" w:type="dxa"/>
            <w:shd w:val="clear" w:color="auto" w:fill="auto"/>
          </w:tcPr>
          <w:p w14:paraId="3B4893AF"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Karongi</w:t>
            </w:r>
          </w:p>
        </w:tc>
        <w:tc>
          <w:tcPr>
            <w:tcW w:w="1737" w:type="dxa"/>
            <w:shd w:val="clear" w:color="auto" w:fill="auto"/>
          </w:tcPr>
          <w:p w14:paraId="6A5685CD"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13</w:t>
            </w:r>
          </w:p>
        </w:tc>
        <w:tc>
          <w:tcPr>
            <w:tcW w:w="1416" w:type="dxa"/>
            <w:tcBorders>
              <w:top w:val="nil"/>
              <w:left w:val="single" w:sz="4" w:space="0" w:color="auto"/>
              <w:bottom w:val="single" w:sz="4" w:space="0" w:color="auto"/>
              <w:right w:val="single" w:sz="4" w:space="0" w:color="auto"/>
            </w:tcBorders>
            <w:shd w:val="clear" w:color="auto" w:fill="auto"/>
            <w:vAlign w:val="bottom"/>
          </w:tcPr>
          <w:p w14:paraId="1457F286" w14:textId="77777777" w:rsidR="004F07DF" w:rsidRPr="00F64165" w:rsidRDefault="004F07DF" w:rsidP="009F6F46">
            <w:pPr>
              <w:spacing w:line="240" w:lineRule="auto"/>
              <w:rPr>
                <w:rFonts w:cs="Calibri"/>
                <w:color w:val="auto"/>
                <w:kern w:val="18"/>
                <w:sz w:val="22"/>
              </w:rPr>
            </w:pPr>
            <w:r w:rsidRPr="00F64165">
              <w:rPr>
                <w:rFonts w:eastAsia="Times New Roman" w:cs="Calibri"/>
                <w:color w:val="auto"/>
                <w:sz w:val="22"/>
              </w:rPr>
              <w:t>88</w:t>
            </w:r>
          </w:p>
        </w:tc>
        <w:tc>
          <w:tcPr>
            <w:tcW w:w="1613" w:type="dxa"/>
            <w:shd w:val="clear" w:color="auto" w:fill="auto"/>
          </w:tcPr>
          <w:p w14:paraId="0CFFCB7C"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537</w:t>
            </w:r>
          </w:p>
        </w:tc>
      </w:tr>
      <w:tr w:rsidR="00F64165" w:rsidRPr="00F64165" w14:paraId="57DFBC75" w14:textId="77777777" w:rsidTr="009F6F46">
        <w:trPr>
          <w:trHeight w:val="326"/>
        </w:trPr>
        <w:tc>
          <w:tcPr>
            <w:tcW w:w="1911" w:type="dxa"/>
            <w:vMerge/>
            <w:shd w:val="clear" w:color="auto" w:fill="auto"/>
          </w:tcPr>
          <w:p w14:paraId="1DEEC554" w14:textId="77777777" w:rsidR="004F07DF" w:rsidRPr="00F64165" w:rsidRDefault="004F07DF" w:rsidP="009F6F46">
            <w:pPr>
              <w:spacing w:line="240" w:lineRule="auto"/>
              <w:rPr>
                <w:rFonts w:cs="Calibri"/>
                <w:color w:val="auto"/>
                <w:kern w:val="18"/>
                <w:sz w:val="22"/>
              </w:rPr>
            </w:pPr>
          </w:p>
        </w:tc>
        <w:tc>
          <w:tcPr>
            <w:tcW w:w="1211" w:type="dxa"/>
            <w:shd w:val="clear" w:color="auto" w:fill="auto"/>
          </w:tcPr>
          <w:p w14:paraId="6C14DAEA"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Nyamasheke</w:t>
            </w:r>
          </w:p>
        </w:tc>
        <w:tc>
          <w:tcPr>
            <w:tcW w:w="1737" w:type="dxa"/>
            <w:shd w:val="clear" w:color="auto" w:fill="auto"/>
          </w:tcPr>
          <w:p w14:paraId="771F3412"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15</w:t>
            </w:r>
          </w:p>
        </w:tc>
        <w:tc>
          <w:tcPr>
            <w:tcW w:w="1416" w:type="dxa"/>
            <w:tcBorders>
              <w:top w:val="nil"/>
              <w:left w:val="single" w:sz="4" w:space="0" w:color="auto"/>
              <w:bottom w:val="single" w:sz="4" w:space="0" w:color="auto"/>
              <w:right w:val="single" w:sz="4" w:space="0" w:color="auto"/>
            </w:tcBorders>
            <w:shd w:val="clear" w:color="auto" w:fill="auto"/>
            <w:vAlign w:val="bottom"/>
          </w:tcPr>
          <w:p w14:paraId="031D9A7E" w14:textId="77777777" w:rsidR="004F07DF" w:rsidRPr="00F64165" w:rsidRDefault="004F07DF" w:rsidP="009F6F46">
            <w:pPr>
              <w:spacing w:line="240" w:lineRule="auto"/>
              <w:rPr>
                <w:rFonts w:cs="Calibri"/>
                <w:color w:val="auto"/>
                <w:kern w:val="18"/>
                <w:sz w:val="22"/>
              </w:rPr>
            </w:pPr>
            <w:r w:rsidRPr="00F64165">
              <w:rPr>
                <w:rFonts w:eastAsia="Times New Roman" w:cs="Calibri"/>
                <w:color w:val="auto"/>
                <w:sz w:val="22"/>
              </w:rPr>
              <w:t>68</w:t>
            </w:r>
          </w:p>
        </w:tc>
        <w:tc>
          <w:tcPr>
            <w:tcW w:w="1613" w:type="dxa"/>
            <w:shd w:val="clear" w:color="auto" w:fill="auto"/>
          </w:tcPr>
          <w:p w14:paraId="21BC824E"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588</w:t>
            </w:r>
          </w:p>
        </w:tc>
      </w:tr>
      <w:tr w:rsidR="00F64165" w:rsidRPr="00F64165" w14:paraId="24BBAD03" w14:textId="77777777" w:rsidTr="009F6F46">
        <w:trPr>
          <w:trHeight w:val="283"/>
        </w:trPr>
        <w:tc>
          <w:tcPr>
            <w:tcW w:w="1911" w:type="dxa"/>
            <w:vMerge/>
            <w:shd w:val="clear" w:color="auto" w:fill="auto"/>
          </w:tcPr>
          <w:p w14:paraId="3D4DC858" w14:textId="77777777" w:rsidR="004F07DF" w:rsidRPr="00F64165" w:rsidRDefault="004F07DF" w:rsidP="009F6F46">
            <w:pPr>
              <w:spacing w:line="240" w:lineRule="auto"/>
              <w:rPr>
                <w:rFonts w:cs="Calibri"/>
                <w:color w:val="auto"/>
                <w:kern w:val="18"/>
                <w:sz w:val="22"/>
              </w:rPr>
            </w:pPr>
          </w:p>
        </w:tc>
        <w:tc>
          <w:tcPr>
            <w:tcW w:w="1211" w:type="dxa"/>
            <w:shd w:val="clear" w:color="auto" w:fill="auto"/>
          </w:tcPr>
          <w:p w14:paraId="6C0BAAC3"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Rusizi</w:t>
            </w:r>
          </w:p>
        </w:tc>
        <w:tc>
          <w:tcPr>
            <w:tcW w:w="1737" w:type="dxa"/>
            <w:shd w:val="clear" w:color="auto" w:fill="auto"/>
          </w:tcPr>
          <w:p w14:paraId="16A2F008" w14:textId="77777777" w:rsidR="004F07DF" w:rsidRPr="00F64165" w:rsidRDefault="004F07DF" w:rsidP="009F6F46">
            <w:pPr>
              <w:tabs>
                <w:tab w:val="center" w:pos="858"/>
              </w:tabs>
              <w:spacing w:line="240" w:lineRule="auto"/>
              <w:rPr>
                <w:rFonts w:cs="Calibri"/>
                <w:color w:val="auto"/>
                <w:kern w:val="18"/>
                <w:sz w:val="22"/>
              </w:rPr>
            </w:pPr>
            <w:r w:rsidRPr="00F64165">
              <w:rPr>
                <w:rFonts w:cs="Calibri"/>
                <w:color w:val="auto"/>
                <w:kern w:val="18"/>
                <w:sz w:val="22"/>
              </w:rPr>
              <w:t>18</w:t>
            </w:r>
          </w:p>
        </w:tc>
        <w:tc>
          <w:tcPr>
            <w:tcW w:w="1416" w:type="dxa"/>
            <w:tcBorders>
              <w:top w:val="nil"/>
              <w:left w:val="single" w:sz="4" w:space="0" w:color="auto"/>
              <w:bottom w:val="single" w:sz="4" w:space="0" w:color="auto"/>
              <w:right w:val="single" w:sz="4" w:space="0" w:color="auto"/>
            </w:tcBorders>
            <w:shd w:val="clear" w:color="auto" w:fill="auto"/>
            <w:vAlign w:val="bottom"/>
          </w:tcPr>
          <w:p w14:paraId="03DF19AF" w14:textId="77777777" w:rsidR="004F07DF" w:rsidRPr="00F64165" w:rsidRDefault="004F07DF" w:rsidP="009F6F46">
            <w:pPr>
              <w:spacing w:line="240" w:lineRule="auto"/>
              <w:rPr>
                <w:rFonts w:cs="Calibri"/>
                <w:color w:val="auto"/>
                <w:kern w:val="18"/>
                <w:sz w:val="22"/>
              </w:rPr>
            </w:pPr>
            <w:r w:rsidRPr="00F64165">
              <w:rPr>
                <w:rFonts w:eastAsia="Times New Roman" w:cs="Calibri"/>
                <w:color w:val="auto"/>
                <w:sz w:val="22"/>
              </w:rPr>
              <w:t>74</w:t>
            </w:r>
          </w:p>
        </w:tc>
        <w:tc>
          <w:tcPr>
            <w:tcW w:w="1613" w:type="dxa"/>
            <w:shd w:val="clear" w:color="auto" w:fill="auto"/>
          </w:tcPr>
          <w:p w14:paraId="20E8F996" w14:textId="77777777" w:rsidR="004F07DF" w:rsidRPr="00F64165" w:rsidRDefault="004F07DF" w:rsidP="009F6F46">
            <w:pPr>
              <w:spacing w:line="240" w:lineRule="auto"/>
              <w:rPr>
                <w:rFonts w:cs="Calibri"/>
                <w:color w:val="auto"/>
                <w:kern w:val="18"/>
                <w:sz w:val="22"/>
              </w:rPr>
            </w:pPr>
            <w:r w:rsidRPr="00F64165">
              <w:rPr>
                <w:rFonts w:cs="Calibri"/>
                <w:color w:val="auto"/>
                <w:kern w:val="18"/>
                <w:sz w:val="22"/>
              </w:rPr>
              <w:t>596</w:t>
            </w:r>
          </w:p>
        </w:tc>
      </w:tr>
    </w:tbl>
    <w:p w14:paraId="6346AD8D" w14:textId="0D113CA9" w:rsidR="00F634BF" w:rsidRPr="00F64165" w:rsidRDefault="004F07DF" w:rsidP="00F634BF">
      <w:pPr>
        <w:spacing w:before="240" w:after="120"/>
        <w:rPr>
          <w:rFonts w:cs="Calibri"/>
          <w:b/>
          <w:bCs/>
          <w:color w:val="auto"/>
          <w:sz w:val="24"/>
          <w:szCs w:val="24"/>
          <w:lang w:val="en-US"/>
        </w:rPr>
      </w:pPr>
      <w:r w:rsidRPr="00F64165">
        <w:rPr>
          <w:rFonts w:cs="Calibri"/>
          <w:b/>
          <w:bCs/>
          <w:color w:val="auto"/>
          <w:sz w:val="24"/>
          <w:szCs w:val="24"/>
          <w:lang w:val="en-US"/>
        </w:rPr>
        <w:t>(b) Technical scope</w:t>
      </w:r>
    </w:p>
    <w:p w14:paraId="2D71F694" w14:textId="77777777" w:rsidR="007816B7" w:rsidRDefault="007816B7" w:rsidP="0045528C">
      <w:pPr>
        <w:spacing w:after="0" w:line="360" w:lineRule="auto"/>
        <w:jc w:val="both"/>
        <w:rPr>
          <w:rFonts w:eastAsia="Gill Sans MT" w:cs="Calibri"/>
          <w:color w:val="auto"/>
          <w:sz w:val="22"/>
          <w:lang w:val="en-US"/>
        </w:rPr>
      </w:pPr>
      <w:r>
        <w:rPr>
          <w:rFonts w:eastAsia="Gill Sans MT" w:cs="Calibri"/>
          <w:color w:val="auto"/>
          <w:sz w:val="22"/>
          <w:lang w:val="en-US"/>
        </w:rPr>
        <w:t xml:space="preserve">The scope is to </w:t>
      </w:r>
    </w:p>
    <w:p w14:paraId="19875EC6" w14:textId="67F4A8A9" w:rsidR="0045528C" w:rsidRDefault="007816B7" w:rsidP="00A41CAE">
      <w:pPr>
        <w:pStyle w:val="ListParagraph"/>
        <w:numPr>
          <w:ilvl w:val="0"/>
          <w:numId w:val="72"/>
        </w:numPr>
        <w:spacing w:after="0" w:line="360" w:lineRule="auto"/>
        <w:jc w:val="both"/>
        <w:rPr>
          <w:rFonts w:eastAsia="Gill Sans MT" w:cs="Calibri"/>
          <w:color w:val="auto"/>
          <w:sz w:val="22"/>
          <w:lang w:val="en-US"/>
        </w:rPr>
      </w:pPr>
      <w:r>
        <w:rPr>
          <w:rFonts w:eastAsia="Gill Sans MT" w:cs="Calibri"/>
          <w:color w:val="auto"/>
          <w:sz w:val="22"/>
          <w:lang w:val="en-US"/>
        </w:rPr>
        <w:t>D</w:t>
      </w:r>
      <w:r w:rsidR="0045528C" w:rsidRPr="007816B7">
        <w:rPr>
          <w:rFonts w:eastAsia="Gill Sans MT" w:cs="Calibri"/>
          <w:color w:val="auto"/>
          <w:sz w:val="22"/>
          <w:lang w:val="en-US"/>
        </w:rPr>
        <w:t>evelop awareness strategies and tools to induce social and behavioural changes to (i) increase knowledge of the community about their rights and about the services on maternal, neonatal, adolescent, sexual and reproductive health; (ii) increase the use of health services; to finally (iii) better influence the health outcomes in the seven districts supported by Barame in Rwanda.</w:t>
      </w:r>
    </w:p>
    <w:p w14:paraId="794B9BF5" w14:textId="09349555" w:rsidR="0045528C" w:rsidRDefault="0045528C" w:rsidP="00A41CAE">
      <w:pPr>
        <w:pStyle w:val="ListParagraph"/>
        <w:numPr>
          <w:ilvl w:val="0"/>
          <w:numId w:val="72"/>
        </w:numPr>
        <w:spacing w:after="0" w:line="360" w:lineRule="auto"/>
        <w:jc w:val="both"/>
        <w:rPr>
          <w:rFonts w:eastAsia="Gill Sans MT" w:cs="Calibri"/>
          <w:color w:val="auto"/>
          <w:sz w:val="22"/>
          <w:lang w:val="en-US"/>
        </w:rPr>
      </w:pPr>
      <w:r w:rsidRPr="007816B7">
        <w:rPr>
          <w:rFonts w:eastAsia="Gill Sans MT" w:cs="Calibri"/>
          <w:color w:val="auto"/>
          <w:sz w:val="22"/>
          <w:lang w:val="en-US"/>
        </w:rPr>
        <w:t>Develop a two</w:t>
      </w:r>
      <w:r w:rsidR="001E6D18">
        <w:rPr>
          <w:rFonts w:eastAsia="Gill Sans MT" w:cs="Calibri"/>
          <w:color w:val="auto"/>
          <w:sz w:val="22"/>
          <w:lang w:val="en-US"/>
        </w:rPr>
        <w:t>-</w:t>
      </w:r>
      <w:r w:rsidRPr="007816B7">
        <w:rPr>
          <w:rFonts w:eastAsia="Gill Sans MT" w:cs="Calibri"/>
          <w:color w:val="auto"/>
          <w:sz w:val="22"/>
          <w:lang w:val="en-US"/>
        </w:rPr>
        <w:t>way communication system to increase the access of comprehensible health information and improve general understanding that will empower the community and allowing people to make informed decisions.</w:t>
      </w:r>
    </w:p>
    <w:p w14:paraId="4645E582" w14:textId="0226E0A4" w:rsidR="006D3B75" w:rsidRPr="001E6D18" w:rsidRDefault="006D3B75" w:rsidP="001E6D18">
      <w:pPr>
        <w:pStyle w:val="ListParagraph"/>
        <w:numPr>
          <w:ilvl w:val="0"/>
          <w:numId w:val="72"/>
        </w:numPr>
        <w:spacing w:after="0" w:line="360" w:lineRule="auto"/>
        <w:jc w:val="both"/>
        <w:rPr>
          <w:rFonts w:eastAsia="Gill Sans MT" w:cs="Calibri"/>
          <w:color w:val="auto"/>
          <w:sz w:val="22"/>
          <w:lang w:val="en-US"/>
        </w:rPr>
      </w:pPr>
      <w:r>
        <w:rPr>
          <w:rFonts w:eastAsia="Gill Sans MT" w:cs="Calibri"/>
          <w:color w:val="auto"/>
          <w:sz w:val="22"/>
          <w:lang w:val="en-US"/>
        </w:rPr>
        <w:t xml:space="preserve">Develop </w:t>
      </w:r>
      <w:r w:rsidR="001E6D18">
        <w:rPr>
          <w:rFonts w:eastAsia="Gill Sans MT" w:cs="Calibri"/>
          <w:color w:val="auto"/>
          <w:sz w:val="22"/>
          <w:lang w:val="en-US"/>
        </w:rPr>
        <w:t>s</w:t>
      </w:r>
      <w:r w:rsidR="0045528C" w:rsidRPr="007816B7">
        <w:rPr>
          <w:rFonts w:eastAsia="Gill Sans MT" w:cs="Calibri"/>
          <w:color w:val="auto"/>
          <w:sz w:val="22"/>
          <w:lang w:val="en-US"/>
        </w:rPr>
        <w:t>trategies to revive and/or strengthen existing patients/community voice and involvement.</w:t>
      </w:r>
      <w:r w:rsidRPr="001E6D18">
        <w:rPr>
          <w:rFonts w:eastAsia="Gill Sans MT" w:cs="Calibri"/>
          <w:color w:val="auto"/>
          <w:sz w:val="22"/>
          <w:lang w:val="en-US"/>
        </w:rPr>
        <w:br w:type="page"/>
      </w:r>
    </w:p>
    <w:p w14:paraId="1B958532" w14:textId="77777777" w:rsidR="004F07DF" w:rsidRPr="00F64165" w:rsidRDefault="004F07DF" w:rsidP="00A41CAE">
      <w:pPr>
        <w:numPr>
          <w:ilvl w:val="1"/>
          <w:numId w:val="63"/>
        </w:numPr>
        <w:spacing w:before="160" w:line="360" w:lineRule="auto"/>
        <w:rPr>
          <w:rFonts w:cs="Calibri"/>
          <w:b/>
          <w:color w:val="auto"/>
          <w:sz w:val="24"/>
          <w:szCs w:val="24"/>
          <w:lang w:val="en-US"/>
        </w:rPr>
      </w:pPr>
      <w:bookmarkStart w:id="161" w:name="_Toc42079077"/>
      <w:bookmarkStart w:id="162" w:name="_Toc89850329"/>
      <w:r w:rsidRPr="00F64165">
        <w:rPr>
          <w:rFonts w:cs="Calibri"/>
          <w:b/>
          <w:color w:val="auto"/>
          <w:sz w:val="24"/>
          <w:szCs w:val="24"/>
          <w:lang w:val="en-US"/>
        </w:rPr>
        <w:lastRenderedPageBreak/>
        <w:t>DELIVERABLES</w:t>
      </w:r>
      <w:bookmarkEnd w:id="161"/>
      <w:bookmarkEnd w:id="162"/>
    </w:p>
    <w:p w14:paraId="3BDAA749" w14:textId="63D667CE" w:rsidR="002618F1" w:rsidRPr="002618F1" w:rsidRDefault="002618F1" w:rsidP="00A41CAE">
      <w:pPr>
        <w:pStyle w:val="ListParagraph"/>
        <w:numPr>
          <w:ilvl w:val="0"/>
          <w:numId w:val="71"/>
        </w:numPr>
        <w:spacing w:after="120" w:line="360" w:lineRule="auto"/>
        <w:jc w:val="both"/>
        <w:rPr>
          <w:rFonts w:eastAsia="Gill Sans MT" w:cs="Calibri"/>
          <w:color w:val="auto"/>
          <w:sz w:val="22"/>
          <w:lang w:val="en-US"/>
        </w:rPr>
      </w:pPr>
      <w:r w:rsidRPr="001F4125">
        <w:rPr>
          <w:rFonts w:eastAsia="Gill Sans MT" w:cs="Calibri"/>
          <w:color w:val="auto"/>
          <w:sz w:val="22"/>
          <w:u w:val="single"/>
          <w:lang w:val="en-US"/>
        </w:rPr>
        <w:t>Innovative</w:t>
      </w:r>
      <w:r w:rsidRPr="002618F1">
        <w:rPr>
          <w:rFonts w:eastAsia="Gill Sans MT" w:cs="Calibri"/>
          <w:color w:val="auto"/>
          <w:sz w:val="22"/>
          <w:lang w:val="en-US"/>
        </w:rPr>
        <w:t xml:space="preserve"> social and behavioural change communication mechanisms/tools for awareness on MNASRH that have been adapted with the KAP study and adapted to different audiences.</w:t>
      </w:r>
    </w:p>
    <w:p w14:paraId="4E5060FA" w14:textId="2A90E0E2" w:rsidR="002618F1" w:rsidRPr="002618F1" w:rsidRDefault="002618F1" w:rsidP="00A41CAE">
      <w:pPr>
        <w:pStyle w:val="ListParagraph"/>
        <w:numPr>
          <w:ilvl w:val="0"/>
          <w:numId w:val="71"/>
        </w:numPr>
        <w:spacing w:after="120" w:line="360" w:lineRule="auto"/>
        <w:jc w:val="both"/>
        <w:rPr>
          <w:rFonts w:eastAsia="Gill Sans MT" w:cs="Calibri"/>
          <w:color w:val="auto"/>
          <w:sz w:val="22"/>
          <w:lang w:val="en-US"/>
        </w:rPr>
      </w:pPr>
      <w:r w:rsidRPr="001F4125">
        <w:rPr>
          <w:rFonts w:eastAsia="Gill Sans MT" w:cs="Calibri"/>
          <w:color w:val="auto"/>
          <w:sz w:val="22"/>
          <w:u w:val="single"/>
          <w:lang w:val="en-US"/>
        </w:rPr>
        <w:t xml:space="preserve">Innovative </w:t>
      </w:r>
      <w:r w:rsidR="00957DF9">
        <w:rPr>
          <w:rFonts w:eastAsia="Gill Sans MT" w:cs="Calibri"/>
          <w:color w:val="auto"/>
          <w:sz w:val="22"/>
          <w:lang w:val="en-US"/>
        </w:rPr>
        <w:t>health information data tools</w:t>
      </w:r>
      <w:r w:rsidRPr="002618F1">
        <w:rPr>
          <w:rFonts w:eastAsia="Gill Sans MT" w:cs="Calibri"/>
          <w:color w:val="auto"/>
          <w:sz w:val="22"/>
          <w:lang w:val="en-US"/>
        </w:rPr>
        <w:t>.</w:t>
      </w:r>
    </w:p>
    <w:p w14:paraId="162F7E85" w14:textId="3B436F46" w:rsidR="002618F1" w:rsidRPr="00C44632" w:rsidRDefault="00705E80" w:rsidP="00A41CAE">
      <w:pPr>
        <w:pStyle w:val="ListParagraph"/>
        <w:numPr>
          <w:ilvl w:val="0"/>
          <w:numId w:val="71"/>
        </w:numPr>
        <w:spacing w:after="120" w:line="360" w:lineRule="auto"/>
        <w:jc w:val="both"/>
        <w:rPr>
          <w:rFonts w:eastAsia="Gill Sans MT" w:cs="Calibri"/>
          <w:color w:val="auto"/>
          <w:sz w:val="22"/>
          <w:lang w:val="en-US"/>
        </w:rPr>
      </w:pPr>
      <w:r w:rsidRPr="001F4125">
        <w:rPr>
          <w:rFonts w:eastAsia="Gill Sans MT" w:cs="Calibri"/>
          <w:color w:val="auto"/>
          <w:sz w:val="22"/>
          <w:u w:val="single"/>
          <w:lang w:val="en-US"/>
        </w:rPr>
        <w:t>P</w:t>
      </w:r>
      <w:r w:rsidR="002618F1" w:rsidRPr="001F4125">
        <w:rPr>
          <w:rFonts w:eastAsia="Gill Sans MT" w:cs="Calibri"/>
          <w:color w:val="auto"/>
          <w:sz w:val="22"/>
          <w:u w:val="single"/>
          <w:lang w:val="en-US"/>
        </w:rPr>
        <w:t>articipatory</w:t>
      </w:r>
      <w:r>
        <w:rPr>
          <w:rFonts w:eastAsia="Gill Sans MT" w:cs="Calibri"/>
          <w:color w:val="auto"/>
          <w:sz w:val="22"/>
          <w:lang w:val="en-US"/>
        </w:rPr>
        <w:t xml:space="preserve"> community</w:t>
      </w:r>
      <w:r w:rsidR="002618F1" w:rsidRPr="002618F1">
        <w:rPr>
          <w:rFonts w:eastAsia="Gill Sans MT" w:cs="Calibri"/>
          <w:color w:val="auto"/>
          <w:sz w:val="22"/>
          <w:lang w:val="en-US"/>
        </w:rPr>
        <w:t xml:space="preserve"> </w:t>
      </w:r>
      <w:r w:rsidR="00C44632">
        <w:rPr>
          <w:rFonts w:eastAsia="Gill Sans MT" w:cs="Calibri"/>
          <w:color w:val="auto"/>
          <w:sz w:val="22"/>
          <w:lang w:val="en-US"/>
        </w:rPr>
        <w:t xml:space="preserve">and opinion </w:t>
      </w:r>
      <w:r w:rsidR="002618F1" w:rsidRPr="002618F1">
        <w:rPr>
          <w:rFonts w:eastAsia="Gill Sans MT" w:cs="Calibri"/>
          <w:color w:val="auto"/>
          <w:sz w:val="22"/>
          <w:lang w:val="en-US"/>
        </w:rPr>
        <w:t xml:space="preserve">mechanisms </w:t>
      </w:r>
      <w:r>
        <w:rPr>
          <w:rFonts w:eastAsia="Gill Sans MT" w:cs="Calibri"/>
          <w:color w:val="auto"/>
          <w:sz w:val="22"/>
          <w:lang w:val="en-US"/>
        </w:rPr>
        <w:t xml:space="preserve">and </w:t>
      </w:r>
      <w:r w:rsidR="002618F1" w:rsidRPr="002618F1">
        <w:rPr>
          <w:rFonts w:eastAsia="Gill Sans MT" w:cs="Calibri"/>
          <w:color w:val="auto"/>
          <w:sz w:val="22"/>
          <w:lang w:val="en-US"/>
        </w:rPr>
        <w:t>such as “Community Score Cards” to rate performance of the assessed health facility, in the communities to avoid possible bias and client intimidation at the health facility a</w:t>
      </w:r>
      <w:r w:rsidR="001F4125">
        <w:rPr>
          <w:rFonts w:eastAsia="Gill Sans MT" w:cs="Calibri"/>
          <w:color w:val="auto"/>
          <w:sz w:val="22"/>
          <w:lang w:val="en-US"/>
        </w:rPr>
        <w:t>n</w:t>
      </w:r>
      <w:r w:rsidR="002618F1" w:rsidRPr="002618F1">
        <w:rPr>
          <w:rFonts w:eastAsia="Gill Sans MT" w:cs="Calibri"/>
          <w:color w:val="auto"/>
          <w:sz w:val="22"/>
          <w:lang w:val="en-US"/>
        </w:rPr>
        <w:t>d report group perceptions without personal details</w:t>
      </w:r>
      <w:r w:rsidR="002618F1" w:rsidRPr="00C44632">
        <w:rPr>
          <w:rFonts w:eastAsia="Gill Sans MT" w:cs="Calibri"/>
          <w:color w:val="auto"/>
          <w:sz w:val="22"/>
          <w:lang w:val="en-US"/>
        </w:rPr>
        <w:t>.</w:t>
      </w:r>
    </w:p>
    <w:p w14:paraId="3715646C" w14:textId="5AD79AF9" w:rsidR="002618F1" w:rsidRPr="002618F1" w:rsidRDefault="001F4125" w:rsidP="00A41CAE">
      <w:pPr>
        <w:pStyle w:val="ListParagraph"/>
        <w:numPr>
          <w:ilvl w:val="0"/>
          <w:numId w:val="71"/>
        </w:numPr>
        <w:spacing w:after="120" w:line="360" w:lineRule="auto"/>
        <w:jc w:val="both"/>
        <w:rPr>
          <w:rFonts w:eastAsia="Gill Sans MT" w:cs="Calibri"/>
          <w:color w:val="auto"/>
          <w:sz w:val="22"/>
          <w:lang w:val="en-US"/>
        </w:rPr>
      </w:pPr>
      <w:r>
        <w:rPr>
          <w:rFonts w:eastAsia="Gill Sans MT" w:cs="Calibri"/>
          <w:color w:val="auto"/>
          <w:sz w:val="22"/>
          <w:lang w:val="en-US"/>
        </w:rPr>
        <w:t>Effective m</w:t>
      </w:r>
      <w:r w:rsidR="002618F1" w:rsidRPr="002618F1">
        <w:rPr>
          <w:rFonts w:eastAsia="Gill Sans MT" w:cs="Calibri"/>
          <w:color w:val="auto"/>
          <w:sz w:val="22"/>
          <w:lang w:val="en-US"/>
        </w:rPr>
        <w:t>onitoring and evaluation system to follow</w:t>
      </w:r>
      <w:r>
        <w:rPr>
          <w:rFonts w:eastAsia="Gill Sans MT" w:cs="Calibri"/>
          <w:color w:val="auto"/>
          <w:sz w:val="22"/>
          <w:lang w:val="en-US"/>
        </w:rPr>
        <w:t xml:space="preserve">-up </w:t>
      </w:r>
      <w:r w:rsidR="002618F1" w:rsidRPr="002618F1">
        <w:rPr>
          <w:rFonts w:eastAsia="Gill Sans MT" w:cs="Calibri"/>
          <w:color w:val="auto"/>
          <w:sz w:val="22"/>
          <w:lang w:val="en-US"/>
        </w:rPr>
        <w:t>and document program progress, social and behavior changes observed</w:t>
      </w:r>
      <w:r w:rsidR="00C44632">
        <w:rPr>
          <w:rFonts w:eastAsia="Gill Sans MT" w:cs="Calibri"/>
          <w:color w:val="auto"/>
          <w:sz w:val="22"/>
          <w:lang w:val="en-US"/>
        </w:rPr>
        <w:t>.</w:t>
      </w:r>
    </w:p>
    <w:p w14:paraId="4ABA4E3D" w14:textId="564242B9" w:rsidR="002618F1" w:rsidRPr="002618F1" w:rsidRDefault="00C44632" w:rsidP="00A41CAE">
      <w:pPr>
        <w:pStyle w:val="ListParagraph"/>
        <w:numPr>
          <w:ilvl w:val="0"/>
          <w:numId w:val="71"/>
        </w:numPr>
        <w:spacing w:after="120" w:line="360" w:lineRule="auto"/>
        <w:jc w:val="both"/>
        <w:rPr>
          <w:rFonts w:eastAsia="Gill Sans MT" w:cs="Calibri"/>
          <w:color w:val="auto"/>
          <w:sz w:val="22"/>
          <w:lang w:val="en-US"/>
        </w:rPr>
      </w:pPr>
      <w:r>
        <w:rPr>
          <w:rFonts w:eastAsia="Gill Sans MT" w:cs="Calibri"/>
          <w:color w:val="auto"/>
          <w:sz w:val="22"/>
          <w:lang w:val="en-US"/>
        </w:rPr>
        <w:t>Documented s</w:t>
      </w:r>
      <w:r w:rsidR="002618F1" w:rsidRPr="002618F1">
        <w:rPr>
          <w:rFonts w:eastAsia="Gill Sans MT" w:cs="Calibri"/>
          <w:color w:val="auto"/>
          <w:sz w:val="22"/>
          <w:lang w:val="en-US"/>
        </w:rPr>
        <w:t>trategies that sustain changes in the population.</w:t>
      </w:r>
    </w:p>
    <w:p w14:paraId="3B2CB2CA" w14:textId="57759F87" w:rsidR="00BB3EF4" w:rsidRPr="002739B2" w:rsidRDefault="00C44632" w:rsidP="00A41CAE">
      <w:pPr>
        <w:pStyle w:val="ListParagraph"/>
        <w:numPr>
          <w:ilvl w:val="0"/>
          <w:numId w:val="71"/>
        </w:numPr>
        <w:spacing w:after="120" w:line="360" w:lineRule="auto"/>
        <w:jc w:val="both"/>
        <w:rPr>
          <w:rFonts w:eastAsia="Gill Sans MT" w:cs="Calibri"/>
          <w:color w:val="auto"/>
          <w:sz w:val="22"/>
          <w:lang w:val="en-US"/>
        </w:rPr>
      </w:pPr>
      <w:bookmarkStart w:id="163" w:name="page3"/>
      <w:bookmarkEnd w:id="163"/>
      <w:r>
        <w:rPr>
          <w:rFonts w:eastAsia="Gill Sans MT" w:cs="Calibri"/>
          <w:color w:val="auto"/>
          <w:sz w:val="22"/>
          <w:lang w:val="en-US"/>
        </w:rPr>
        <w:t>Final report of the work accomplish</w:t>
      </w:r>
      <w:r w:rsidR="001F4125">
        <w:rPr>
          <w:rFonts w:eastAsia="Gill Sans MT" w:cs="Calibri"/>
          <w:color w:val="auto"/>
          <w:sz w:val="22"/>
          <w:lang w:val="en-US"/>
        </w:rPr>
        <w:t>ed</w:t>
      </w:r>
      <w:r w:rsidR="002739B2">
        <w:rPr>
          <w:rFonts w:eastAsia="Gill Sans MT" w:cs="Calibri"/>
          <w:color w:val="auto"/>
          <w:sz w:val="22"/>
          <w:lang w:val="en-US"/>
        </w:rPr>
        <w:t xml:space="preserve"> with success, challenges, lessons learnt and recommendations.</w:t>
      </w:r>
    </w:p>
    <w:p w14:paraId="291D73B9" w14:textId="77777777" w:rsidR="004F07DF" w:rsidRPr="00F64165" w:rsidRDefault="004F07DF" w:rsidP="00A41CAE">
      <w:pPr>
        <w:numPr>
          <w:ilvl w:val="1"/>
          <w:numId w:val="63"/>
        </w:numPr>
        <w:spacing w:before="160" w:line="360" w:lineRule="auto"/>
        <w:rPr>
          <w:rFonts w:cs="Calibri"/>
          <w:b/>
          <w:color w:val="auto"/>
          <w:sz w:val="24"/>
          <w:szCs w:val="24"/>
          <w:lang w:val="en-US"/>
        </w:rPr>
      </w:pPr>
      <w:bookmarkStart w:id="164" w:name="_Toc42079078"/>
      <w:bookmarkStart w:id="165" w:name="_Toc89850330"/>
      <w:r w:rsidRPr="00F64165">
        <w:rPr>
          <w:rFonts w:cs="Calibri"/>
          <w:b/>
          <w:color w:val="auto"/>
          <w:sz w:val="24"/>
          <w:szCs w:val="24"/>
          <w:lang w:val="en-US"/>
        </w:rPr>
        <w:t>METHODOLOGY</w:t>
      </w:r>
      <w:bookmarkEnd w:id="164"/>
      <w:bookmarkEnd w:id="165"/>
    </w:p>
    <w:p w14:paraId="69ED51A7" w14:textId="77777777" w:rsidR="004F07DF" w:rsidRPr="00F64165" w:rsidRDefault="004F07DF" w:rsidP="004F07DF">
      <w:pPr>
        <w:spacing w:before="120" w:after="120"/>
        <w:rPr>
          <w:rFonts w:cs="Calibri"/>
          <w:b/>
          <w:bCs/>
          <w:color w:val="auto"/>
          <w:sz w:val="24"/>
          <w:szCs w:val="24"/>
          <w:lang w:val="en-US"/>
        </w:rPr>
      </w:pPr>
      <w:r w:rsidRPr="00F64165">
        <w:rPr>
          <w:rFonts w:cs="Calibri"/>
          <w:b/>
          <w:bCs/>
          <w:color w:val="auto"/>
          <w:sz w:val="24"/>
          <w:szCs w:val="24"/>
          <w:lang w:val="en-US"/>
        </w:rPr>
        <w:t>Sequences of work</w:t>
      </w:r>
    </w:p>
    <w:p w14:paraId="0493B544" w14:textId="27450BE7" w:rsidR="007B74A5" w:rsidRPr="00F64165" w:rsidRDefault="004F07DF" w:rsidP="00AC5A2A">
      <w:pPr>
        <w:spacing w:after="0" w:line="360" w:lineRule="auto"/>
        <w:jc w:val="both"/>
        <w:rPr>
          <w:rFonts w:eastAsia="Gill Sans MT" w:cs="Calibri"/>
          <w:color w:val="auto"/>
          <w:sz w:val="22"/>
          <w:lang w:val="en-US"/>
        </w:rPr>
      </w:pPr>
      <w:r w:rsidRPr="00F64165">
        <w:rPr>
          <w:rFonts w:eastAsia="Gill Sans MT" w:cs="Calibri"/>
          <w:color w:val="auto"/>
          <w:sz w:val="22"/>
          <w:lang w:val="en-US"/>
        </w:rPr>
        <w:t xml:space="preserve">It is </w:t>
      </w:r>
      <w:r w:rsidR="00ED01BA" w:rsidRPr="00F64165">
        <w:rPr>
          <w:rFonts w:eastAsia="Gill Sans MT" w:cs="Calibri"/>
          <w:color w:val="auto"/>
          <w:sz w:val="22"/>
          <w:lang w:val="en-US"/>
        </w:rPr>
        <w:t>suggested</w:t>
      </w:r>
      <w:r w:rsidRPr="00F64165">
        <w:rPr>
          <w:rFonts w:eastAsia="Gill Sans MT" w:cs="Calibri"/>
          <w:color w:val="auto"/>
          <w:sz w:val="22"/>
          <w:lang w:val="en-US"/>
        </w:rPr>
        <w:t xml:space="preserve"> to follow </w:t>
      </w:r>
      <w:r w:rsidR="00AC5A2A">
        <w:rPr>
          <w:rFonts w:eastAsia="Gill Sans MT" w:cs="Calibri"/>
          <w:color w:val="auto"/>
          <w:sz w:val="22"/>
          <w:lang w:val="en-US"/>
        </w:rPr>
        <w:t xml:space="preserve">the below </w:t>
      </w:r>
      <w:r w:rsidRPr="00F64165">
        <w:rPr>
          <w:rFonts w:eastAsia="Gill Sans MT" w:cs="Calibri"/>
          <w:color w:val="auto"/>
          <w:sz w:val="22"/>
          <w:lang w:val="en-US"/>
        </w:rPr>
        <w:t xml:space="preserve">sequences to achieve the desired </w:t>
      </w:r>
      <w:proofErr w:type="gramStart"/>
      <w:r w:rsidRPr="00F64165">
        <w:rPr>
          <w:rFonts w:eastAsia="Gill Sans MT" w:cs="Calibri"/>
          <w:color w:val="auto"/>
          <w:sz w:val="22"/>
          <w:lang w:val="en-US"/>
        </w:rPr>
        <w:t>results</w:t>
      </w:r>
      <w:proofErr w:type="gramEnd"/>
      <w:r w:rsidRPr="00F64165">
        <w:rPr>
          <w:rFonts w:eastAsia="Gill Sans MT" w:cs="Calibri"/>
          <w:color w:val="auto"/>
          <w:sz w:val="22"/>
          <w:lang w:val="en-US"/>
        </w:rPr>
        <w:t xml:space="preserve"> but a more developed methodology should be presented in the inception report. For more details, please refer to section</w:t>
      </w:r>
      <w:r w:rsidR="005115B2">
        <w:rPr>
          <w:rFonts w:eastAsia="Gill Sans MT" w:cs="Calibri"/>
          <w:color w:val="auto"/>
          <w:sz w:val="22"/>
          <w:lang w:val="en-US"/>
        </w:rPr>
        <w:t>s</w:t>
      </w:r>
      <w:r w:rsidRPr="00F64165">
        <w:rPr>
          <w:rFonts w:eastAsia="Gill Sans MT" w:cs="Calibri"/>
          <w:color w:val="auto"/>
          <w:sz w:val="22"/>
          <w:lang w:val="en-US"/>
        </w:rPr>
        <w:t xml:space="preserve"> “</w:t>
      </w:r>
      <w:r w:rsidR="006D3B75">
        <w:rPr>
          <w:rFonts w:eastAsia="Gill Sans MT" w:cs="Calibri"/>
          <w:color w:val="auto"/>
          <w:sz w:val="22"/>
          <w:lang w:val="en-US"/>
        </w:rPr>
        <w:t>Objectives</w:t>
      </w:r>
      <w:r w:rsidR="005115B2">
        <w:rPr>
          <w:rFonts w:eastAsia="Gill Sans MT" w:cs="Calibri"/>
          <w:color w:val="auto"/>
          <w:sz w:val="22"/>
          <w:lang w:val="en-US"/>
        </w:rPr>
        <w:t xml:space="preserve"> – Expected results and Deliverables</w:t>
      </w:r>
      <w:r w:rsidRPr="00F64165">
        <w:rPr>
          <w:rFonts w:eastAsia="Gill Sans MT" w:cs="Calibri"/>
          <w:color w:val="auto"/>
          <w:sz w:val="22"/>
          <w:lang w:val="en-US"/>
        </w:rPr>
        <w:t>”.</w:t>
      </w:r>
    </w:p>
    <w:p w14:paraId="2050ADEA" w14:textId="77777777" w:rsidR="007B74A5" w:rsidRPr="005115B2" w:rsidRDefault="007B74A5" w:rsidP="00A41CAE">
      <w:pPr>
        <w:pStyle w:val="ListParagraph"/>
        <w:numPr>
          <w:ilvl w:val="0"/>
          <w:numId w:val="72"/>
        </w:numPr>
        <w:spacing w:after="0" w:line="360" w:lineRule="auto"/>
        <w:jc w:val="both"/>
        <w:rPr>
          <w:rFonts w:eastAsia="Gill Sans MT" w:cs="Calibri"/>
          <w:color w:val="auto"/>
          <w:sz w:val="22"/>
          <w:lang w:val="en-US"/>
        </w:rPr>
      </w:pPr>
      <w:r w:rsidRPr="005115B2">
        <w:rPr>
          <w:rFonts w:eastAsia="Gill Sans MT" w:cs="Calibri"/>
          <w:color w:val="auto"/>
          <w:sz w:val="22"/>
          <w:lang w:val="en-US"/>
        </w:rPr>
        <w:t>Desk review of key documents</w:t>
      </w:r>
    </w:p>
    <w:p w14:paraId="522CC0B3" w14:textId="77777777" w:rsidR="007B74A5" w:rsidRPr="005115B2" w:rsidRDefault="007B74A5" w:rsidP="00A41CAE">
      <w:pPr>
        <w:pStyle w:val="ListParagraph"/>
        <w:numPr>
          <w:ilvl w:val="0"/>
          <w:numId w:val="72"/>
        </w:numPr>
        <w:spacing w:after="0" w:line="360" w:lineRule="auto"/>
        <w:jc w:val="both"/>
        <w:rPr>
          <w:rFonts w:eastAsia="Gill Sans MT" w:cs="Calibri"/>
          <w:color w:val="auto"/>
          <w:sz w:val="22"/>
          <w:lang w:val="en-US"/>
        </w:rPr>
      </w:pPr>
      <w:r w:rsidRPr="005115B2">
        <w:rPr>
          <w:rFonts w:eastAsia="Gill Sans MT" w:cs="Calibri"/>
          <w:color w:val="auto"/>
          <w:sz w:val="22"/>
          <w:lang w:val="en-US"/>
        </w:rPr>
        <w:t>Initial briefing about the program</w:t>
      </w:r>
    </w:p>
    <w:p w14:paraId="19E972F0" w14:textId="2B31EE5A" w:rsidR="007B74A5" w:rsidRPr="005115B2" w:rsidRDefault="007B74A5" w:rsidP="00A41CAE">
      <w:pPr>
        <w:pStyle w:val="ListParagraph"/>
        <w:numPr>
          <w:ilvl w:val="0"/>
          <w:numId w:val="72"/>
        </w:numPr>
        <w:spacing w:after="0" w:line="360" w:lineRule="auto"/>
        <w:jc w:val="both"/>
        <w:rPr>
          <w:rFonts w:eastAsia="Gill Sans MT" w:cs="Calibri"/>
          <w:color w:val="auto"/>
          <w:sz w:val="22"/>
          <w:lang w:val="en-US"/>
        </w:rPr>
      </w:pPr>
      <w:r w:rsidRPr="005115B2">
        <w:rPr>
          <w:rFonts w:eastAsia="Gill Sans MT" w:cs="Calibri"/>
          <w:color w:val="auto"/>
          <w:sz w:val="22"/>
          <w:lang w:val="en-US"/>
        </w:rPr>
        <w:t>Draft Inception report</w:t>
      </w:r>
    </w:p>
    <w:p w14:paraId="2BEB27D9" w14:textId="12A94632" w:rsidR="007B74A5" w:rsidRPr="005115B2" w:rsidRDefault="007B74A5" w:rsidP="00A41CAE">
      <w:pPr>
        <w:pStyle w:val="ListParagraph"/>
        <w:numPr>
          <w:ilvl w:val="0"/>
          <w:numId w:val="72"/>
        </w:numPr>
        <w:spacing w:after="0" w:line="360" w:lineRule="auto"/>
        <w:jc w:val="both"/>
        <w:rPr>
          <w:rFonts w:eastAsia="Gill Sans MT" w:cs="Calibri"/>
          <w:color w:val="auto"/>
          <w:sz w:val="22"/>
          <w:lang w:val="en-US"/>
        </w:rPr>
      </w:pPr>
      <w:r w:rsidRPr="005115B2">
        <w:rPr>
          <w:rFonts w:eastAsia="Gill Sans MT" w:cs="Calibri"/>
          <w:color w:val="auto"/>
          <w:sz w:val="22"/>
          <w:lang w:val="en-US"/>
        </w:rPr>
        <w:t>Detailing methodology</w:t>
      </w:r>
      <w:r w:rsidR="00983A8F">
        <w:rPr>
          <w:rFonts w:eastAsia="Gill Sans MT" w:cs="Calibri"/>
          <w:color w:val="auto"/>
          <w:sz w:val="22"/>
          <w:lang w:val="en-US"/>
        </w:rPr>
        <w:t>, work plan, timeline,</w:t>
      </w:r>
      <w:r w:rsidR="0014142D">
        <w:rPr>
          <w:rFonts w:eastAsia="Gill Sans MT" w:cs="Calibri"/>
          <w:color w:val="auto"/>
          <w:sz w:val="22"/>
          <w:lang w:val="en-US"/>
        </w:rPr>
        <w:t xml:space="preserve"> etc.</w:t>
      </w:r>
    </w:p>
    <w:p w14:paraId="62E92C5C" w14:textId="6717AE25" w:rsidR="007B74A5" w:rsidRDefault="007B74A5" w:rsidP="00A41CAE">
      <w:pPr>
        <w:pStyle w:val="ListParagraph"/>
        <w:numPr>
          <w:ilvl w:val="0"/>
          <w:numId w:val="72"/>
        </w:numPr>
        <w:spacing w:after="0" w:line="360" w:lineRule="auto"/>
        <w:jc w:val="both"/>
        <w:rPr>
          <w:rFonts w:eastAsia="Gill Sans MT" w:cs="Calibri"/>
          <w:color w:val="auto"/>
          <w:sz w:val="22"/>
          <w:lang w:val="en-US"/>
        </w:rPr>
      </w:pPr>
      <w:r w:rsidRPr="005115B2">
        <w:rPr>
          <w:rFonts w:eastAsia="Gill Sans MT" w:cs="Calibri"/>
          <w:color w:val="auto"/>
          <w:sz w:val="22"/>
          <w:lang w:val="en-US"/>
        </w:rPr>
        <w:t>Validation of</w:t>
      </w:r>
      <w:r w:rsidR="00983A8F">
        <w:rPr>
          <w:rFonts w:eastAsia="Gill Sans MT" w:cs="Calibri"/>
          <w:color w:val="auto"/>
          <w:sz w:val="22"/>
          <w:lang w:val="en-US"/>
        </w:rPr>
        <w:t xml:space="preserve"> the above</w:t>
      </w:r>
    </w:p>
    <w:p w14:paraId="33404054" w14:textId="41262E09" w:rsidR="007B74A5" w:rsidRPr="0014142D" w:rsidRDefault="007B74A5" w:rsidP="00A41CAE">
      <w:pPr>
        <w:pStyle w:val="ListParagraph"/>
        <w:numPr>
          <w:ilvl w:val="0"/>
          <w:numId w:val="72"/>
        </w:numPr>
        <w:spacing w:after="0" w:line="360" w:lineRule="auto"/>
        <w:jc w:val="both"/>
        <w:rPr>
          <w:rFonts w:eastAsia="Gill Sans MT" w:cs="Calibri"/>
          <w:color w:val="auto"/>
          <w:sz w:val="22"/>
          <w:lang w:val="en-US"/>
        </w:rPr>
      </w:pPr>
      <w:r w:rsidRPr="0014142D">
        <w:rPr>
          <w:rFonts w:eastAsia="Gill Sans MT" w:cs="Calibri"/>
          <w:color w:val="auto"/>
          <w:sz w:val="22"/>
          <w:lang w:val="en-US"/>
        </w:rPr>
        <w:t>Develop</w:t>
      </w:r>
      <w:r w:rsidR="0013603F">
        <w:rPr>
          <w:rFonts w:eastAsia="Gill Sans MT" w:cs="Calibri"/>
          <w:color w:val="auto"/>
          <w:sz w:val="22"/>
          <w:lang w:val="en-US"/>
        </w:rPr>
        <w:t xml:space="preserve">, </w:t>
      </w:r>
      <w:proofErr w:type="gramStart"/>
      <w:r w:rsidR="0013603F">
        <w:rPr>
          <w:rFonts w:eastAsia="Gill Sans MT" w:cs="Calibri"/>
          <w:color w:val="auto"/>
          <w:sz w:val="22"/>
          <w:lang w:val="en-US"/>
        </w:rPr>
        <w:t>test</w:t>
      </w:r>
      <w:proofErr w:type="gramEnd"/>
      <w:r w:rsidR="0013603F">
        <w:rPr>
          <w:rFonts w:eastAsia="Gill Sans MT" w:cs="Calibri"/>
          <w:color w:val="auto"/>
          <w:sz w:val="22"/>
          <w:lang w:val="en-US"/>
        </w:rPr>
        <w:t xml:space="preserve"> and validate</w:t>
      </w:r>
      <w:r w:rsidRPr="0014142D">
        <w:rPr>
          <w:rFonts w:eastAsia="Gill Sans MT" w:cs="Calibri"/>
          <w:color w:val="auto"/>
          <w:sz w:val="22"/>
          <w:lang w:val="en-US"/>
        </w:rPr>
        <w:t xml:space="preserve"> </w:t>
      </w:r>
      <w:r w:rsidR="005115B2" w:rsidRPr="0014142D">
        <w:rPr>
          <w:rFonts w:eastAsia="Gill Sans MT" w:cs="Calibri"/>
          <w:color w:val="auto"/>
          <w:sz w:val="22"/>
          <w:lang w:val="en-US"/>
        </w:rPr>
        <w:t xml:space="preserve">different strategies </w:t>
      </w:r>
      <w:r w:rsidR="00983A8F" w:rsidRPr="0014142D">
        <w:rPr>
          <w:rFonts w:eastAsia="Gill Sans MT" w:cs="Calibri"/>
          <w:color w:val="auto"/>
          <w:sz w:val="22"/>
          <w:lang w:val="en-US"/>
        </w:rPr>
        <w:t xml:space="preserve">and tools for </w:t>
      </w:r>
    </w:p>
    <w:p w14:paraId="42F0A497" w14:textId="20EAB701" w:rsidR="007B74A5" w:rsidRPr="00F64165" w:rsidRDefault="0013603F" w:rsidP="00A41CAE">
      <w:pPr>
        <w:pStyle w:val="ListParagraph"/>
        <w:numPr>
          <w:ilvl w:val="0"/>
          <w:numId w:val="62"/>
        </w:numPr>
        <w:spacing w:line="360" w:lineRule="auto"/>
        <w:jc w:val="both"/>
        <w:rPr>
          <w:rFonts w:eastAsia="Gill Sans MT" w:cs="Calibri"/>
          <w:color w:val="auto"/>
          <w:sz w:val="22"/>
          <w:lang w:val="en-US"/>
        </w:rPr>
      </w:pPr>
      <w:r w:rsidRPr="0013603F">
        <w:rPr>
          <w:rFonts w:eastAsia="Gill Sans MT" w:cs="Calibri"/>
          <w:color w:val="auto"/>
          <w:sz w:val="22"/>
          <w:lang w:val="en-US"/>
        </w:rPr>
        <w:t>Innovative social and behavioural change communication</w:t>
      </w:r>
    </w:p>
    <w:p w14:paraId="65D78410" w14:textId="4DAB0010" w:rsidR="0013603F" w:rsidRDefault="0013603F" w:rsidP="00A41CAE">
      <w:pPr>
        <w:pStyle w:val="ListParagraph"/>
        <w:numPr>
          <w:ilvl w:val="0"/>
          <w:numId w:val="62"/>
        </w:numPr>
        <w:spacing w:line="360" w:lineRule="auto"/>
        <w:jc w:val="both"/>
        <w:rPr>
          <w:rFonts w:eastAsia="Gill Sans MT" w:cs="Calibri"/>
          <w:color w:val="auto"/>
          <w:sz w:val="22"/>
          <w:lang w:val="en-US"/>
        </w:rPr>
      </w:pPr>
      <w:r w:rsidRPr="0013603F">
        <w:rPr>
          <w:rFonts w:eastAsia="Gill Sans MT" w:cs="Calibri"/>
          <w:color w:val="auto"/>
          <w:sz w:val="22"/>
          <w:lang w:val="en-US"/>
        </w:rPr>
        <w:t>Innovative health information data tools</w:t>
      </w:r>
    </w:p>
    <w:p w14:paraId="342E4A24" w14:textId="170D2A9A" w:rsidR="005D78E9" w:rsidRDefault="005D78E9" w:rsidP="00A41CAE">
      <w:pPr>
        <w:pStyle w:val="ListParagraph"/>
        <w:numPr>
          <w:ilvl w:val="0"/>
          <w:numId w:val="62"/>
        </w:numPr>
        <w:spacing w:line="360" w:lineRule="auto"/>
        <w:jc w:val="both"/>
        <w:rPr>
          <w:rFonts w:eastAsia="Gill Sans MT" w:cs="Calibri"/>
          <w:color w:val="auto"/>
          <w:sz w:val="22"/>
          <w:lang w:val="en-US"/>
        </w:rPr>
      </w:pPr>
      <w:r w:rsidRPr="005D78E9">
        <w:rPr>
          <w:rFonts w:eastAsia="Gill Sans MT" w:cs="Calibri"/>
          <w:color w:val="auto"/>
          <w:sz w:val="22"/>
          <w:lang w:val="en-US"/>
        </w:rPr>
        <w:t>Participatory community and opinion mechanisms</w:t>
      </w:r>
    </w:p>
    <w:p w14:paraId="64D44719" w14:textId="019FEE03" w:rsidR="008A009F" w:rsidRPr="00F64165" w:rsidRDefault="001A3312" w:rsidP="00A41CAE">
      <w:pPr>
        <w:pStyle w:val="ListParagraph"/>
        <w:numPr>
          <w:ilvl w:val="0"/>
          <w:numId w:val="72"/>
        </w:numPr>
        <w:spacing w:after="0" w:line="360" w:lineRule="auto"/>
        <w:jc w:val="both"/>
        <w:rPr>
          <w:rFonts w:eastAsia="Gill Sans MT" w:cs="Calibri"/>
          <w:color w:val="auto"/>
          <w:sz w:val="22"/>
          <w:lang w:val="en-US"/>
        </w:rPr>
      </w:pPr>
      <w:r>
        <w:rPr>
          <w:rFonts w:eastAsia="Gill Sans MT" w:cs="Calibri"/>
          <w:color w:val="auto"/>
          <w:sz w:val="22"/>
          <w:lang w:val="en-US"/>
        </w:rPr>
        <w:t>Develop and implement</w:t>
      </w:r>
      <w:r w:rsidR="008A009F" w:rsidRPr="00F64165">
        <w:rPr>
          <w:rFonts w:eastAsia="Gill Sans MT" w:cs="Calibri"/>
          <w:color w:val="auto"/>
          <w:sz w:val="22"/>
          <w:lang w:val="en-US"/>
        </w:rPr>
        <w:t xml:space="preserve"> monitoring and evaluation system to follow</w:t>
      </w:r>
      <w:r w:rsidR="001F4125">
        <w:rPr>
          <w:rFonts w:eastAsia="Gill Sans MT" w:cs="Calibri"/>
          <w:color w:val="auto"/>
          <w:sz w:val="22"/>
          <w:lang w:val="en-US"/>
        </w:rPr>
        <w:t>-</w:t>
      </w:r>
      <w:r w:rsidR="008A009F" w:rsidRPr="00F64165">
        <w:rPr>
          <w:rFonts w:eastAsia="Gill Sans MT" w:cs="Calibri"/>
          <w:color w:val="auto"/>
          <w:sz w:val="22"/>
          <w:lang w:val="en-US"/>
        </w:rPr>
        <w:t>up and document program progress</w:t>
      </w:r>
    </w:p>
    <w:p w14:paraId="43BC6127" w14:textId="5A806C0C" w:rsidR="00247956" w:rsidRDefault="005D78E9" w:rsidP="00A41CAE">
      <w:pPr>
        <w:pStyle w:val="ListParagraph"/>
        <w:numPr>
          <w:ilvl w:val="0"/>
          <w:numId w:val="72"/>
        </w:numPr>
        <w:spacing w:after="0" w:line="360" w:lineRule="auto"/>
        <w:jc w:val="both"/>
        <w:rPr>
          <w:rFonts w:eastAsia="Gill Sans MT" w:cs="Calibri"/>
          <w:color w:val="auto"/>
          <w:sz w:val="22"/>
          <w:lang w:val="en-US"/>
        </w:rPr>
      </w:pPr>
      <w:r w:rsidRPr="005D78E9">
        <w:rPr>
          <w:rFonts w:eastAsia="Gill Sans MT" w:cs="Calibri"/>
          <w:color w:val="auto"/>
          <w:sz w:val="22"/>
          <w:lang w:val="en-US"/>
        </w:rPr>
        <w:t>Documented strategies that sustain changes in the population</w:t>
      </w:r>
    </w:p>
    <w:p w14:paraId="38E554C9" w14:textId="0A759D08" w:rsidR="00B0235D" w:rsidRPr="00051574" w:rsidRDefault="00051574" w:rsidP="00A41CAE">
      <w:pPr>
        <w:pStyle w:val="ListParagraph"/>
        <w:numPr>
          <w:ilvl w:val="0"/>
          <w:numId w:val="72"/>
        </w:numPr>
        <w:spacing w:after="0" w:line="360" w:lineRule="auto"/>
        <w:jc w:val="both"/>
        <w:rPr>
          <w:rFonts w:eastAsia="Gill Sans MT" w:cs="Calibri"/>
          <w:color w:val="auto"/>
          <w:sz w:val="22"/>
          <w:lang w:val="en-US"/>
        </w:rPr>
      </w:pPr>
      <w:r>
        <w:rPr>
          <w:rFonts w:eastAsia="Gill Sans MT" w:cs="Calibri"/>
          <w:color w:val="auto"/>
          <w:sz w:val="22"/>
          <w:lang w:val="en-US"/>
        </w:rPr>
        <w:t>Final report</w:t>
      </w:r>
    </w:p>
    <w:p w14:paraId="5A2C7833" w14:textId="77777777" w:rsidR="00051574" w:rsidRDefault="00051574">
      <w:pPr>
        <w:spacing w:line="259" w:lineRule="auto"/>
        <w:rPr>
          <w:rFonts w:cs="Calibri"/>
          <w:b/>
          <w:bCs/>
          <w:color w:val="auto"/>
          <w:sz w:val="24"/>
          <w:szCs w:val="24"/>
          <w:lang w:val="en-US"/>
        </w:rPr>
      </w:pPr>
      <w:r>
        <w:rPr>
          <w:rFonts w:cs="Calibri"/>
          <w:b/>
          <w:bCs/>
          <w:color w:val="auto"/>
          <w:sz w:val="24"/>
          <w:szCs w:val="24"/>
          <w:lang w:val="en-US"/>
        </w:rPr>
        <w:br w:type="page"/>
      </w:r>
    </w:p>
    <w:p w14:paraId="001FAD13" w14:textId="2DB37F6E" w:rsidR="004F07DF" w:rsidRPr="00F64165" w:rsidRDefault="004F07DF" w:rsidP="005115B2">
      <w:pPr>
        <w:spacing w:before="120" w:after="120" w:line="360" w:lineRule="auto"/>
        <w:rPr>
          <w:rFonts w:cs="Calibri"/>
          <w:b/>
          <w:bCs/>
          <w:color w:val="auto"/>
          <w:sz w:val="24"/>
          <w:szCs w:val="24"/>
          <w:lang w:val="en-US"/>
        </w:rPr>
      </w:pPr>
      <w:r w:rsidRPr="00F64165">
        <w:rPr>
          <w:rFonts w:cs="Calibri"/>
          <w:b/>
          <w:bCs/>
          <w:color w:val="auto"/>
          <w:sz w:val="24"/>
          <w:szCs w:val="24"/>
          <w:lang w:val="en-US"/>
        </w:rPr>
        <w:lastRenderedPageBreak/>
        <w:t xml:space="preserve">Supervision and reporting </w:t>
      </w:r>
    </w:p>
    <w:p w14:paraId="7188F1DC" w14:textId="77777777" w:rsidR="00051574" w:rsidRDefault="004F07DF" w:rsidP="005115B2">
      <w:pPr>
        <w:spacing w:line="360" w:lineRule="auto"/>
        <w:jc w:val="both"/>
        <w:rPr>
          <w:rFonts w:eastAsia="Gill Sans MT" w:cs="Calibri"/>
          <w:color w:val="auto"/>
          <w:sz w:val="22"/>
          <w:lang w:val="en-US"/>
        </w:rPr>
      </w:pPr>
      <w:bookmarkStart w:id="166" w:name="_Toc40778881"/>
      <w:r w:rsidRPr="00F64165">
        <w:rPr>
          <w:rFonts w:eastAsia="Gill Sans MT" w:cs="Calibri"/>
          <w:color w:val="auto"/>
          <w:sz w:val="22"/>
          <w:lang w:val="en-US"/>
        </w:rPr>
        <w:t>The consultants’ team leader will report on regular basis to the BARAME Project management (MCCH, Enabel and districts).</w:t>
      </w:r>
      <w:bookmarkStart w:id="167" w:name="_Toc40778882"/>
      <w:bookmarkEnd w:id="166"/>
      <w:r w:rsidRPr="00F64165">
        <w:rPr>
          <w:rFonts w:eastAsia="Gill Sans MT" w:cs="Calibri"/>
          <w:color w:val="auto"/>
          <w:sz w:val="22"/>
          <w:lang w:val="en-US"/>
        </w:rPr>
        <w:t xml:space="preserve"> </w:t>
      </w:r>
      <w:r w:rsidR="00051574">
        <w:rPr>
          <w:rFonts w:eastAsia="Gill Sans MT" w:cs="Calibri"/>
          <w:color w:val="auto"/>
          <w:sz w:val="22"/>
          <w:lang w:val="en-US"/>
        </w:rPr>
        <w:t xml:space="preserve">The </w:t>
      </w:r>
      <w:proofErr w:type="spellStart"/>
      <w:r w:rsidR="00051574">
        <w:rPr>
          <w:rFonts w:eastAsia="Gill Sans MT" w:cs="Calibri"/>
          <w:color w:val="auto"/>
          <w:sz w:val="22"/>
          <w:lang w:val="en-US"/>
        </w:rPr>
        <w:t>frequence</w:t>
      </w:r>
      <w:proofErr w:type="spellEnd"/>
      <w:r w:rsidR="00051574">
        <w:rPr>
          <w:rFonts w:eastAsia="Gill Sans MT" w:cs="Calibri"/>
          <w:color w:val="auto"/>
          <w:sz w:val="22"/>
          <w:lang w:val="en-US"/>
        </w:rPr>
        <w:t xml:space="preserve"> of reporting will be specified during the inception phase and meeting.</w:t>
      </w:r>
    </w:p>
    <w:p w14:paraId="5A3F678D" w14:textId="7D2E3A8B" w:rsidR="004F07DF" w:rsidRPr="00F64165" w:rsidRDefault="004F07DF" w:rsidP="005115B2">
      <w:pPr>
        <w:spacing w:line="360" w:lineRule="auto"/>
        <w:jc w:val="both"/>
        <w:rPr>
          <w:rFonts w:eastAsia="Gill Sans MT" w:cs="Calibri"/>
          <w:color w:val="auto"/>
          <w:sz w:val="22"/>
          <w:lang w:val="en-US"/>
        </w:rPr>
      </w:pPr>
      <w:r w:rsidRPr="00F64165">
        <w:rPr>
          <w:rFonts w:eastAsia="Gill Sans MT" w:cs="Calibri"/>
          <w:color w:val="auto"/>
          <w:sz w:val="22"/>
          <w:lang w:val="en-US"/>
        </w:rPr>
        <w:t>The Intervention Manager may delegate authority to specific technical assistant of BARAME project.</w:t>
      </w:r>
    </w:p>
    <w:p w14:paraId="4D746829" w14:textId="7C6828EE" w:rsidR="004F07DF" w:rsidRPr="00F64165" w:rsidRDefault="004F07DF" w:rsidP="005115B2">
      <w:pPr>
        <w:spacing w:before="120" w:after="120" w:line="360" w:lineRule="auto"/>
        <w:rPr>
          <w:rFonts w:cs="Calibri"/>
          <w:b/>
          <w:bCs/>
          <w:color w:val="auto"/>
          <w:sz w:val="24"/>
          <w:szCs w:val="24"/>
          <w:lang w:val="en-US"/>
        </w:rPr>
      </w:pPr>
      <w:r w:rsidRPr="00F64165">
        <w:rPr>
          <w:rFonts w:cs="Calibri"/>
          <w:b/>
          <w:bCs/>
          <w:color w:val="auto"/>
          <w:sz w:val="24"/>
          <w:szCs w:val="24"/>
          <w:lang w:val="en-US"/>
        </w:rPr>
        <w:t>Timeframe</w:t>
      </w:r>
      <w:r w:rsidR="004A2EA7">
        <w:rPr>
          <w:rFonts w:cs="Calibri"/>
          <w:b/>
          <w:bCs/>
          <w:color w:val="auto"/>
          <w:sz w:val="24"/>
          <w:szCs w:val="24"/>
          <w:lang w:val="en-US"/>
        </w:rPr>
        <w:t xml:space="preserve">, </w:t>
      </w:r>
      <w:proofErr w:type="gramStart"/>
      <w:r w:rsidRPr="00F64165">
        <w:rPr>
          <w:rFonts w:cs="Calibri"/>
          <w:b/>
          <w:bCs/>
          <w:color w:val="auto"/>
          <w:sz w:val="24"/>
          <w:szCs w:val="24"/>
          <w:lang w:val="en-US"/>
        </w:rPr>
        <w:t>duration</w:t>
      </w:r>
      <w:bookmarkEnd w:id="167"/>
      <w:proofErr w:type="gramEnd"/>
      <w:r w:rsidR="004A2EA7">
        <w:rPr>
          <w:rFonts w:cs="Calibri"/>
          <w:b/>
          <w:bCs/>
          <w:color w:val="auto"/>
          <w:sz w:val="24"/>
          <w:szCs w:val="24"/>
          <w:lang w:val="en-US"/>
        </w:rPr>
        <w:t xml:space="preserve"> and indicative plan</w:t>
      </w:r>
    </w:p>
    <w:p w14:paraId="05CCD041" w14:textId="17D25BB9" w:rsidR="004F07DF" w:rsidRPr="00F64165" w:rsidRDefault="004F07DF" w:rsidP="005115B2">
      <w:pPr>
        <w:spacing w:line="360" w:lineRule="auto"/>
        <w:jc w:val="both"/>
        <w:rPr>
          <w:rFonts w:eastAsia="Gill Sans MT" w:cs="Calibri"/>
          <w:color w:val="auto"/>
          <w:sz w:val="22"/>
          <w:lang w:val="en-US"/>
        </w:rPr>
      </w:pPr>
      <w:r w:rsidRPr="00F64165">
        <w:rPr>
          <w:rFonts w:eastAsia="Gill Sans MT" w:cs="Calibri"/>
          <w:color w:val="auto"/>
          <w:sz w:val="22"/>
          <w:lang w:val="en-US"/>
        </w:rPr>
        <w:t xml:space="preserve">The </w:t>
      </w:r>
      <w:r w:rsidR="00A04B4D" w:rsidRPr="00F64165">
        <w:rPr>
          <w:rFonts w:eastAsia="Gill Sans MT" w:cs="Calibri"/>
          <w:color w:val="auto"/>
          <w:sz w:val="22"/>
          <w:lang w:val="en-US"/>
        </w:rPr>
        <w:t>tender</w:t>
      </w:r>
      <w:r w:rsidRPr="00F64165">
        <w:rPr>
          <w:rFonts w:eastAsia="Gill Sans MT" w:cs="Calibri"/>
          <w:color w:val="auto"/>
          <w:sz w:val="22"/>
          <w:lang w:val="en-US"/>
        </w:rPr>
        <w:t xml:space="preserve"> should approximatively start </w:t>
      </w:r>
      <w:r w:rsidR="0095622F">
        <w:rPr>
          <w:rFonts w:eastAsia="Gill Sans MT" w:cs="Calibri"/>
          <w:color w:val="auto"/>
          <w:sz w:val="22"/>
          <w:lang w:val="en-US"/>
        </w:rPr>
        <w:t>end of December 2022 or early in January</w:t>
      </w:r>
      <w:r w:rsidRPr="00F64165">
        <w:rPr>
          <w:rFonts w:eastAsia="Gill Sans MT" w:cs="Calibri"/>
          <w:color w:val="auto"/>
          <w:sz w:val="22"/>
          <w:lang w:val="en-US"/>
        </w:rPr>
        <w:t xml:space="preserve"> </w:t>
      </w:r>
      <w:r w:rsidR="0095622F">
        <w:rPr>
          <w:rFonts w:eastAsia="Gill Sans MT" w:cs="Calibri"/>
          <w:color w:val="auto"/>
          <w:sz w:val="22"/>
          <w:lang w:val="en-US"/>
        </w:rPr>
        <w:t xml:space="preserve">2023 </w:t>
      </w:r>
      <w:r w:rsidRPr="00F64165">
        <w:rPr>
          <w:rFonts w:eastAsia="Gill Sans MT" w:cs="Calibri"/>
          <w:color w:val="auto"/>
          <w:sz w:val="22"/>
          <w:lang w:val="en-US"/>
        </w:rPr>
        <w:t xml:space="preserve">and should be completed by </w:t>
      </w:r>
      <w:r w:rsidR="0095622F">
        <w:rPr>
          <w:rFonts w:eastAsia="Gill Sans MT" w:cs="Calibri"/>
          <w:color w:val="auto"/>
          <w:sz w:val="22"/>
          <w:lang w:val="en-US"/>
        </w:rPr>
        <w:t>15</w:t>
      </w:r>
      <w:r w:rsidR="0095622F" w:rsidRPr="0095622F">
        <w:rPr>
          <w:rFonts w:eastAsia="Gill Sans MT" w:cs="Calibri"/>
          <w:color w:val="auto"/>
          <w:sz w:val="22"/>
          <w:vertAlign w:val="superscript"/>
          <w:lang w:val="en-US"/>
        </w:rPr>
        <w:t>th</w:t>
      </w:r>
      <w:r w:rsidR="0095622F">
        <w:rPr>
          <w:rFonts w:eastAsia="Gill Sans MT" w:cs="Calibri"/>
          <w:color w:val="auto"/>
          <w:sz w:val="22"/>
          <w:lang w:val="en-US"/>
        </w:rPr>
        <w:t xml:space="preserve"> </w:t>
      </w:r>
      <w:r w:rsidRPr="00F64165">
        <w:rPr>
          <w:rFonts w:eastAsia="Gill Sans MT" w:cs="Calibri"/>
          <w:color w:val="auto"/>
          <w:sz w:val="22"/>
          <w:lang w:val="en-US"/>
        </w:rPr>
        <w:t xml:space="preserve">of </w:t>
      </w:r>
      <w:r w:rsidR="00A04B4D" w:rsidRPr="00F64165">
        <w:rPr>
          <w:rFonts w:eastAsia="Gill Sans MT" w:cs="Calibri"/>
          <w:color w:val="auto"/>
          <w:sz w:val="22"/>
          <w:lang w:val="en-US"/>
        </w:rPr>
        <w:t>December</w:t>
      </w:r>
      <w:r w:rsidRPr="00F64165">
        <w:rPr>
          <w:rFonts w:eastAsia="Gill Sans MT" w:cs="Calibri"/>
          <w:color w:val="auto"/>
          <w:sz w:val="22"/>
          <w:lang w:val="en-US"/>
        </w:rPr>
        <w:t xml:space="preserve"> 202</w:t>
      </w:r>
      <w:r w:rsidR="00A04B4D" w:rsidRPr="00F64165">
        <w:rPr>
          <w:rFonts w:eastAsia="Gill Sans MT" w:cs="Calibri"/>
          <w:color w:val="auto"/>
          <w:sz w:val="22"/>
          <w:lang w:val="en-US"/>
        </w:rPr>
        <w:t>3</w:t>
      </w:r>
      <w:r w:rsidRPr="00F64165">
        <w:rPr>
          <w:rFonts w:eastAsia="Gill Sans MT" w:cs="Calibri"/>
          <w:color w:val="auto"/>
          <w:sz w:val="22"/>
          <w:lang w:val="en-US"/>
        </w:rPr>
        <w:t>; the number of man days required to fulfil the requirements will be decided by the Consultants/Firm.</w:t>
      </w:r>
    </w:p>
    <w:p w14:paraId="1D5DFB8C" w14:textId="77777777" w:rsidR="004F07DF" w:rsidRPr="00F64165" w:rsidRDefault="004F07DF" w:rsidP="005115B2">
      <w:pPr>
        <w:spacing w:line="360" w:lineRule="auto"/>
        <w:rPr>
          <w:rFonts w:eastAsia="Gill Sans MT" w:cs="Calibri"/>
          <w:color w:val="auto"/>
          <w:sz w:val="22"/>
          <w:lang w:val="en-US"/>
        </w:rPr>
      </w:pPr>
      <w:r w:rsidRPr="00F64165">
        <w:rPr>
          <w:rFonts w:eastAsia="Gill Sans MT" w:cs="Calibri"/>
          <w:color w:val="auto"/>
          <w:sz w:val="22"/>
          <w:lang w:val="en-US"/>
        </w:rPr>
        <w:t>It is anticipated that the consultants/Firm will be expected to deliver to the following key dates:</w:t>
      </w:r>
    </w:p>
    <w:p w14:paraId="03DA6ECE" w14:textId="3832F2A1" w:rsidR="004117A3" w:rsidRPr="008141DA" w:rsidRDefault="00385C1B" w:rsidP="00A41CAE">
      <w:pPr>
        <w:pStyle w:val="ListParagraph"/>
        <w:numPr>
          <w:ilvl w:val="0"/>
          <w:numId w:val="72"/>
        </w:numPr>
        <w:spacing w:after="0" w:line="360" w:lineRule="auto"/>
        <w:jc w:val="both"/>
        <w:rPr>
          <w:rFonts w:eastAsia="Gill Sans MT" w:cs="Calibri"/>
          <w:color w:val="auto"/>
          <w:sz w:val="22"/>
          <w:lang w:val="en-US"/>
        </w:rPr>
      </w:pPr>
      <w:r w:rsidRPr="008141DA">
        <w:rPr>
          <w:rFonts w:eastAsia="Gill Sans MT" w:cs="Calibri"/>
          <w:color w:val="auto"/>
          <w:sz w:val="22"/>
          <w:lang w:val="en-US"/>
        </w:rPr>
        <w:t xml:space="preserve">Inception report including </w:t>
      </w:r>
      <w:r w:rsidR="009B6D1A" w:rsidRPr="008141DA">
        <w:rPr>
          <w:rFonts w:eastAsia="Gill Sans MT" w:cs="Calibri"/>
          <w:color w:val="auto"/>
          <w:sz w:val="22"/>
          <w:lang w:val="en-US"/>
        </w:rPr>
        <w:t xml:space="preserve">literature review </w:t>
      </w:r>
      <w:r w:rsidRPr="008141DA">
        <w:rPr>
          <w:rFonts w:eastAsia="Gill Sans MT" w:cs="Calibri"/>
          <w:color w:val="auto"/>
          <w:sz w:val="22"/>
          <w:lang w:val="en-US"/>
        </w:rPr>
        <w:t>and a</w:t>
      </w:r>
      <w:r w:rsidR="004F07DF" w:rsidRPr="008141DA">
        <w:rPr>
          <w:rFonts w:eastAsia="Gill Sans MT" w:cs="Calibri"/>
          <w:color w:val="auto"/>
          <w:sz w:val="22"/>
          <w:lang w:val="en-US"/>
        </w:rPr>
        <w:t xml:space="preserve">pproved </w:t>
      </w:r>
      <w:r w:rsidR="004117A3" w:rsidRPr="008141DA">
        <w:rPr>
          <w:rFonts w:eastAsia="Gill Sans MT" w:cs="Calibri"/>
          <w:color w:val="auto"/>
          <w:sz w:val="22"/>
          <w:lang w:val="en-US"/>
        </w:rPr>
        <w:t xml:space="preserve">methodology, work plan, timeline by </w:t>
      </w:r>
      <w:r w:rsidR="009B6D1A" w:rsidRPr="008141DA">
        <w:rPr>
          <w:rFonts w:eastAsia="Gill Sans MT" w:cs="Calibri"/>
          <w:color w:val="auto"/>
          <w:sz w:val="22"/>
          <w:lang w:val="en-US"/>
        </w:rPr>
        <w:t>mid-February</w:t>
      </w:r>
      <w:r w:rsidR="004117A3" w:rsidRPr="008141DA">
        <w:rPr>
          <w:rFonts w:eastAsia="Gill Sans MT" w:cs="Calibri"/>
          <w:color w:val="auto"/>
          <w:sz w:val="22"/>
          <w:lang w:val="en-US"/>
        </w:rPr>
        <w:t xml:space="preserve"> 2023.</w:t>
      </w:r>
    </w:p>
    <w:p w14:paraId="7AFC893B" w14:textId="0E45E008" w:rsidR="004117A3" w:rsidRPr="008141DA" w:rsidRDefault="00DB0DC2" w:rsidP="00A41CAE">
      <w:pPr>
        <w:pStyle w:val="ListParagraph"/>
        <w:numPr>
          <w:ilvl w:val="0"/>
          <w:numId w:val="72"/>
        </w:numPr>
        <w:spacing w:after="0" w:line="360" w:lineRule="auto"/>
        <w:jc w:val="both"/>
        <w:rPr>
          <w:rFonts w:eastAsia="Gill Sans MT" w:cs="Calibri"/>
          <w:color w:val="auto"/>
          <w:sz w:val="22"/>
          <w:lang w:val="en-US"/>
        </w:rPr>
      </w:pPr>
      <w:bookmarkStart w:id="168" w:name="_Hlk89848790"/>
      <w:r w:rsidRPr="008141DA">
        <w:rPr>
          <w:rFonts w:eastAsia="Gill Sans MT" w:cs="Calibri"/>
          <w:color w:val="auto"/>
          <w:sz w:val="22"/>
          <w:lang w:val="en-US"/>
        </w:rPr>
        <w:t>Proposal</w:t>
      </w:r>
      <w:r w:rsidR="004117A3" w:rsidRPr="008141DA">
        <w:rPr>
          <w:rFonts w:eastAsia="Gill Sans MT" w:cs="Calibri"/>
          <w:color w:val="auto"/>
          <w:sz w:val="22"/>
          <w:lang w:val="en-US"/>
        </w:rPr>
        <w:t xml:space="preserve"> of </w:t>
      </w:r>
      <w:r w:rsidR="00D965C2" w:rsidRPr="008141DA">
        <w:rPr>
          <w:rFonts w:eastAsia="Gill Sans MT" w:cs="Calibri"/>
          <w:color w:val="auto"/>
          <w:sz w:val="22"/>
          <w:lang w:val="en-US"/>
        </w:rPr>
        <w:t>social and behavioural change communication mechanisms/tools</w:t>
      </w:r>
      <w:r w:rsidR="009B6D1A" w:rsidRPr="008141DA">
        <w:rPr>
          <w:rFonts w:eastAsia="Gill Sans MT" w:cs="Calibri"/>
          <w:color w:val="auto"/>
          <w:sz w:val="22"/>
          <w:lang w:val="en-US"/>
        </w:rPr>
        <w:t>,</w:t>
      </w:r>
      <w:r w:rsidR="00A84005" w:rsidRPr="008141DA">
        <w:rPr>
          <w:rFonts w:eastAsia="Gill Sans MT" w:cs="Calibri"/>
          <w:color w:val="auto"/>
          <w:sz w:val="22"/>
          <w:lang w:val="en-US"/>
        </w:rPr>
        <w:t xml:space="preserve"> Innovative health information data tools </w:t>
      </w:r>
      <w:r w:rsidR="004117A3" w:rsidRPr="008141DA">
        <w:rPr>
          <w:rFonts w:eastAsia="Gill Sans MT" w:cs="Calibri"/>
          <w:color w:val="auto"/>
          <w:sz w:val="22"/>
          <w:lang w:val="en-US"/>
        </w:rPr>
        <w:t xml:space="preserve">and </w:t>
      </w:r>
      <w:r w:rsidRPr="008141DA">
        <w:rPr>
          <w:rFonts w:eastAsia="Gill Sans MT" w:cs="Calibri"/>
          <w:color w:val="auto"/>
          <w:sz w:val="22"/>
          <w:lang w:val="en-US"/>
        </w:rPr>
        <w:t xml:space="preserve">Participatory community and opinion mechanisms </w:t>
      </w:r>
      <w:r w:rsidR="004117A3" w:rsidRPr="008141DA">
        <w:rPr>
          <w:rFonts w:eastAsia="Gill Sans MT" w:cs="Calibri"/>
          <w:color w:val="auto"/>
          <w:sz w:val="22"/>
          <w:lang w:val="en-US"/>
        </w:rPr>
        <w:t>by March 2023</w:t>
      </w:r>
    </w:p>
    <w:p w14:paraId="29B05A9D" w14:textId="513DDE67" w:rsidR="000F6C07" w:rsidRPr="008141DA" w:rsidRDefault="000F6C07" w:rsidP="00A41CAE">
      <w:pPr>
        <w:pStyle w:val="ListParagraph"/>
        <w:numPr>
          <w:ilvl w:val="0"/>
          <w:numId w:val="72"/>
        </w:numPr>
        <w:spacing w:after="0" w:line="360" w:lineRule="auto"/>
        <w:jc w:val="both"/>
        <w:rPr>
          <w:rFonts w:eastAsia="Gill Sans MT" w:cs="Calibri"/>
          <w:color w:val="auto"/>
          <w:sz w:val="22"/>
          <w:lang w:val="en-US"/>
        </w:rPr>
      </w:pPr>
      <w:r w:rsidRPr="008141DA">
        <w:rPr>
          <w:rFonts w:eastAsia="Gill Sans MT" w:cs="Calibri"/>
          <w:color w:val="auto"/>
          <w:sz w:val="22"/>
          <w:lang w:val="en-US"/>
        </w:rPr>
        <w:t>Validation of the different tools and mechanisms strategies by April 2023</w:t>
      </w:r>
    </w:p>
    <w:p w14:paraId="4D89E79D" w14:textId="2A5BB7BF" w:rsidR="000F6C07" w:rsidRPr="008141DA" w:rsidRDefault="000F6C07" w:rsidP="00A41CAE">
      <w:pPr>
        <w:pStyle w:val="ListParagraph"/>
        <w:numPr>
          <w:ilvl w:val="0"/>
          <w:numId w:val="72"/>
        </w:numPr>
        <w:spacing w:after="0" w:line="360" w:lineRule="auto"/>
        <w:jc w:val="both"/>
        <w:rPr>
          <w:rFonts w:eastAsia="Gill Sans MT" w:cs="Calibri"/>
          <w:color w:val="auto"/>
          <w:sz w:val="22"/>
          <w:lang w:val="en-US"/>
        </w:rPr>
      </w:pPr>
      <w:r w:rsidRPr="008141DA">
        <w:rPr>
          <w:rFonts w:eastAsia="Gill Sans MT" w:cs="Calibri"/>
          <w:color w:val="auto"/>
          <w:sz w:val="22"/>
          <w:lang w:val="en-US"/>
        </w:rPr>
        <w:t>Monitoring and Evaluation system in place by April 2023</w:t>
      </w:r>
    </w:p>
    <w:p w14:paraId="5865322B" w14:textId="5935A5EF" w:rsidR="004F07DF" w:rsidRPr="004A2EA7" w:rsidRDefault="004F07DF" w:rsidP="00A41CAE">
      <w:pPr>
        <w:pStyle w:val="ListParagraph"/>
        <w:numPr>
          <w:ilvl w:val="0"/>
          <w:numId w:val="72"/>
        </w:numPr>
        <w:spacing w:after="0" w:line="360" w:lineRule="auto"/>
        <w:jc w:val="both"/>
        <w:rPr>
          <w:rFonts w:eastAsia="Arial" w:cs="Calibri"/>
          <w:bCs/>
          <w:color w:val="auto"/>
          <w:sz w:val="22"/>
          <w:lang w:val="en-US"/>
        </w:rPr>
      </w:pPr>
      <w:r w:rsidRPr="008141DA">
        <w:rPr>
          <w:rFonts w:eastAsia="Gill Sans MT" w:cs="Calibri"/>
          <w:color w:val="auto"/>
          <w:sz w:val="22"/>
          <w:lang w:val="en-US"/>
        </w:rPr>
        <w:t>Final report</w:t>
      </w:r>
      <w:r w:rsidRPr="00F64165">
        <w:rPr>
          <w:rFonts w:eastAsia="Gill Sans MT" w:cs="Calibri"/>
          <w:bCs/>
          <w:color w:val="auto"/>
          <w:sz w:val="22"/>
          <w:lang w:val="en-US"/>
        </w:rPr>
        <w:t xml:space="preserve"> writing by </w:t>
      </w:r>
      <w:r w:rsidR="0020432A" w:rsidRPr="00F64165">
        <w:rPr>
          <w:rFonts w:eastAsia="Gill Sans MT" w:cs="Calibri"/>
          <w:bCs/>
          <w:color w:val="auto"/>
          <w:sz w:val="22"/>
          <w:lang w:val="en-US"/>
        </w:rPr>
        <w:t>November</w:t>
      </w:r>
      <w:r w:rsidRPr="00F64165">
        <w:rPr>
          <w:rFonts w:eastAsia="Gill Sans MT" w:cs="Calibri"/>
          <w:bCs/>
          <w:color w:val="auto"/>
          <w:sz w:val="22"/>
          <w:lang w:val="en-US"/>
        </w:rPr>
        <w:t xml:space="preserve"> 202</w:t>
      </w:r>
      <w:r w:rsidR="0020432A" w:rsidRPr="00F64165">
        <w:rPr>
          <w:rFonts w:eastAsia="Gill Sans MT" w:cs="Calibri"/>
          <w:bCs/>
          <w:color w:val="auto"/>
          <w:sz w:val="22"/>
          <w:lang w:val="en-US"/>
        </w:rPr>
        <w:t>3</w:t>
      </w:r>
      <w:r w:rsidRPr="00F64165">
        <w:rPr>
          <w:rFonts w:eastAsia="Gill Sans MT" w:cs="Calibri"/>
          <w:bCs/>
          <w:color w:val="auto"/>
          <w:sz w:val="22"/>
          <w:lang w:val="en-US"/>
        </w:rPr>
        <w:t xml:space="preserve"> and dissemination by end of </w:t>
      </w:r>
      <w:r w:rsidR="0020432A" w:rsidRPr="00F64165">
        <w:rPr>
          <w:rFonts w:eastAsia="Gill Sans MT" w:cs="Calibri"/>
          <w:bCs/>
          <w:color w:val="auto"/>
          <w:sz w:val="22"/>
          <w:lang w:val="en-US"/>
        </w:rPr>
        <w:t>December</w:t>
      </w:r>
      <w:r w:rsidRPr="00F64165">
        <w:rPr>
          <w:rFonts w:eastAsia="Gill Sans MT" w:cs="Calibri"/>
          <w:bCs/>
          <w:color w:val="auto"/>
          <w:sz w:val="22"/>
          <w:lang w:val="en-US"/>
        </w:rPr>
        <w:t xml:space="preserve"> 202</w:t>
      </w:r>
      <w:r w:rsidR="0020432A" w:rsidRPr="00F64165">
        <w:rPr>
          <w:rFonts w:eastAsia="Gill Sans MT" w:cs="Calibri"/>
          <w:bCs/>
          <w:color w:val="auto"/>
          <w:sz w:val="22"/>
          <w:lang w:val="en-US"/>
        </w:rPr>
        <w:t>3</w:t>
      </w:r>
      <w:bookmarkEnd w:id="168"/>
    </w:p>
    <w:p w14:paraId="3F573025" w14:textId="77777777" w:rsidR="004F07DF" w:rsidRPr="00F64165" w:rsidRDefault="004F07DF" w:rsidP="00A41CAE">
      <w:pPr>
        <w:numPr>
          <w:ilvl w:val="1"/>
          <w:numId w:val="63"/>
        </w:numPr>
        <w:spacing w:before="160" w:line="360" w:lineRule="auto"/>
        <w:rPr>
          <w:rFonts w:cs="Calibri"/>
          <w:b/>
          <w:color w:val="auto"/>
          <w:sz w:val="24"/>
          <w:szCs w:val="24"/>
          <w:lang w:val="en-US"/>
        </w:rPr>
      </w:pPr>
      <w:bookmarkStart w:id="169" w:name="_Toc42079079"/>
      <w:bookmarkStart w:id="170" w:name="_Toc89850331"/>
      <w:r w:rsidRPr="00F64165">
        <w:rPr>
          <w:rFonts w:cs="Calibri"/>
          <w:b/>
          <w:color w:val="auto"/>
          <w:sz w:val="24"/>
          <w:szCs w:val="24"/>
          <w:lang w:val="en-US"/>
        </w:rPr>
        <w:t>PAYMENT SCHEDULE</w:t>
      </w:r>
      <w:bookmarkEnd w:id="169"/>
      <w:bookmarkEnd w:id="170"/>
    </w:p>
    <w:p w14:paraId="0EDED80E" w14:textId="77777777" w:rsidR="004F07DF" w:rsidRPr="004A2EA7" w:rsidRDefault="004F07DF" w:rsidP="004A2EA7">
      <w:pPr>
        <w:spacing w:line="360" w:lineRule="auto"/>
        <w:ind w:right="23"/>
        <w:rPr>
          <w:rFonts w:eastAsia="Gill Sans MT" w:cs="Calibri"/>
          <w:bCs/>
          <w:color w:val="auto"/>
          <w:sz w:val="22"/>
          <w:lang w:val="en-US"/>
        </w:rPr>
      </w:pPr>
      <w:r w:rsidRPr="004A2EA7">
        <w:rPr>
          <w:rFonts w:eastAsia="Gill Sans MT" w:cs="Calibri"/>
          <w:bCs/>
          <w:color w:val="auto"/>
          <w:sz w:val="22"/>
          <w:lang w:val="en-US"/>
        </w:rPr>
        <w:t>Payments by Enabel are delivery-based. Any deliverable not meeting the required standard will be rejected and subject to be reworked on, with no additional cost.</w:t>
      </w:r>
      <w:r w:rsidRPr="004A2EA7" w:rsidDel="00BD41F2">
        <w:rPr>
          <w:rFonts w:eastAsia="Gill Sans MT" w:cs="Calibri"/>
          <w:bCs/>
          <w:color w:val="auto"/>
          <w:sz w:val="22"/>
          <w:lang w:val="en-US"/>
        </w:rPr>
        <w:t xml:space="preserve"> </w:t>
      </w:r>
    </w:p>
    <w:p w14:paraId="1613580C" w14:textId="7BA548FC" w:rsidR="004F07DF" w:rsidRDefault="004F07DF" w:rsidP="004A2EA7">
      <w:pPr>
        <w:spacing w:line="360" w:lineRule="auto"/>
        <w:ind w:right="23"/>
        <w:rPr>
          <w:rFonts w:eastAsia="Gill Sans MT" w:cs="Calibri"/>
          <w:bCs/>
          <w:color w:val="auto"/>
          <w:sz w:val="22"/>
          <w:lang w:val="en-US"/>
        </w:rPr>
      </w:pPr>
      <w:r w:rsidRPr="004A2EA7">
        <w:rPr>
          <w:rFonts w:eastAsia="Gill Sans MT" w:cs="Calibri"/>
          <w:bCs/>
          <w:color w:val="auto"/>
          <w:sz w:val="22"/>
          <w:lang w:val="en-US"/>
        </w:rPr>
        <w:t>Barame Project Intervention Manager or the delegate will review the performance of each deliverable and initiate payment upon satisfactory performance in installments as follow:</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277"/>
        <w:gridCol w:w="2821"/>
      </w:tblGrid>
      <w:tr w:rsidR="003569D5" w:rsidRPr="00AF1DAC" w14:paraId="5CF6D5C5" w14:textId="77777777" w:rsidTr="0028683E">
        <w:trPr>
          <w:trHeight w:val="401"/>
          <w:tblHeader/>
        </w:trPr>
        <w:tc>
          <w:tcPr>
            <w:tcW w:w="1276" w:type="dxa"/>
            <w:shd w:val="clear" w:color="auto" w:fill="A6A6A6"/>
            <w:vAlign w:val="center"/>
          </w:tcPr>
          <w:p w14:paraId="6ACB6507" w14:textId="77777777" w:rsidR="003569D5" w:rsidRPr="00C44D66" w:rsidRDefault="003569D5" w:rsidP="0028683E">
            <w:pPr>
              <w:spacing w:line="259" w:lineRule="auto"/>
              <w:jc w:val="center"/>
              <w:rPr>
                <w:b/>
                <w:color w:val="auto"/>
                <w:sz w:val="20"/>
                <w:szCs w:val="20"/>
              </w:rPr>
            </w:pPr>
            <w:r w:rsidRPr="00C44D66">
              <w:rPr>
                <w:b/>
                <w:color w:val="auto"/>
                <w:sz w:val="20"/>
                <w:szCs w:val="20"/>
              </w:rPr>
              <w:t>Deliverable N°</w:t>
            </w:r>
          </w:p>
        </w:tc>
        <w:tc>
          <w:tcPr>
            <w:tcW w:w="5358" w:type="dxa"/>
            <w:shd w:val="clear" w:color="auto" w:fill="A6A6A6"/>
          </w:tcPr>
          <w:p w14:paraId="17EFBBA6" w14:textId="77777777" w:rsidR="003569D5" w:rsidRPr="00C44D66" w:rsidRDefault="003569D5" w:rsidP="0028683E">
            <w:pPr>
              <w:spacing w:line="259" w:lineRule="auto"/>
              <w:jc w:val="center"/>
              <w:rPr>
                <w:b/>
                <w:color w:val="auto"/>
                <w:sz w:val="20"/>
                <w:szCs w:val="20"/>
              </w:rPr>
            </w:pPr>
            <w:r w:rsidRPr="00C44D66">
              <w:rPr>
                <w:b/>
                <w:color w:val="auto"/>
                <w:sz w:val="20"/>
                <w:szCs w:val="20"/>
              </w:rPr>
              <w:t>Deliverable description and report</w:t>
            </w:r>
          </w:p>
        </w:tc>
        <w:tc>
          <w:tcPr>
            <w:tcW w:w="2864" w:type="dxa"/>
            <w:shd w:val="clear" w:color="auto" w:fill="A6A6A6"/>
          </w:tcPr>
          <w:p w14:paraId="62FE9DC1" w14:textId="37A85FD0" w:rsidR="003569D5" w:rsidRPr="00C44D66" w:rsidRDefault="003569D5" w:rsidP="0028683E">
            <w:pPr>
              <w:spacing w:line="259" w:lineRule="auto"/>
              <w:rPr>
                <w:b/>
                <w:color w:val="auto"/>
                <w:sz w:val="20"/>
                <w:szCs w:val="20"/>
              </w:rPr>
            </w:pPr>
            <w:r w:rsidRPr="00C44D66">
              <w:rPr>
                <w:b/>
                <w:color w:val="auto"/>
                <w:sz w:val="20"/>
                <w:szCs w:val="20"/>
              </w:rPr>
              <w:t>Payment</w:t>
            </w:r>
            <w:r w:rsidR="001F4125">
              <w:rPr>
                <w:b/>
                <w:color w:val="auto"/>
                <w:sz w:val="20"/>
                <w:szCs w:val="20"/>
              </w:rPr>
              <w:t>’s</w:t>
            </w:r>
            <w:r w:rsidRPr="00C44D66">
              <w:rPr>
                <w:b/>
                <w:color w:val="auto"/>
                <w:sz w:val="20"/>
                <w:szCs w:val="20"/>
              </w:rPr>
              <w:t xml:space="preserve"> </w:t>
            </w:r>
            <w:r w:rsidR="001F4125">
              <w:rPr>
                <w:b/>
                <w:color w:val="auto"/>
                <w:sz w:val="20"/>
                <w:szCs w:val="20"/>
              </w:rPr>
              <w:t>i</w:t>
            </w:r>
            <w:r w:rsidRPr="00C44D66">
              <w:rPr>
                <w:b/>
                <w:color w:val="auto"/>
                <w:sz w:val="20"/>
                <w:szCs w:val="20"/>
              </w:rPr>
              <w:t>nstalment</w:t>
            </w:r>
            <w:r w:rsidR="001F4125">
              <w:rPr>
                <w:b/>
                <w:color w:val="auto"/>
                <w:sz w:val="20"/>
                <w:szCs w:val="20"/>
              </w:rPr>
              <w:t>s</w:t>
            </w:r>
            <w:r w:rsidRPr="00C44D66">
              <w:rPr>
                <w:b/>
                <w:color w:val="auto"/>
                <w:sz w:val="20"/>
                <w:szCs w:val="20"/>
              </w:rPr>
              <w:t xml:space="preserve"> </w:t>
            </w:r>
          </w:p>
        </w:tc>
      </w:tr>
      <w:tr w:rsidR="003569D5" w:rsidRPr="00AF1DAC" w14:paraId="7D37CC20" w14:textId="77777777" w:rsidTr="0028683E">
        <w:trPr>
          <w:trHeight w:val="481"/>
        </w:trPr>
        <w:tc>
          <w:tcPr>
            <w:tcW w:w="1276" w:type="dxa"/>
            <w:shd w:val="clear" w:color="auto" w:fill="auto"/>
            <w:vAlign w:val="center"/>
          </w:tcPr>
          <w:p w14:paraId="0473CC8C" w14:textId="77777777" w:rsidR="003569D5" w:rsidRPr="00C44D66" w:rsidRDefault="003569D5" w:rsidP="0028683E">
            <w:pPr>
              <w:spacing w:line="259" w:lineRule="auto"/>
              <w:jc w:val="center"/>
              <w:rPr>
                <w:color w:val="auto"/>
                <w:sz w:val="20"/>
                <w:szCs w:val="20"/>
              </w:rPr>
            </w:pPr>
            <w:r w:rsidRPr="00C44D66">
              <w:rPr>
                <w:color w:val="auto"/>
                <w:sz w:val="20"/>
                <w:szCs w:val="20"/>
              </w:rPr>
              <w:t>1</w:t>
            </w:r>
          </w:p>
        </w:tc>
        <w:tc>
          <w:tcPr>
            <w:tcW w:w="5358" w:type="dxa"/>
            <w:shd w:val="clear" w:color="auto" w:fill="auto"/>
          </w:tcPr>
          <w:p w14:paraId="697AD280" w14:textId="77777777" w:rsidR="003569D5" w:rsidRDefault="003569D5" w:rsidP="0028683E">
            <w:pPr>
              <w:pStyle w:val="ListParagraph"/>
              <w:spacing w:after="0"/>
              <w:ind w:left="0"/>
              <w:contextualSpacing w:val="0"/>
              <w:jc w:val="both"/>
              <w:rPr>
                <w:color w:val="auto"/>
                <w:sz w:val="20"/>
                <w:szCs w:val="20"/>
              </w:rPr>
            </w:pPr>
            <w:r w:rsidRPr="00F667FB">
              <w:rPr>
                <w:b/>
                <w:color w:val="auto"/>
                <w:sz w:val="20"/>
                <w:szCs w:val="20"/>
              </w:rPr>
              <w:t xml:space="preserve">Upon approval and </w:t>
            </w:r>
            <w:r>
              <w:rPr>
                <w:b/>
                <w:color w:val="auto"/>
                <w:sz w:val="20"/>
                <w:szCs w:val="20"/>
              </w:rPr>
              <w:t>a</w:t>
            </w:r>
            <w:r w:rsidRPr="00F667FB">
              <w:rPr>
                <w:b/>
                <w:color w:val="auto"/>
                <w:sz w:val="20"/>
                <w:szCs w:val="20"/>
              </w:rPr>
              <w:t>ccept</w:t>
            </w:r>
            <w:r>
              <w:rPr>
                <w:b/>
                <w:color w:val="auto"/>
                <w:sz w:val="20"/>
                <w:szCs w:val="20"/>
              </w:rPr>
              <w:t>ance</w:t>
            </w:r>
            <w:r w:rsidRPr="00F667FB">
              <w:rPr>
                <w:b/>
                <w:color w:val="auto"/>
                <w:sz w:val="20"/>
                <w:szCs w:val="20"/>
              </w:rPr>
              <w:t xml:space="preserve"> inception report</w:t>
            </w:r>
            <w:r w:rsidRPr="00F667FB">
              <w:rPr>
                <w:color w:val="auto"/>
                <w:sz w:val="20"/>
                <w:szCs w:val="20"/>
              </w:rPr>
              <w:t xml:space="preserve"> </w:t>
            </w:r>
            <w:r w:rsidRPr="008B0242">
              <w:rPr>
                <w:color w:val="auto"/>
                <w:sz w:val="20"/>
                <w:szCs w:val="20"/>
              </w:rPr>
              <w:t>that includes</w:t>
            </w:r>
            <w:r>
              <w:rPr>
                <w:color w:val="auto"/>
                <w:sz w:val="20"/>
                <w:szCs w:val="20"/>
              </w:rPr>
              <w:t>:</w:t>
            </w:r>
          </w:p>
          <w:p w14:paraId="27EA68D2" w14:textId="77777777" w:rsidR="003569D5" w:rsidRPr="00963506" w:rsidRDefault="003569D5" w:rsidP="0028683E">
            <w:pPr>
              <w:pStyle w:val="ListParagraph"/>
              <w:numPr>
                <w:ilvl w:val="0"/>
                <w:numId w:val="8"/>
              </w:numPr>
              <w:spacing w:after="0"/>
              <w:contextualSpacing w:val="0"/>
              <w:jc w:val="both"/>
              <w:rPr>
                <w:color w:val="auto"/>
                <w:sz w:val="20"/>
                <w:szCs w:val="20"/>
              </w:rPr>
            </w:pPr>
            <w:r>
              <w:rPr>
                <w:color w:val="auto"/>
                <w:sz w:val="20"/>
                <w:szCs w:val="20"/>
              </w:rPr>
              <w:t>T</w:t>
            </w:r>
            <w:r w:rsidRPr="00963506">
              <w:rPr>
                <w:color w:val="auto"/>
                <w:sz w:val="20"/>
                <w:szCs w:val="20"/>
              </w:rPr>
              <w:t>he objectives and the expected results with an extensive literature review</w:t>
            </w:r>
          </w:p>
          <w:p w14:paraId="66C3FE7A" w14:textId="77777777" w:rsidR="003569D5" w:rsidRPr="00B77F3D" w:rsidRDefault="003569D5" w:rsidP="00A41CAE">
            <w:pPr>
              <w:pStyle w:val="ListParagraph"/>
              <w:numPr>
                <w:ilvl w:val="0"/>
                <w:numId w:val="62"/>
              </w:numPr>
              <w:spacing w:after="0"/>
              <w:contextualSpacing w:val="0"/>
              <w:jc w:val="both"/>
              <w:rPr>
                <w:color w:val="auto"/>
                <w:sz w:val="20"/>
                <w:szCs w:val="20"/>
              </w:rPr>
            </w:pPr>
            <w:r w:rsidRPr="00393FD2">
              <w:rPr>
                <w:color w:val="auto"/>
                <w:sz w:val="20"/>
                <w:szCs w:val="20"/>
              </w:rPr>
              <w:t>Report detailing the methodology</w:t>
            </w:r>
            <w:r>
              <w:rPr>
                <w:color w:val="auto"/>
                <w:sz w:val="20"/>
                <w:szCs w:val="20"/>
              </w:rPr>
              <w:t xml:space="preserve">, </w:t>
            </w:r>
            <w:r w:rsidRPr="00393FD2">
              <w:rPr>
                <w:color w:val="auto"/>
                <w:sz w:val="20"/>
                <w:szCs w:val="20"/>
              </w:rPr>
              <w:t>work plan</w:t>
            </w:r>
            <w:r>
              <w:rPr>
                <w:color w:val="auto"/>
                <w:sz w:val="20"/>
                <w:szCs w:val="20"/>
              </w:rPr>
              <w:t xml:space="preserve">, </w:t>
            </w:r>
            <w:proofErr w:type="gramStart"/>
            <w:r>
              <w:rPr>
                <w:color w:val="auto"/>
                <w:sz w:val="20"/>
                <w:szCs w:val="20"/>
              </w:rPr>
              <w:t>timeline</w:t>
            </w:r>
            <w:proofErr w:type="gramEnd"/>
            <w:r w:rsidRPr="00393FD2">
              <w:rPr>
                <w:color w:val="auto"/>
                <w:sz w:val="20"/>
                <w:szCs w:val="20"/>
              </w:rPr>
              <w:t xml:space="preserve"> and other supporting documents for reimbursable cost</w:t>
            </w:r>
          </w:p>
        </w:tc>
        <w:tc>
          <w:tcPr>
            <w:tcW w:w="2864" w:type="dxa"/>
            <w:shd w:val="clear" w:color="auto" w:fill="auto"/>
          </w:tcPr>
          <w:p w14:paraId="08068563" w14:textId="77777777" w:rsidR="003569D5" w:rsidRPr="00C44D66" w:rsidRDefault="003569D5" w:rsidP="0028683E">
            <w:pPr>
              <w:spacing w:after="0" w:line="259" w:lineRule="auto"/>
              <w:rPr>
                <w:color w:val="auto"/>
                <w:sz w:val="20"/>
                <w:szCs w:val="20"/>
              </w:rPr>
            </w:pPr>
            <w:r w:rsidRPr="00C44D66">
              <w:rPr>
                <w:color w:val="auto"/>
                <w:sz w:val="20"/>
                <w:szCs w:val="20"/>
              </w:rPr>
              <w:t xml:space="preserve">Install 1: </w:t>
            </w:r>
            <w:r>
              <w:rPr>
                <w:color w:val="auto"/>
                <w:sz w:val="20"/>
                <w:szCs w:val="20"/>
              </w:rPr>
              <w:t>2</w:t>
            </w:r>
            <w:r w:rsidRPr="00C44D66">
              <w:rPr>
                <w:color w:val="auto"/>
                <w:sz w:val="20"/>
                <w:szCs w:val="20"/>
              </w:rPr>
              <w:t xml:space="preserve">0% experts’ costs </w:t>
            </w:r>
          </w:p>
        </w:tc>
      </w:tr>
      <w:tr w:rsidR="003569D5" w:rsidRPr="00AF1DAC" w14:paraId="029DA727" w14:textId="77777777" w:rsidTr="0028683E">
        <w:trPr>
          <w:trHeight w:val="481"/>
        </w:trPr>
        <w:tc>
          <w:tcPr>
            <w:tcW w:w="1276" w:type="dxa"/>
            <w:shd w:val="clear" w:color="auto" w:fill="auto"/>
            <w:vAlign w:val="center"/>
          </w:tcPr>
          <w:p w14:paraId="609EEB6C" w14:textId="77777777" w:rsidR="003569D5" w:rsidRPr="00C44D66" w:rsidRDefault="003569D5" w:rsidP="0028683E">
            <w:pPr>
              <w:spacing w:line="259" w:lineRule="auto"/>
              <w:jc w:val="center"/>
              <w:rPr>
                <w:color w:val="auto"/>
                <w:sz w:val="20"/>
                <w:szCs w:val="20"/>
              </w:rPr>
            </w:pPr>
            <w:r w:rsidRPr="00C44D66">
              <w:rPr>
                <w:color w:val="auto"/>
                <w:sz w:val="20"/>
                <w:szCs w:val="20"/>
              </w:rPr>
              <w:lastRenderedPageBreak/>
              <w:t>2</w:t>
            </w:r>
          </w:p>
        </w:tc>
        <w:tc>
          <w:tcPr>
            <w:tcW w:w="5358" w:type="dxa"/>
            <w:shd w:val="clear" w:color="auto" w:fill="auto"/>
          </w:tcPr>
          <w:p w14:paraId="4BBA7B8E" w14:textId="77777777" w:rsidR="003569D5" w:rsidRDefault="003569D5" w:rsidP="0028683E">
            <w:pPr>
              <w:spacing w:after="0" w:line="259" w:lineRule="auto"/>
              <w:rPr>
                <w:b/>
                <w:color w:val="auto"/>
                <w:sz w:val="20"/>
                <w:szCs w:val="20"/>
              </w:rPr>
            </w:pPr>
            <w:r w:rsidRPr="00F667FB">
              <w:rPr>
                <w:b/>
                <w:color w:val="auto"/>
                <w:sz w:val="20"/>
                <w:szCs w:val="20"/>
              </w:rPr>
              <w:t xml:space="preserve">Upon approval and </w:t>
            </w:r>
            <w:r>
              <w:rPr>
                <w:b/>
                <w:color w:val="auto"/>
                <w:sz w:val="20"/>
                <w:szCs w:val="20"/>
              </w:rPr>
              <w:t>a</w:t>
            </w:r>
            <w:r w:rsidRPr="00F667FB">
              <w:rPr>
                <w:b/>
                <w:color w:val="auto"/>
                <w:sz w:val="20"/>
                <w:szCs w:val="20"/>
              </w:rPr>
              <w:t>ccept</w:t>
            </w:r>
            <w:r>
              <w:rPr>
                <w:b/>
                <w:color w:val="auto"/>
                <w:sz w:val="20"/>
                <w:szCs w:val="20"/>
              </w:rPr>
              <w:t>ance of:</w:t>
            </w:r>
          </w:p>
          <w:p w14:paraId="4C22D0F3" w14:textId="58B4ECEB" w:rsidR="003569D5" w:rsidRDefault="003569D5" w:rsidP="0028683E">
            <w:pPr>
              <w:pStyle w:val="ListParagraph"/>
              <w:numPr>
                <w:ilvl w:val="0"/>
                <w:numId w:val="8"/>
              </w:numPr>
              <w:spacing w:after="0"/>
              <w:contextualSpacing w:val="0"/>
              <w:jc w:val="both"/>
              <w:rPr>
                <w:color w:val="auto"/>
                <w:sz w:val="20"/>
                <w:szCs w:val="20"/>
              </w:rPr>
            </w:pPr>
            <w:r>
              <w:rPr>
                <w:color w:val="auto"/>
                <w:sz w:val="20"/>
                <w:szCs w:val="20"/>
              </w:rPr>
              <w:t>Tested and validated</w:t>
            </w:r>
            <w:r w:rsidRPr="00B77F3D">
              <w:rPr>
                <w:color w:val="auto"/>
                <w:sz w:val="20"/>
                <w:szCs w:val="20"/>
              </w:rPr>
              <w:t xml:space="preserve"> of social and behavioural change communication mechanisms/tools, </w:t>
            </w:r>
            <w:r w:rsidR="001F4125">
              <w:rPr>
                <w:color w:val="auto"/>
                <w:sz w:val="20"/>
                <w:szCs w:val="20"/>
              </w:rPr>
              <w:t>i</w:t>
            </w:r>
            <w:r w:rsidRPr="00B77F3D">
              <w:rPr>
                <w:color w:val="auto"/>
                <w:sz w:val="20"/>
                <w:szCs w:val="20"/>
              </w:rPr>
              <w:t xml:space="preserve">nnovative health information data tools and </w:t>
            </w:r>
            <w:r w:rsidR="001F4125">
              <w:rPr>
                <w:color w:val="auto"/>
                <w:sz w:val="20"/>
                <w:szCs w:val="20"/>
              </w:rPr>
              <w:t>p</w:t>
            </w:r>
            <w:r w:rsidRPr="00B77F3D">
              <w:rPr>
                <w:color w:val="auto"/>
                <w:sz w:val="20"/>
                <w:szCs w:val="20"/>
              </w:rPr>
              <w:t xml:space="preserve">articipatory community and opinion mechanisms </w:t>
            </w:r>
          </w:p>
          <w:p w14:paraId="6EB6D65D" w14:textId="61455618" w:rsidR="003569D5" w:rsidRPr="00B77F3D" w:rsidRDefault="003569D5" w:rsidP="0028683E">
            <w:pPr>
              <w:pStyle w:val="ListParagraph"/>
              <w:numPr>
                <w:ilvl w:val="0"/>
                <w:numId w:val="8"/>
              </w:numPr>
              <w:spacing w:after="0"/>
              <w:contextualSpacing w:val="0"/>
              <w:jc w:val="both"/>
              <w:rPr>
                <w:color w:val="auto"/>
                <w:sz w:val="20"/>
                <w:szCs w:val="20"/>
              </w:rPr>
            </w:pPr>
            <w:r w:rsidRPr="008E7C2F">
              <w:rPr>
                <w:color w:val="auto"/>
                <w:sz w:val="20"/>
                <w:szCs w:val="20"/>
              </w:rPr>
              <w:t xml:space="preserve">Monitoring and </w:t>
            </w:r>
            <w:r w:rsidR="001F4125">
              <w:rPr>
                <w:color w:val="auto"/>
                <w:sz w:val="20"/>
                <w:szCs w:val="20"/>
              </w:rPr>
              <w:t>e</w:t>
            </w:r>
            <w:r w:rsidRPr="008E7C2F">
              <w:rPr>
                <w:color w:val="auto"/>
                <w:sz w:val="20"/>
                <w:szCs w:val="20"/>
              </w:rPr>
              <w:t>valuation system in place by April</w:t>
            </w:r>
          </w:p>
        </w:tc>
        <w:tc>
          <w:tcPr>
            <w:tcW w:w="2864" w:type="dxa"/>
            <w:shd w:val="clear" w:color="auto" w:fill="auto"/>
          </w:tcPr>
          <w:p w14:paraId="774A90B0" w14:textId="77777777" w:rsidR="003569D5" w:rsidRPr="00C44D66" w:rsidRDefault="003569D5" w:rsidP="0028683E">
            <w:pPr>
              <w:spacing w:after="0" w:line="259" w:lineRule="auto"/>
              <w:rPr>
                <w:color w:val="auto"/>
                <w:sz w:val="20"/>
                <w:szCs w:val="20"/>
              </w:rPr>
            </w:pPr>
            <w:r w:rsidRPr="00C44D66">
              <w:rPr>
                <w:color w:val="auto"/>
                <w:sz w:val="20"/>
                <w:szCs w:val="20"/>
              </w:rPr>
              <w:t>Inst</w:t>
            </w:r>
            <w:r>
              <w:rPr>
                <w:color w:val="auto"/>
                <w:sz w:val="20"/>
                <w:szCs w:val="20"/>
              </w:rPr>
              <w:t>all 2: 2</w:t>
            </w:r>
            <w:r w:rsidRPr="00C44D66">
              <w:rPr>
                <w:color w:val="auto"/>
                <w:sz w:val="20"/>
                <w:szCs w:val="20"/>
              </w:rPr>
              <w:t>0% experts’ costs + reimbursable</w:t>
            </w:r>
            <w:r w:rsidRPr="00C44D66">
              <w:rPr>
                <w:rFonts w:cs="Arial"/>
                <w:color w:val="auto"/>
                <w:sz w:val="20"/>
                <w:szCs w:val="20"/>
              </w:rPr>
              <w:t xml:space="preserve"> </w:t>
            </w:r>
            <w:r w:rsidRPr="00C44D66">
              <w:rPr>
                <w:color w:val="auto"/>
                <w:sz w:val="20"/>
                <w:szCs w:val="20"/>
              </w:rPr>
              <w:t>up to date (if any)</w:t>
            </w:r>
          </w:p>
        </w:tc>
      </w:tr>
      <w:tr w:rsidR="003569D5" w:rsidRPr="00AF1DAC" w14:paraId="36935741" w14:textId="77777777" w:rsidTr="0028683E">
        <w:trPr>
          <w:trHeight w:val="481"/>
        </w:trPr>
        <w:tc>
          <w:tcPr>
            <w:tcW w:w="1276" w:type="dxa"/>
            <w:shd w:val="clear" w:color="auto" w:fill="auto"/>
            <w:vAlign w:val="center"/>
          </w:tcPr>
          <w:p w14:paraId="75223657" w14:textId="77777777" w:rsidR="003569D5" w:rsidRPr="00C44D66" w:rsidRDefault="003569D5" w:rsidP="0028683E">
            <w:pPr>
              <w:spacing w:line="259" w:lineRule="auto"/>
              <w:jc w:val="center"/>
              <w:rPr>
                <w:color w:val="auto"/>
                <w:sz w:val="20"/>
                <w:szCs w:val="20"/>
              </w:rPr>
            </w:pPr>
            <w:r>
              <w:rPr>
                <w:color w:val="auto"/>
                <w:sz w:val="20"/>
                <w:szCs w:val="20"/>
              </w:rPr>
              <w:t>3</w:t>
            </w:r>
          </w:p>
        </w:tc>
        <w:tc>
          <w:tcPr>
            <w:tcW w:w="5358" w:type="dxa"/>
            <w:shd w:val="clear" w:color="auto" w:fill="auto"/>
          </w:tcPr>
          <w:p w14:paraId="3C8BAA22" w14:textId="77777777" w:rsidR="003569D5" w:rsidRPr="000511D3" w:rsidRDefault="003569D5" w:rsidP="0028683E">
            <w:pPr>
              <w:spacing w:after="0"/>
              <w:rPr>
                <w:rFonts w:cs="Calibri"/>
                <w:b/>
                <w:bCs/>
                <w:color w:val="404040"/>
                <w:sz w:val="20"/>
                <w:szCs w:val="20"/>
                <w:lang w:val="en-US" w:eastAsia="ar-SA"/>
              </w:rPr>
            </w:pPr>
            <w:r w:rsidRPr="000511D3">
              <w:rPr>
                <w:rFonts w:cs="Calibri"/>
                <w:b/>
                <w:bCs/>
                <w:color w:val="404040"/>
                <w:sz w:val="20"/>
                <w:szCs w:val="20"/>
                <w:lang w:val="en-US" w:eastAsia="ar-SA"/>
              </w:rPr>
              <w:t>Upon approval and acceptance of:</w:t>
            </w:r>
          </w:p>
          <w:p w14:paraId="550AB4F0" w14:textId="77777777" w:rsidR="003569D5" w:rsidRPr="009C59C3" w:rsidRDefault="003569D5" w:rsidP="0028683E">
            <w:pPr>
              <w:pStyle w:val="ListParagraph"/>
              <w:numPr>
                <w:ilvl w:val="0"/>
                <w:numId w:val="8"/>
              </w:numPr>
              <w:spacing w:after="0"/>
              <w:contextualSpacing w:val="0"/>
              <w:jc w:val="both"/>
              <w:rPr>
                <w:color w:val="auto"/>
                <w:sz w:val="20"/>
                <w:szCs w:val="20"/>
              </w:rPr>
            </w:pPr>
            <w:r>
              <w:rPr>
                <w:color w:val="auto"/>
                <w:sz w:val="20"/>
                <w:szCs w:val="20"/>
              </w:rPr>
              <w:t>Mid-term implementation report</w:t>
            </w:r>
          </w:p>
        </w:tc>
        <w:tc>
          <w:tcPr>
            <w:tcW w:w="2864" w:type="dxa"/>
            <w:shd w:val="clear" w:color="auto" w:fill="auto"/>
          </w:tcPr>
          <w:p w14:paraId="16CC4C2F" w14:textId="77777777" w:rsidR="003569D5" w:rsidRPr="00C44D66" w:rsidRDefault="003569D5" w:rsidP="0028683E">
            <w:pPr>
              <w:spacing w:after="0" w:line="259" w:lineRule="auto"/>
              <w:rPr>
                <w:color w:val="auto"/>
                <w:sz w:val="20"/>
                <w:szCs w:val="20"/>
              </w:rPr>
            </w:pPr>
            <w:r w:rsidRPr="00C44D66">
              <w:rPr>
                <w:color w:val="auto"/>
                <w:sz w:val="20"/>
                <w:szCs w:val="20"/>
              </w:rPr>
              <w:t>Inst</w:t>
            </w:r>
            <w:r>
              <w:rPr>
                <w:color w:val="auto"/>
                <w:sz w:val="20"/>
                <w:szCs w:val="20"/>
              </w:rPr>
              <w:t>all 3: 1</w:t>
            </w:r>
            <w:r w:rsidRPr="00C44D66">
              <w:rPr>
                <w:color w:val="auto"/>
                <w:sz w:val="20"/>
                <w:szCs w:val="20"/>
              </w:rPr>
              <w:t>0% experts’ costs + reimbursable</w:t>
            </w:r>
            <w:r w:rsidRPr="00C44D66">
              <w:rPr>
                <w:rFonts w:cs="Arial"/>
                <w:color w:val="auto"/>
                <w:sz w:val="20"/>
                <w:szCs w:val="20"/>
              </w:rPr>
              <w:t xml:space="preserve"> </w:t>
            </w:r>
            <w:r w:rsidRPr="00C44D66">
              <w:rPr>
                <w:color w:val="auto"/>
                <w:sz w:val="20"/>
                <w:szCs w:val="20"/>
              </w:rPr>
              <w:t xml:space="preserve">up to date </w:t>
            </w:r>
          </w:p>
        </w:tc>
      </w:tr>
      <w:tr w:rsidR="003569D5" w:rsidRPr="00AF1DAC" w14:paraId="79796937" w14:textId="77777777" w:rsidTr="0028683E">
        <w:trPr>
          <w:trHeight w:val="952"/>
        </w:trPr>
        <w:tc>
          <w:tcPr>
            <w:tcW w:w="1276" w:type="dxa"/>
            <w:shd w:val="clear" w:color="auto" w:fill="auto"/>
            <w:vAlign w:val="center"/>
          </w:tcPr>
          <w:p w14:paraId="4D872A96" w14:textId="77777777" w:rsidR="003569D5" w:rsidRPr="00C44D66" w:rsidRDefault="003569D5" w:rsidP="0028683E">
            <w:pPr>
              <w:spacing w:line="259" w:lineRule="auto"/>
              <w:jc w:val="center"/>
              <w:rPr>
                <w:color w:val="auto"/>
                <w:sz w:val="20"/>
                <w:szCs w:val="20"/>
              </w:rPr>
            </w:pPr>
            <w:r>
              <w:rPr>
                <w:color w:val="auto"/>
                <w:sz w:val="20"/>
                <w:szCs w:val="20"/>
              </w:rPr>
              <w:t>4</w:t>
            </w:r>
          </w:p>
        </w:tc>
        <w:tc>
          <w:tcPr>
            <w:tcW w:w="5358" w:type="dxa"/>
            <w:shd w:val="clear" w:color="auto" w:fill="auto"/>
          </w:tcPr>
          <w:p w14:paraId="55798B64" w14:textId="77777777" w:rsidR="003569D5" w:rsidRPr="00C71C0A" w:rsidRDefault="003569D5" w:rsidP="0028683E">
            <w:pPr>
              <w:spacing w:after="0"/>
              <w:rPr>
                <w:b/>
                <w:color w:val="auto"/>
                <w:sz w:val="20"/>
                <w:szCs w:val="20"/>
              </w:rPr>
            </w:pPr>
            <w:r w:rsidRPr="00C71C0A">
              <w:rPr>
                <w:b/>
                <w:color w:val="auto"/>
                <w:sz w:val="20"/>
                <w:szCs w:val="20"/>
              </w:rPr>
              <w:t xml:space="preserve">Upon submission and approval of </w:t>
            </w:r>
          </w:p>
          <w:p w14:paraId="32E55F6F" w14:textId="77777777" w:rsidR="003569D5" w:rsidRPr="00631467" w:rsidRDefault="003569D5" w:rsidP="0028683E">
            <w:pPr>
              <w:pStyle w:val="ListParagraph"/>
              <w:numPr>
                <w:ilvl w:val="0"/>
                <w:numId w:val="8"/>
              </w:numPr>
              <w:spacing w:after="0"/>
              <w:contextualSpacing w:val="0"/>
              <w:jc w:val="both"/>
              <w:rPr>
                <w:color w:val="auto"/>
                <w:sz w:val="20"/>
                <w:szCs w:val="20"/>
              </w:rPr>
            </w:pPr>
            <w:r w:rsidRPr="00631467">
              <w:rPr>
                <w:color w:val="auto"/>
                <w:sz w:val="20"/>
                <w:szCs w:val="20"/>
              </w:rPr>
              <w:t xml:space="preserve">Strategies that sustain changes in the population in place to be replicated in different </w:t>
            </w:r>
            <w:proofErr w:type="gramStart"/>
            <w:r w:rsidRPr="00631467">
              <w:rPr>
                <w:color w:val="auto"/>
                <w:sz w:val="20"/>
                <w:szCs w:val="20"/>
              </w:rPr>
              <w:t>districts;</w:t>
            </w:r>
            <w:proofErr w:type="gramEnd"/>
          </w:p>
          <w:p w14:paraId="248AF294" w14:textId="77777777" w:rsidR="003569D5" w:rsidRPr="00C118DF" w:rsidRDefault="003569D5" w:rsidP="0028683E">
            <w:pPr>
              <w:pStyle w:val="ListParagraph"/>
              <w:numPr>
                <w:ilvl w:val="0"/>
                <w:numId w:val="8"/>
              </w:numPr>
              <w:spacing w:after="0"/>
              <w:contextualSpacing w:val="0"/>
              <w:jc w:val="both"/>
              <w:rPr>
                <w:color w:val="auto"/>
                <w:sz w:val="20"/>
                <w:szCs w:val="20"/>
              </w:rPr>
            </w:pPr>
            <w:r w:rsidRPr="00631467">
              <w:rPr>
                <w:color w:val="auto"/>
                <w:sz w:val="20"/>
                <w:szCs w:val="20"/>
              </w:rPr>
              <w:t xml:space="preserve">Evidence-based communication channels that are influencing changes highlighted to be scaled up in different districts. </w:t>
            </w:r>
          </w:p>
        </w:tc>
        <w:tc>
          <w:tcPr>
            <w:tcW w:w="2864" w:type="dxa"/>
            <w:shd w:val="clear" w:color="auto" w:fill="auto"/>
          </w:tcPr>
          <w:p w14:paraId="0188D5A9" w14:textId="77777777" w:rsidR="003569D5" w:rsidRPr="00C44D66" w:rsidRDefault="003569D5" w:rsidP="0028683E">
            <w:pPr>
              <w:spacing w:after="0" w:line="259" w:lineRule="auto"/>
              <w:rPr>
                <w:color w:val="auto"/>
                <w:sz w:val="20"/>
                <w:szCs w:val="20"/>
              </w:rPr>
            </w:pPr>
            <w:r>
              <w:rPr>
                <w:color w:val="auto"/>
                <w:sz w:val="20"/>
                <w:szCs w:val="20"/>
              </w:rPr>
              <w:t>Install 4: 3</w:t>
            </w:r>
            <w:r w:rsidRPr="00C44D66">
              <w:rPr>
                <w:color w:val="auto"/>
                <w:sz w:val="20"/>
                <w:szCs w:val="20"/>
              </w:rPr>
              <w:t>0% experts’ costs + reimbursable</w:t>
            </w:r>
            <w:r w:rsidRPr="00C44D66">
              <w:rPr>
                <w:rFonts w:cs="Arial"/>
                <w:color w:val="auto"/>
                <w:sz w:val="20"/>
                <w:szCs w:val="20"/>
              </w:rPr>
              <w:t xml:space="preserve"> </w:t>
            </w:r>
            <w:r w:rsidRPr="00C44D66">
              <w:rPr>
                <w:color w:val="auto"/>
                <w:sz w:val="20"/>
                <w:szCs w:val="20"/>
              </w:rPr>
              <w:t>up to date</w:t>
            </w:r>
          </w:p>
        </w:tc>
      </w:tr>
      <w:tr w:rsidR="003569D5" w:rsidRPr="00AF1DAC" w14:paraId="46B3D5FF" w14:textId="77777777" w:rsidTr="0028683E">
        <w:trPr>
          <w:trHeight w:val="495"/>
        </w:trPr>
        <w:tc>
          <w:tcPr>
            <w:tcW w:w="1276" w:type="dxa"/>
            <w:shd w:val="clear" w:color="auto" w:fill="auto"/>
            <w:vAlign w:val="center"/>
          </w:tcPr>
          <w:p w14:paraId="41C6655B" w14:textId="77777777" w:rsidR="003569D5" w:rsidRDefault="003569D5" w:rsidP="0028683E">
            <w:pPr>
              <w:spacing w:line="259" w:lineRule="auto"/>
              <w:jc w:val="center"/>
              <w:rPr>
                <w:color w:val="auto"/>
                <w:sz w:val="20"/>
                <w:szCs w:val="20"/>
              </w:rPr>
            </w:pPr>
            <w:r>
              <w:rPr>
                <w:color w:val="auto"/>
                <w:sz w:val="20"/>
                <w:szCs w:val="20"/>
              </w:rPr>
              <w:t>5</w:t>
            </w:r>
          </w:p>
        </w:tc>
        <w:tc>
          <w:tcPr>
            <w:tcW w:w="5358" w:type="dxa"/>
            <w:shd w:val="clear" w:color="auto" w:fill="auto"/>
          </w:tcPr>
          <w:p w14:paraId="732B3B88" w14:textId="77777777" w:rsidR="003569D5" w:rsidRPr="003D3F3B" w:rsidRDefault="003569D5" w:rsidP="0028683E">
            <w:pPr>
              <w:spacing w:after="0" w:line="259" w:lineRule="auto"/>
              <w:rPr>
                <w:b/>
                <w:bCs/>
                <w:color w:val="auto"/>
                <w:sz w:val="20"/>
                <w:szCs w:val="20"/>
              </w:rPr>
            </w:pPr>
            <w:r w:rsidRPr="003D3F3B">
              <w:rPr>
                <w:b/>
                <w:bCs/>
                <w:color w:val="auto"/>
                <w:sz w:val="20"/>
                <w:szCs w:val="20"/>
              </w:rPr>
              <w:t>Upon submission and approval of</w:t>
            </w:r>
          </w:p>
          <w:p w14:paraId="5C97CAB0" w14:textId="77777777" w:rsidR="003569D5" w:rsidRPr="003D3F3B" w:rsidRDefault="003569D5" w:rsidP="0028683E">
            <w:pPr>
              <w:pStyle w:val="ListParagraph"/>
              <w:numPr>
                <w:ilvl w:val="0"/>
                <w:numId w:val="8"/>
              </w:numPr>
              <w:spacing w:after="0"/>
              <w:contextualSpacing w:val="0"/>
              <w:jc w:val="both"/>
              <w:rPr>
                <w:color w:val="auto"/>
                <w:sz w:val="20"/>
                <w:szCs w:val="20"/>
              </w:rPr>
            </w:pPr>
            <w:r w:rsidRPr="003D3F3B">
              <w:rPr>
                <w:color w:val="auto"/>
                <w:sz w:val="20"/>
                <w:szCs w:val="20"/>
              </w:rPr>
              <w:t>Fina</w:t>
            </w:r>
            <w:r>
              <w:rPr>
                <w:color w:val="auto"/>
                <w:sz w:val="20"/>
                <w:szCs w:val="20"/>
              </w:rPr>
              <w:t>l</w:t>
            </w:r>
            <w:r w:rsidRPr="003D3F3B">
              <w:rPr>
                <w:color w:val="auto"/>
                <w:sz w:val="20"/>
                <w:szCs w:val="20"/>
              </w:rPr>
              <w:t xml:space="preserve"> report</w:t>
            </w:r>
          </w:p>
        </w:tc>
        <w:tc>
          <w:tcPr>
            <w:tcW w:w="2864" w:type="dxa"/>
            <w:shd w:val="clear" w:color="auto" w:fill="auto"/>
          </w:tcPr>
          <w:p w14:paraId="4647AC8F" w14:textId="77777777" w:rsidR="003569D5" w:rsidRDefault="003569D5" w:rsidP="0028683E">
            <w:pPr>
              <w:spacing w:after="0" w:line="259" w:lineRule="auto"/>
              <w:rPr>
                <w:color w:val="auto"/>
                <w:sz w:val="20"/>
                <w:szCs w:val="20"/>
              </w:rPr>
            </w:pPr>
            <w:r>
              <w:rPr>
                <w:color w:val="auto"/>
                <w:sz w:val="20"/>
                <w:szCs w:val="20"/>
              </w:rPr>
              <w:t xml:space="preserve">Install 5: 20% </w:t>
            </w:r>
            <w:r w:rsidRPr="00C44D66">
              <w:rPr>
                <w:color w:val="auto"/>
                <w:sz w:val="20"/>
                <w:szCs w:val="20"/>
              </w:rPr>
              <w:t>experts’ costs + reimbursable</w:t>
            </w:r>
            <w:r w:rsidRPr="00C44D66">
              <w:rPr>
                <w:rFonts w:cs="Arial"/>
                <w:color w:val="auto"/>
                <w:sz w:val="20"/>
                <w:szCs w:val="20"/>
              </w:rPr>
              <w:t xml:space="preserve"> </w:t>
            </w:r>
            <w:r w:rsidRPr="00C44D66">
              <w:rPr>
                <w:color w:val="auto"/>
                <w:sz w:val="20"/>
                <w:szCs w:val="20"/>
              </w:rPr>
              <w:t>up to date</w:t>
            </w:r>
          </w:p>
        </w:tc>
      </w:tr>
    </w:tbl>
    <w:p w14:paraId="7BF603C9" w14:textId="77777777" w:rsidR="004F07DF" w:rsidRPr="00F64165" w:rsidRDefault="004F07DF" w:rsidP="00A41CAE">
      <w:pPr>
        <w:numPr>
          <w:ilvl w:val="1"/>
          <w:numId w:val="63"/>
        </w:numPr>
        <w:spacing w:before="160" w:line="360" w:lineRule="auto"/>
        <w:rPr>
          <w:rFonts w:cs="Calibri"/>
          <w:b/>
          <w:color w:val="auto"/>
          <w:sz w:val="24"/>
          <w:szCs w:val="24"/>
          <w:lang w:val="en-US"/>
        </w:rPr>
      </w:pPr>
      <w:bookmarkStart w:id="171" w:name="_Toc42079080"/>
      <w:bookmarkStart w:id="172" w:name="_Toc89850332"/>
      <w:r w:rsidRPr="00F64165">
        <w:rPr>
          <w:rFonts w:cs="Calibri"/>
          <w:b/>
          <w:color w:val="auto"/>
          <w:sz w:val="24"/>
          <w:szCs w:val="24"/>
          <w:lang w:val="en-US"/>
        </w:rPr>
        <w:t>Mandatory requirements</w:t>
      </w:r>
      <w:bookmarkEnd w:id="171"/>
      <w:bookmarkEnd w:id="172"/>
    </w:p>
    <w:p w14:paraId="27FC2B5C" w14:textId="77777777" w:rsidR="004F07DF" w:rsidRPr="003569D5" w:rsidRDefault="004F07DF" w:rsidP="00A41CAE">
      <w:pPr>
        <w:pStyle w:val="ListParagraph"/>
        <w:numPr>
          <w:ilvl w:val="0"/>
          <w:numId w:val="61"/>
        </w:numPr>
        <w:spacing w:before="120" w:after="120"/>
        <w:contextualSpacing w:val="0"/>
        <w:jc w:val="both"/>
        <w:rPr>
          <w:rFonts w:cs="Calibri"/>
          <w:b/>
          <w:bCs/>
          <w:color w:val="auto"/>
          <w:sz w:val="20"/>
          <w:szCs w:val="20"/>
          <w:lang w:val="en-US"/>
        </w:rPr>
      </w:pPr>
      <w:r w:rsidRPr="003569D5">
        <w:rPr>
          <w:rFonts w:cs="Calibri"/>
          <w:b/>
          <w:bCs/>
          <w:color w:val="auto"/>
          <w:sz w:val="20"/>
          <w:szCs w:val="20"/>
          <w:lang w:val="en-US"/>
        </w:rPr>
        <w:t>Required expertise for the consulting firm</w:t>
      </w:r>
    </w:p>
    <w:p w14:paraId="10182D49" w14:textId="77777777" w:rsidR="004F07DF" w:rsidRPr="003569D5" w:rsidRDefault="004F07DF" w:rsidP="004F07DF">
      <w:pPr>
        <w:spacing w:before="120" w:after="120"/>
        <w:rPr>
          <w:rFonts w:cs="Calibri"/>
          <w:b/>
          <w:bCs/>
          <w:color w:val="auto"/>
          <w:sz w:val="20"/>
          <w:szCs w:val="20"/>
          <w:u w:val="single"/>
          <w:lang w:val="en-US"/>
        </w:rPr>
      </w:pPr>
      <w:r w:rsidRPr="003569D5">
        <w:rPr>
          <w:rFonts w:cs="Calibri"/>
          <w:b/>
          <w:bCs/>
          <w:color w:val="auto"/>
          <w:sz w:val="20"/>
          <w:szCs w:val="20"/>
          <w:lang w:val="en-US"/>
        </w:rPr>
        <w:t xml:space="preserve">Minimum Required profile for the consulting firm </w:t>
      </w:r>
      <w:r w:rsidRPr="003569D5">
        <w:rPr>
          <w:rFonts w:cs="Calibri"/>
          <w:b/>
          <w:bCs/>
          <w:color w:val="auto"/>
          <w:sz w:val="20"/>
          <w:szCs w:val="20"/>
          <w:u w:val="single"/>
          <w:lang w:val="en-US"/>
        </w:rPr>
        <w:t>(to be used at the selection stage)</w:t>
      </w:r>
    </w:p>
    <w:p w14:paraId="0A8DFA3A" w14:textId="77777777" w:rsidR="004F07DF" w:rsidRPr="008141DA" w:rsidRDefault="004F07DF" w:rsidP="00A41CAE">
      <w:pPr>
        <w:pStyle w:val="ListParagraph"/>
        <w:numPr>
          <w:ilvl w:val="0"/>
          <w:numId w:val="72"/>
        </w:numPr>
        <w:spacing w:after="0" w:line="360" w:lineRule="auto"/>
        <w:jc w:val="both"/>
        <w:rPr>
          <w:rFonts w:eastAsia="Gill Sans MT" w:cs="Calibri"/>
          <w:color w:val="auto"/>
          <w:sz w:val="22"/>
          <w:lang w:val="en-US"/>
        </w:rPr>
      </w:pPr>
      <w:r w:rsidRPr="008141DA">
        <w:rPr>
          <w:rFonts w:eastAsia="Gill Sans MT" w:cs="Calibri"/>
          <w:color w:val="auto"/>
          <w:sz w:val="22"/>
          <w:lang w:val="en-US"/>
        </w:rPr>
        <w:t>Be registered by the competent organ (proof is required)</w:t>
      </w:r>
    </w:p>
    <w:p w14:paraId="03C53919" w14:textId="3A4F45A4" w:rsidR="004F07DF" w:rsidRPr="008141DA" w:rsidRDefault="004F07DF" w:rsidP="00A41CAE">
      <w:pPr>
        <w:pStyle w:val="ListParagraph"/>
        <w:numPr>
          <w:ilvl w:val="0"/>
          <w:numId w:val="72"/>
        </w:numPr>
        <w:spacing w:after="0" w:line="360" w:lineRule="auto"/>
        <w:jc w:val="both"/>
        <w:rPr>
          <w:rFonts w:eastAsia="Gill Sans MT" w:cs="Calibri"/>
          <w:color w:val="auto"/>
          <w:sz w:val="22"/>
          <w:lang w:val="en-US"/>
        </w:rPr>
      </w:pPr>
      <w:r w:rsidRPr="008141DA">
        <w:rPr>
          <w:rFonts w:eastAsia="Gill Sans MT" w:cs="Calibri"/>
          <w:color w:val="auto"/>
          <w:sz w:val="22"/>
          <w:lang w:val="en-US"/>
        </w:rPr>
        <w:t xml:space="preserve">Have proven extensive knowledge of </w:t>
      </w:r>
      <w:r w:rsidR="006B3AE7" w:rsidRPr="008141DA">
        <w:rPr>
          <w:rFonts w:eastAsia="Gill Sans MT" w:cs="Calibri"/>
          <w:color w:val="auto"/>
          <w:sz w:val="22"/>
          <w:lang w:val="en-US"/>
        </w:rPr>
        <w:t>Sub-Saharan Africa</w:t>
      </w:r>
      <w:r w:rsidR="00414D46" w:rsidRPr="008141DA">
        <w:rPr>
          <w:rFonts w:eastAsia="Gill Sans MT" w:cs="Calibri"/>
          <w:color w:val="auto"/>
          <w:sz w:val="22"/>
          <w:lang w:val="en-US"/>
        </w:rPr>
        <w:t xml:space="preserve"> by having implemented at least 3 assignments on participatory mechanisms to health</w:t>
      </w:r>
      <w:r w:rsidR="006B3AE7" w:rsidRPr="008141DA">
        <w:rPr>
          <w:rFonts w:eastAsia="Gill Sans MT" w:cs="Calibri"/>
          <w:color w:val="auto"/>
          <w:sz w:val="22"/>
          <w:lang w:val="en-US"/>
        </w:rPr>
        <w:t xml:space="preserve"> </w:t>
      </w:r>
      <w:r w:rsidR="00414D46" w:rsidRPr="008141DA">
        <w:rPr>
          <w:rFonts w:eastAsia="Gill Sans MT" w:cs="Calibri"/>
          <w:color w:val="auto"/>
          <w:sz w:val="22"/>
          <w:lang w:val="en-US"/>
        </w:rPr>
        <w:t xml:space="preserve">system in </w:t>
      </w:r>
      <w:proofErr w:type="spellStart"/>
      <w:r w:rsidR="00414D46" w:rsidRPr="008141DA">
        <w:rPr>
          <w:rFonts w:eastAsia="Gill Sans MT" w:cs="Calibri"/>
          <w:color w:val="auto"/>
          <w:sz w:val="22"/>
          <w:lang w:val="en-US"/>
        </w:rPr>
        <w:t>Sub-saharan</w:t>
      </w:r>
      <w:proofErr w:type="spellEnd"/>
      <w:r w:rsidR="00414D46" w:rsidRPr="008141DA">
        <w:rPr>
          <w:rFonts w:eastAsia="Gill Sans MT" w:cs="Calibri"/>
          <w:color w:val="auto"/>
          <w:sz w:val="22"/>
          <w:lang w:val="en-US"/>
        </w:rPr>
        <w:t xml:space="preserve"> </w:t>
      </w:r>
      <w:proofErr w:type="gramStart"/>
      <w:r w:rsidR="00414D46" w:rsidRPr="008141DA">
        <w:rPr>
          <w:rFonts w:eastAsia="Gill Sans MT" w:cs="Calibri"/>
          <w:color w:val="auto"/>
          <w:sz w:val="22"/>
          <w:lang w:val="en-US"/>
        </w:rPr>
        <w:t>Africa;</w:t>
      </w:r>
      <w:proofErr w:type="gramEnd"/>
    </w:p>
    <w:p w14:paraId="78BFCD13" w14:textId="77777777" w:rsidR="004F07DF" w:rsidRPr="008141DA" w:rsidRDefault="004F07DF" w:rsidP="00A41CAE">
      <w:pPr>
        <w:pStyle w:val="ListParagraph"/>
        <w:numPr>
          <w:ilvl w:val="0"/>
          <w:numId w:val="72"/>
        </w:numPr>
        <w:spacing w:after="0" w:line="360" w:lineRule="auto"/>
        <w:jc w:val="both"/>
        <w:rPr>
          <w:rFonts w:eastAsia="Gill Sans MT" w:cs="Calibri"/>
          <w:color w:val="auto"/>
          <w:sz w:val="22"/>
          <w:lang w:val="en-US"/>
        </w:rPr>
      </w:pPr>
      <w:r w:rsidRPr="008141DA">
        <w:rPr>
          <w:rFonts w:eastAsia="Gill Sans MT" w:cs="Calibri"/>
          <w:color w:val="auto"/>
          <w:sz w:val="22"/>
          <w:lang w:val="en-US"/>
        </w:rPr>
        <w:t xml:space="preserve">Have at least 5 years proven experience in implementation of maternal, neonatal, </w:t>
      </w:r>
      <w:proofErr w:type="gramStart"/>
      <w:r w:rsidRPr="008141DA">
        <w:rPr>
          <w:rFonts w:eastAsia="Gill Sans MT" w:cs="Calibri"/>
          <w:color w:val="auto"/>
          <w:sz w:val="22"/>
          <w:lang w:val="en-US"/>
        </w:rPr>
        <w:t>sexual</w:t>
      </w:r>
      <w:proofErr w:type="gramEnd"/>
      <w:r w:rsidRPr="008141DA">
        <w:rPr>
          <w:rFonts w:eastAsia="Gill Sans MT" w:cs="Calibri"/>
          <w:color w:val="auto"/>
          <w:sz w:val="22"/>
          <w:lang w:val="en-US"/>
        </w:rPr>
        <w:t xml:space="preserve"> and reproductive health strategies in sub-Saharan Africa</w:t>
      </w:r>
    </w:p>
    <w:p w14:paraId="712B533A" w14:textId="659C089B" w:rsidR="004F07DF" w:rsidRPr="008141DA" w:rsidRDefault="00FE58F1" w:rsidP="00A41CAE">
      <w:pPr>
        <w:pStyle w:val="ListParagraph"/>
        <w:numPr>
          <w:ilvl w:val="0"/>
          <w:numId w:val="72"/>
        </w:numPr>
        <w:spacing w:after="0" w:line="360" w:lineRule="auto"/>
        <w:jc w:val="both"/>
        <w:rPr>
          <w:rFonts w:eastAsia="Gill Sans MT" w:cs="Calibri"/>
          <w:color w:val="auto"/>
          <w:sz w:val="22"/>
          <w:lang w:val="en-US"/>
        </w:rPr>
      </w:pPr>
      <w:r w:rsidRPr="008141DA">
        <w:rPr>
          <w:rFonts w:eastAsia="Gill Sans MT" w:cs="Calibri"/>
          <w:color w:val="auto"/>
          <w:sz w:val="22"/>
          <w:lang w:val="en-US"/>
        </w:rPr>
        <w:t xml:space="preserve">Having </w:t>
      </w:r>
      <w:r w:rsidR="005244AA" w:rsidRPr="008141DA">
        <w:rPr>
          <w:rFonts w:eastAsia="Gill Sans MT" w:cs="Calibri"/>
          <w:color w:val="auto"/>
          <w:sz w:val="22"/>
          <w:lang w:val="en-US"/>
        </w:rPr>
        <w:t xml:space="preserve">already </w:t>
      </w:r>
      <w:r w:rsidRPr="008141DA">
        <w:rPr>
          <w:rFonts w:eastAsia="Gill Sans MT" w:cs="Calibri"/>
          <w:color w:val="auto"/>
          <w:sz w:val="22"/>
          <w:lang w:val="en-US"/>
        </w:rPr>
        <w:t xml:space="preserve">designed and developed </w:t>
      </w:r>
      <w:r w:rsidR="008C24F7" w:rsidRPr="008141DA">
        <w:rPr>
          <w:rFonts w:eastAsia="Gill Sans MT" w:cs="Calibri"/>
          <w:color w:val="auto"/>
          <w:sz w:val="22"/>
          <w:lang w:val="en-US"/>
        </w:rPr>
        <w:t xml:space="preserve">social and </w:t>
      </w:r>
      <w:r w:rsidR="00E12B3F" w:rsidRPr="008141DA">
        <w:rPr>
          <w:rFonts w:eastAsia="Gill Sans MT" w:cs="Calibri"/>
          <w:color w:val="auto"/>
          <w:sz w:val="22"/>
          <w:lang w:val="en-US"/>
        </w:rPr>
        <w:t xml:space="preserve">behavior changes </w:t>
      </w:r>
      <w:r w:rsidRPr="008141DA">
        <w:rPr>
          <w:rFonts w:eastAsia="Gill Sans MT" w:cs="Calibri"/>
          <w:color w:val="auto"/>
          <w:sz w:val="22"/>
          <w:lang w:val="en-US"/>
        </w:rPr>
        <w:t xml:space="preserve">communication </w:t>
      </w:r>
      <w:r w:rsidR="00E12B3F" w:rsidRPr="008141DA">
        <w:rPr>
          <w:rFonts w:eastAsia="Gill Sans MT" w:cs="Calibri"/>
          <w:color w:val="auto"/>
          <w:sz w:val="22"/>
          <w:lang w:val="en-US"/>
        </w:rPr>
        <w:t>tools in health</w:t>
      </w:r>
      <w:r w:rsidR="002A7823" w:rsidRPr="008141DA">
        <w:rPr>
          <w:rFonts w:eastAsia="Gill Sans MT" w:cs="Calibri"/>
          <w:color w:val="auto"/>
          <w:sz w:val="22"/>
          <w:lang w:val="en-US"/>
        </w:rPr>
        <w:t xml:space="preserve"> sector at community level </w:t>
      </w:r>
      <w:r w:rsidR="00E05711" w:rsidRPr="008141DA">
        <w:rPr>
          <w:rFonts w:eastAsia="Gill Sans MT" w:cs="Calibri"/>
          <w:color w:val="auto"/>
          <w:sz w:val="22"/>
          <w:lang w:val="en-US"/>
        </w:rPr>
        <w:t>(</w:t>
      </w:r>
      <w:r w:rsidR="001F4125">
        <w:rPr>
          <w:rFonts w:eastAsia="Gill Sans MT" w:cs="Calibri"/>
          <w:color w:val="auto"/>
          <w:sz w:val="22"/>
          <w:lang w:val="en-US"/>
        </w:rPr>
        <w:t>p</w:t>
      </w:r>
      <w:r w:rsidR="00E05711" w:rsidRPr="008141DA">
        <w:rPr>
          <w:rFonts w:eastAsia="Gill Sans MT" w:cs="Calibri"/>
          <w:color w:val="auto"/>
          <w:sz w:val="22"/>
          <w:lang w:val="en-US"/>
        </w:rPr>
        <w:t>rovide mini</w:t>
      </w:r>
      <w:r w:rsidR="00A95CDB" w:rsidRPr="008141DA">
        <w:rPr>
          <w:rFonts w:eastAsia="Gill Sans MT" w:cs="Calibri"/>
          <w:color w:val="auto"/>
          <w:sz w:val="22"/>
          <w:lang w:val="en-US"/>
        </w:rPr>
        <w:t>mum two certificates</w:t>
      </w:r>
      <w:r w:rsidR="00E05711" w:rsidRPr="008141DA">
        <w:rPr>
          <w:rFonts w:eastAsia="Gill Sans MT" w:cs="Calibri"/>
          <w:color w:val="auto"/>
          <w:sz w:val="22"/>
          <w:lang w:val="en-US"/>
        </w:rPr>
        <w:t xml:space="preserve"> </w:t>
      </w:r>
      <w:r w:rsidR="00A95CDB" w:rsidRPr="008141DA">
        <w:rPr>
          <w:rFonts w:eastAsia="Gill Sans MT" w:cs="Calibri"/>
          <w:color w:val="auto"/>
          <w:sz w:val="22"/>
          <w:lang w:val="en-US"/>
        </w:rPr>
        <w:t xml:space="preserve">of </w:t>
      </w:r>
      <w:r w:rsidR="001F4125">
        <w:rPr>
          <w:rFonts w:eastAsia="Gill Sans MT" w:cs="Calibri"/>
          <w:color w:val="auto"/>
          <w:sz w:val="22"/>
          <w:lang w:val="en-US"/>
        </w:rPr>
        <w:t xml:space="preserve">good </w:t>
      </w:r>
      <w:r w:rsidR="00A95CDB" w:rsidRPr="008141DA">
        <w:rPr>
          <w:rFonts w:eastAsia="Gill Sans MT" w:cs="Calibri"/>
          <w:color w:val="auto"/>
          <w:sz w:val="22"/>
          <w:lang w:val="en-US"/>
        </w:rPr>
        <w:t>completion)</w:t>
      </w:r>
    </w:p>
    <w:p w14:paraId="47A230A4" w14:textId="17FE9E7B" w:rsidR="004B0CFB" w:rsidRPr="008141DA" w:rsidRDefault="004B0CFB" w:rsidP="00A41CAE">
      <w:pPr>
        <w:pStyle w:val="ListParagraph"/>
        <w:numPr>
          <w:ilvl w:val="0"/>
          <w:numId w:val="72"/>
        </w:numPr>
        <w:spacing w:after="0" w:line="360" w:lineRule="auto"/>
        <w:jc w:val="both"/>
        <w:rPr>
          <w:rFonts w:eastAsia="Gill Sans MT" w:cs="Calibri"/>
          <w:color w:val="auto"/>
          <w:sz w:val="22"/>
          <w:lang w:val="en-US"/>
        </w:rPr>
      </w:pPr>
      <w:r w:rsidRPr="008141DA">
        <w:rPr>
          <w:rFonts w:eastAsia="Gill Sans MT" w:cs="Calibri"/>
          <w:color w:val="auto"/>
          <w:sz w:val="22"/>
          <w:lang w:val="en-US"/>
        </w:rPr>
        <w:t xml:space="preserve">Having already developed </w:t>
      </w:r>
      <w:r w:rsidR="00E7681C" w:rsidRPr="008141DA">
        <w:rPr>
          <w:rFonts w:eastAsia="Gill Sans MT" w:cs="Calibri"/>
          <w:color w:val="auto"/>
          <w:sz w:val="22"/>
          <w:lang w:val="en-US"/>
        </w:rPr>
        <w:t>communication tools related to health information data adapted to the population (</w:t>
      </w:r>
      <w:r w:rsidR="001F4125">
        <w:rPr>
          <w:rFonts w:eastAsia="Gill Sans MT" w:cs="Calibri"/>
          <w:color w:val="auto"/>
          <w:sz w:val="22"/>
          <w:lang w:val="en-US"/>
        </w:rPr>
        <w:t>p</w:t>
      </w:r>
      <w:r w:rsidR="00E7681C" w:rsidRPr="008141DA">
        <w:rPr>
          <w:rFonts w:eastAsia="Gill Sans MT" w:cs="Calibri"/>
          <w:color w:val="auto"/>
          <w:sz w:val="22"/>
          <w:lang w:val="en-US"/>
        </w:rPr>
        <w:t xml:space="preserve">rovide minimum one certificate of </w:t>
      </w:r>
      <w:r w:rsidR="001F4125">
        <w:rPr>
          <w:rFonts w:eastAsia="Gill Sans MT" w:cs="Calibri"/>
          <w:color w:val="auto"/>
          <w:sz w:val="22"/>
          <w:lang w:val="en-US"/>
        </w:rPr>
        <w:t xml:space="preserve">good </w:t>
      </w:r>
      <w:r w:rsidR="00E7681C" w:rsidRPr="008141DA">
        <w:rPr>
          <w:rFonts w:eastAsia="Gill Sans MT" w:cs="Calibri"/>
          <w:color w:val="auto"/>
          <w:sz w:val="22"/>
          <w:lang w:val="en-US"/>
        </w:rPr>
        <w:t>completion)</w:t>
      </w:r>
    </w:p>
    <w:p w14:paraId="29B02A70" w14:textId="7C02B9C8" w:rsidR="00E05711" w:rsidRPr="00F64165" w:rsidRDefault="00E05711" w:rsidP="00A41CAE">
      <w:pPr>
        <w:pStyle w:val="ListParagraph"/>
        <w:numPr>
          <w:ilvl w:val="0"/>
          <w:numId w:val="72"/>
        </w:numPr>
        <w:spacing w:after="0" w:line="360" w:lineRule="auto"/>
        <w:jc w:val="both"/>
        <w:rPr>
          <w:rFonts w:eastAsia="Times New Roman" w:cs="Calibri"/>
          <w:color w:val="auto"/>
          <w:szCs w:val="21"/>
          <w:lang w:val="en-US"/>
        </w:rPr>
      </w:pPr>
      <w:r w:rsidRPr="008141DA">
        <w:rPr>
          <w:rFonts w:eastAsia="Gill Sans MT" w:cs="Calibri"/>
          <w:color w:val="auto"/>
          <w:sz w:val="22"/>
          <w:lang w:val="en-US"/>
        </w:rPr>
        <w:t xml:space="preserve">Having proven experience in </w:t>
      </w:r>
      <w:r w:rsidR="00F31609" w:rsidRPr="008141DA">
        <w:rPr>
          <w:rFonts w:eastAsia="Gill Sans MT" w:cs="Calibri"/>
          <w:color w:val="auto"/>
          <w:sz w:val="22"/>
          <w:lang w:val="en-US"/>
        </w:rPr>
        <w:t xml:space="preserve">developing </w:t>
      </w:r>
      <w:r w:rsidR="00E7681C" w:rsidRPr="008141DA">
        <w:rPr>
          <w:rFonts w:eastAsia="Gill Sans MT" w:cs="Calibri"/>
          <w:color w:val="auto"/>
          <w:sz w:val="22"/>
          <w:lang w:val="en-US"/>
        </w:rPr>
        <w:t>participator</w:t>
      </w:r>
      <w:r w:rsidR="001D5DF7" w:rsidRPr="008141DA">
        <w:rPr>
          <w:rFonts w:eastAsia="Gill Sans MT" w:cs="Calibri"/>
          <w:color w:val="auto"/>
          <w:sz w:val="22"/>
          <w:lang w:val="en-US"/>
        </w:rPr>
        <w:t xml:space="preserve">y </w:t>
      </w:r>
      <w:r w:rsidR="00F31609" w:rsidRPr="008141DA">
        <w:rPr>
          <w:rFonts w:eastAsia="Gill Sans MT" w:cs="Calibri"/>
          <w:color w:val="auto"/>
          <w:sz w:val="22"/>
          <w:lang w:val="en-US"/>
        </w:rPr>
        <w:t>mechanisms related to community/</w:t>
      </w:r>
      <w:r w:rsidR="00F31609">
        <w:rPr>
          <w:rFonts w:eastAsia="Gill Sans MT" w:cs="Calibri"/>
          <w:bCs/>
          <w:color w:val="auto"/>
          <w:sz w:val="22"/>
          <w:lang w:val="en-US"/>
        </w:rPr>
        <w:t>patient voices</w:t>
      </w:r>
      <w:r w:rsidR="004B0CFB">
        <w:rPr>
          <w:rFonts w:eastAsia="Gill Sans MT" w:cs="Calibri"/>
          <w:bCs/>
          <w:color w:val="auto"/>
          <w:sz w:val="22"/>
          <w:lang w:val="en-US"/>
        </w:rPr>
        <w:t>/</w:t>
      </w:r>
      <w:r w:rsidR="001F4125">
        <w:rPr>
          <w:rFonts w:eastAsia="Gill Sans MT" w:cs="Calibri"/>
          <w:bCs/>
          <w:color w:val="auto"/>
          <w:sz w:val="22"/>
          <w:lang w:val="en-US"/>
        </w:rPr>
        <w:t xml:space="preserve">patient </w:t>
      </w:r>
      <w:r w:rsidR="004B0CFB">
        <w:rPr>
          <w:rFonts w:eastAsia="Gill Sans MT" w:cs="Calibri"/>
          <w:bCs/>
          <w:color w:val="auto"/>
          <w:sz w:val="22"/>
          <w:lang w:val="en-US"/>
        </w:rPr>
        <w:t xml:space="preserve">satisfaction </w:t>
      </w:r>
      <w:r w:rsidR="004B0CFB" w:rsidRPr="004B0CFB">
        <w:rPr>
          <w:rFonts w:eastAsia="Gill Sans MT" w:cs="Calibri"/>
          <w:bCs/>
          <w:color w:val="auto"/>
          <w:sz w:val="22"/>
          <w:lang w:val="en-US"/>
        </w:rPr>
        <w:t>(</w:t>
      </w:r>
      <w:r w:rsidR="001F4125">
        <w:rPr>
          <w:rFonts w:eastAsia="Gill Sans MT" w:cs="Calibri"/>
          <w:bCs/>
          <w:color w:val="auto"/>
          <w:sz w:val="22"/>
          <w:lang w:val="en-US"/>
        </w:rPr>
        <w:t>p</w:t>
      </w:r>
      <w:r w:rsidR="004B0CFB" w:rsidRPr="004B0CFB">
        <w:rPr>
          <w:rFonts w:eastAsia="Gill Sans MT" w:cs="Calibri"/>
          <w:bCs/>
          <w:color w:val="auto"/>
          <w:sz w:val="22"/>
          <w:lang w:val="en-US"/>
        </w:rPr>
        <w:t xml:space="preserve">rovide minimum </w:t>
      </w:r>
      <w:r w:rsidR="00E7681C">
        <w:rPr>
          <w:rFonts w:eastAsia="Gill Sans MT" w:cs="Calibri"/>
          <w:bCs/>
          <w:color w:val="auto"/>
          <w:sz w:val="22"/>
          <w:lang w:val="en-US"/>
        </w:rPr>
        <w:t>one</w:t>
      </w:r>
      <w:r w:rsidR="004B0CFB" w:rsidRPr="004B0CFB">
        <w:rPr>
          <w:rFonts w:eastAsia="Gill Sans MT" w:cs="Calibri"/>
          <w:bCs/>
          <w:color w:val="auto"/>
          <w:sz w:val="22"/>
          <w:lang w:val="en-US"/>
        </w:rPr>
        <w:t xml:space="preserve"> certificate of </w:t>
      </w:r>
      <w:r w:rsidR="001F4125">
        <w:rPr>
          <w:rFonts w:eastAsia="Gill Sans MT" w:cs="Calibri"/>
          <w:bCs/>
          <w:color w:val="auto"/>
          <w:sz w:val="22"/>
          <w:lang w:val="en-US"/>
        </w:rPr>
        <w:t xml:space="preserve">good </w:t>
      </w:r>
      <w:r w:rsidR="004B0CFB" w:rsidRPr="004B0CFB">
        <w:rPr>
          <w:rFonts w:eastAsia="Gill Sans MT" w:cs="Calibri"/>
          <w:bCs/>
          <w:color w:val="auto"/>
          <w:sz w:val="22"/>
          <w:lang w:val="en-US"/>
        </w:rPr>
        <w:t>completion)</w:t>
      </w:r>
    </w:p>
    <w:p w14:paraId="2624C5B1" w14:textId="77777777" w:rsidR="004F07DF" w:rsidRPr="003569D5" w:rsidRDefault="004F07DF" w:rsidP="008141DA">
      <w:pPr>
        <w:spacing w:before="120" w:after="120" w:line="360" w:lineRule="auto"/>
        <w:rPr>
          <w:rFonts w:cs="Calibri"/>
          <w:b/>
          <w:bCs/>
          <w:color w:val="auto"/>
          <w:sz w:val="20"/>
          <w:szCs w:val="20"/>
          <w:lang w:val="en-US"/>
        </w:rPr>
      </w:pPr>
      <w:r w:rsidRPr="003569D5">
        <w:rPr>
          <w:rFonts w:cs="Calibri"/>
          <w:b/>
          <w:bCs/>
          <w:color w:val="auto"/>
          <w:sz w:val="20"/>
          <w:szCs w:val="20"/>
          <w:lang w:val="en-US"/>
        </w:rPr>
        <w:t>Other desirable competencies of consultants/consulting firm</w:t>
      </w:r>
    </w:p>
    <w:p w14:paraId="627454D2" w14:textId="77777777" w:rsidR="004F07DF" w:rsidRPr="008141DA" w:rsidRDefault="004F07DF" w:rsidP="00A41CAE">
      <w:pPr>
        <w:pStyle w:val="ListParagraph"/>
        <w:numPr>
          <w:ilvl w:val="0"/>
          <w:numId w:val="72"/>
        </w:numPr>
        <w:spacing w:after="0" w:line="360" w:lineRule="auto"/>
        <w:jc w:val="both"/>
        <w:rPr>
          <w:rFonts w:eastAsia="Gill Sans MT" w:cs="Calibri"/>
          <w:color w:val="auto"/>
          <w:sz w:val="22"/>
          <w:lang w:val="en-US"/>
        </w:rPr>
      </w:pPr>
      <w:r w:rsidRPr="009356DB">
        <w:rPr>
          <w:rFonts w:eastAsia="Gill Sans MT" w:cs="Calibri"/>
          <w:color w:val="auto"/>
          <w:sz w:val="22"/>
          <w:lang w:val="en-US"/>
        </w:rPr>
        <w:t>Ability to work independently with minimum supervision</w:t>
      </w:r>
    </w:p>
    <w:p w14:paraId="6AAE7647" w14:textId="68F74DFC" w:rsidR="004F07DF" w:rsidRPr="009356DB" w:rsidRDefault="005244AA" w:rsidP="00A41CAE">
      <w:pPr>
        <w:pStyle w:val="ListParagraph"/>
        <w:numPr>
          <w:ilvl w:val="0"/>
          <w:numId w:val="72"/>
        </w:numPr>
        <w:spacing w:after="0" w:line="360" w:lineRule="auto"/>
        <w:jc w:val="both"/>
        <w:rPr>
          <w:rFonts w:eastAsia="Times New Roman" w:cs="Calibri"/>
          <w:color w:val="auto"/>
          <w:sz w:val="22"/>
          <w:lang w:val="en-US"/>
        </w:rPr>
      </w:pPr>
      <w:r>
        <w:rPr>
          <w:rFonts w:eastAsia="Gill Sans MT" w:cs="Calibri"/>
          <w:color w:val="auto"/>
          <w:sz w:val="22"/>
          <w:lang w:val="en-US"/>
        </w:rPr>
        <w:t>S</w:t>
      </w:r>
      <w:r w:rsidRPr="005244AA">
        <w:rPr>
          <w:rFonts w:eastAsia="Gill Sans MT" w:cs="Calibri"/>
          <w:color w:val="auto"/>
          <w:sz w:val="22"/>
          <w:lang w:val="en-US"/>
        </w:rPr>
        <w:t xml:space="preserve">ocial and behavior changes </w:t>
      </w:r>
      <w:r>
        <w:rPr>
          <w:rFonts w:eastAsia="Gill Sans MT" w:cs="Calibri"/>
          <w:color w:val="auto"/>
          <w:sz w:val="22"/>
          <w:lang w:val="en-US"/>
        </w:rPr>
        <w:t xml:space="preserve">expertise in community health </w:t>
      </w:r>
    </w:p>
    <w:p w14:paraId="41FC702A" w14:textId="77777777" w:rsidR="004F07DF" w:rsidRPr="003569D5" w:rsidRDefault="004F07DF" w:rsidP="004F07DF">
      <w:pPr>
        <w:spacing w:before="120" w:after="120"/>
        <w:rPr>
          <w:rFonts w:cs="Calibri"/>
          <w:b/>
          <w:bCs/>
          <w:color w:val="auto"/>
          <w:sz w:val="20"/>
          <w:szCs w:val="20"/>
          <w:lang w:val="en-US"/>
        </w:rPr>
      </w:pPr>
      <w:r w:rsidRPr="003569D5">
        <w:rPr>
          <w:rFonts w:cs="Calibri"/>
          <w:b/>
          <w:bCs/>
          <w:color w:val="auto"/>
          <w:sz w:val="20"/>
          <w:szCs w:val="20"/>
          <w:lang w:val="en-US"/>
        </w:rPr>
        <w:t>NB: These minimum required experience/profile should also apply if the bidder is a group of individual consultants.</w:t>
      </w:r>
    </w:p>
    <w:p w14:paraId="610E1416" w14:textId="77777777" w:rsidR="008141DA" w:rsidRDefault="008141DA">
      <w:pPr>
        <w:spacing w:line="259" w:lineRule="auto"/>
        <w:rPr>
          <w:rFonts w:cs="Calibri"/>
          <w:b/>
          <w:bCs/>
          <w:color w:val="auto"/>
          <w:sz w:val="20"/>
          <w:szCs w:val="20"/>
          <w:lang w:val="en-US"/>
        </w:rPr>
      </w:pPr>
      <w:r>
        <w:rPr>
          <w:rFonts w:cs="Calibri"/>
          <w:b/>
          <w:bCs/>
          <w:color w:val="auto"/>
          <w:sz w:val="20"/>
          <w:szCs w:val="20"/>
          <w:lang w:val="en-US"/>
        </w:rPr>
        <w:br w:type="page"/>
      </w:r>
    </w:p>
    <w:p w14:paraId="0C67C417" w14:textId="5963B470" w:rsidR="004F07DF" w:rsidRPr="009356DB" w:rsidRDefault="004F07DF" w:rsidP="00A41CAE">
      <w:pPr>
        <w:pStyle w:val="ListParagraph"/>
        <w:numPr>
          <w:ilvl w:val="0"/>
          <w:numId w:val="61"/>
        </w:numPr>
        <w:spacing w:before="240" w:after="120"/>
        <w:contextualSpacing w:val="0"/>
        <w:jc w:val="both"/>
        <w:rPr>
          <w:rFonts w:cs="Calibri"/>
          <w:b/>
          <w:bCs/>
          <w:color w:val="auto"/>
          <w:sz w:val="20"/>
          <w:szCs w:val="20"/>
          <w:lang w:val="en-US"/>
        </w:rPr>
      </w:pPr>
      <w:r w:rsidRPr="009356DB">
        <w:rPr>
          <w:rFonts w:cs="Calibri"/>
          <w:b/>
          <w:bCs/>
          <w:color w:val="auto"/>
          <w:sz w:val="20"/>
          <w:szCs w:val="20"/>
          <w:lang w:val="en-US"/>
        </w:rPr>
        <w:lastRenderedPageBreak/>
        <w:t xml:space="preserve">Required profile for the </w:t>
      </w:r>
      <w:r w:rsidR="000926B8" w:rsidRPr="009356DB">
        <w:rPr>
          <w:rFonts w:cs="Calibri"/>
          <w:b/>
          <w:bCs/>
          <w:color w:val="auto"/>
          <w:sz w:val="20"/>
          <w:szCs w:val="20"/>
          <w:lang w:val="en-US"/>
        </w:rPr>
        <w:t>k</w:t>
      </w:r>
      <w:r w:rsidRPr="009356DB">
        <w:rPr>
          <w:rFonts w:cs="Calibri"/>
          <w:b/>
          <w:bCs/>
          <w:color w:val="auto"/>
          <w:sz w:val="20"/>
          <w:szCs w:val="20"/>
          <w:lang w:val="en-US"/>
        </w:rPr>
        <w:t>ey staff as follows (</w:t>
      </w:r>
      <w:r w:rsidRPr="009356DB">
        <w:rPr>
          <w:rFonts w:cs="Calibri"/>
          <w:b/>
          <w:bCs/>
          <w:color w:val="auto"/>
          <w:sz w:val="20"/>
          <w:szCs w:val="20"/>
          <w:u w:val="single"/>
          <w:lang w:val="en-US"/>
        </w:rPr>
        <w:t>to be used for the award stage</w:t>
      </w:r>
      <w:r w:rsidRPr="009356DB">
        <w:rPr>
          <w:rFonts w:cs="Calibri"/>
          <w:b/>
          <w:bCs/>
          <w:color w:val="auto"/>
          <w:sz w:val="20"/>
          <w:szCs w:val="20"/>
          <w:lang w:val="en-US"/>
        </w:rPr>
        <w:t>):</w:t>
      </w:r>
    </w:p>
    <w:p w14:paraId="03DA6F1D" w14:textId="77777777" w:rsidR="004F07DF" w:rsidRPr="009356DB" w:rsidRDefault="004F07DF" w:rsidP="00A41CAE">
      <w:pPr>
        <w:pStyle w:val="ListParagraph"/>
        <w:numPr>
          <w:ilvl w:val="0"/>
          <w:numId w:val="60"/>
        </w:numPr>
        <w:spacing w:before="120" w:after="120"/>
        <w:ind w:left="357" w:hanging="357"/>
        <w:contextualSpacing w:val="0"/>
        <w:jc w:val="both"/>
        <w:rPr>
          <w:rFonts w:cs="Calibri"/>
          <w:b/>
          <w:bCs/>
          <w:color w:val="auto"/>
          <w:sz w:val="20"/>
          <w:szCs w:val="20"/>
          <w:lang w:val="en-US"/>
        </w:rPr>
      </w:pPr>
      <w:r w:rsidRPr="009356DB">
        <w:rPr>
          <w:rFonts w:cs="Calibri"/>
          <w:b/>
          <w:bCs/>
          <w:color w:val="auto"/>
          <w:sz w:val="20"/>
          <w:szCs w:val="20"/>
          <w:lang w:val="en-US"/>
        </w:rPr>
        <w:t>Team Leader (lead consultant)</w:t>
      </w:r>
    </w:p>
    <w:p w14:paraId="13AD4627" w14:textId="4FA08804" w:rsidR="008141DA" w:rsidRPr="008D7FC2" w:rsidRDefault="008141DA" w:rsidP="00A41CAE">
      <w:pPr>
        <w:pStyle w:val="ListParagraph"/>
        <w:numPr>
          <w:ilvl w:val="0"/>
          <w:numId w:val="72"/>
        </w:numPr>
        <w:spacing w:after="0" w:line="360" w:lineRule="auto"/>
        <w:jc w:val="both"/>
        <w:rPr>
          <w:rFonts w:eastAsia="Gill Sans MT" w:cs="Calibri"/>
          <w:color w:val="auto"/>
          <w:sz w:val="22"/>
          <w:lang w:val="en-US"/>
        </w:rPr>
      </w:pPr>
      <w:r w:rsidRPr="008D7FC2">
        <w:rPr>
          <w:rFonts w:eastAsia="Gill Sans MT" w:cs="Calibri"/>
          <w:color w:val="auto"/>
          <w:sz w:val="22"/>
          <w:lang w:val="en-US"/>
        </w:rPr>
        <w:t xml:space="preserve">The minimum required qualification is a Masters’ degree in Public Health or in community health or in reproductive and sexual health (SRH) or equivalent studies with at least 5 years’ experience in the related field, </w:t>
      </w:r>
    </w:p>
    <w:p w14:paraId="4A9A27FC" w14:textId="10C510D7" w:rsidR="008141DA" w:rsidRPr="008D7FC2" w:rsidRDefault="008141DA" w:rsidP="008D7FC2">
      <w:pPr>
        <w:pStyle w:val="ListParagraph"/>
        <w:spacing w:after="0" w:line="360" w:lineRule="auto"/>
        <w:ind w:left="360"/>
        <w:jc w:val="both"/>
        <w:rPr>
          <w:rFonts w:eastAsia="Gill Sans MT" w:cs="Calibri"/>
          <w:color w:val="auto"/>
          <w:sz w:val="22"/>
          <w:lang w:val="en-US"/>
        </w:rPr>
      </w:pPr>
      <w:r w:rsidRPr="00F36279">
        <w:rPr>
          <w:rFonts w:eastAsia="Gill Sans MT" w:cs="Calibri"/>
          <w:b/>
          <w:bCs/>
          <w:color w:val="auto"/>
          <w:sz w:val="22"/>
          <w:lang w:val="en-US"/>
        </w:rPr>
        <w:t>B</w:t>
      </w:r>
      <w:r w:rsidR="00F36279">
        <w:rPr>
          <w:rFonts w:eastAsia="Gill Sans MT" w:cs="Calibri"/>
          <w:b/>
          <w:bCs/>
          <w:color w:val="auto"/>
          <w:sz w:val="22"/>
          <w:lang w:val="en-US"/>
        </w:rPr>
        <w:t>UT</w:t>
      </w:r>
      <w:r w:rsidRPr="00F36279">
        <w:rPr>
          <w:rFonts w:eastAsia="Gill Sans MT" w:cs="Calibri"/>
          <w:b/>
          <w:bCs/>
          <w:color w:val="auto"/>
          <w:sz w:val="22"/>
          <w:lang w:val="en-US"/>
        </w:rPr>
        <w:t xml:space="preserve"> </w:t>
      </w:r>
      <w:r w:rsidRPr="008D7FC2">
        <w:rPr>
          <w:rFonts w:eastAsia="Gill Sans MT" w:cs="Calibri"/>
          <w:color w:val="auto"/>
          <w:sz w:val="22"/>
          <w:lang w:val="en-US"/>
        </w:rPr>
        <w:t>the preferred profile is Masters’ degree in Public Health or in community health or in SRH with at least 7 years’ experience in maternal, neonatal, child and adolescents’ health AND/OR Sexual and Reproductive Health and Rights (SRHR) within the community</w:t>
      </w:r>
    </w:p>
    <w:p w14:paraId="16FCCCBC" w14:textId="77777777" w:rsidR="008141DA" w:rsidRPr="008D7FC2" w:rsidRDefault="008141DA" w:rsidP="00A41CAE">
      <w:pPr>
        <w:pStyle w:val="ListParagraph"/>
        <w:numPr>
          <w:ilvl w:val="0"/>
          <w:numId w:val="72"/>
        </w:numPr>
        <w:spacing w:after="0" w:line="360" w:lineRule="auto"/>
        <w:jc w:val="both"/>
        <w:rPr>
          <w:rFonts w:eastAsia="Gill Sans MT" w:cs="Calibri"/>
          <w:color w:val="auto"/>
          <w:sz w:val="22"/>
          <w:lang w:val="en-US"/>
        </w:rPr>
      </w:pPr>
      <w:r w:rsidRPr="008D7FC2">
        <w:rPr>
          <w:rFonts w:eastAsia="Gill Sans MT" w:cs="Calibri"/>
          <w:color w:val="auto"/>
          <w:sz w:val="22"/>
          <w:lang w:val="en-US"/>
        </w:rPr>
        <w:t>Having designed and developed communication tools in Maternal, Neonatal, Child and Adolescent’s Health, (1 proof of good completion is required)</w:t>
      </w:r>
    </w:p>
    <w:p w14:paraId="7B470822" w14:textId="7A7FD306" w:rsidR="008141DA" w:rsidRPr="008D7FC2" w:rsidRDefault="008141DA" w:rsidP="00A41CAE">
      <w:pPr>
        <w:pStyle w:val="ListParagraph"/>
        <w:numPr>
          <w:ilvl w:val="0"/>
          <w:numId w:val="72"/>
        </w:numPr>
        <w:spacing w:after="0" w:line="360" w:lineRule="auto"/>
        <w:jc w:val="both"/>
        <w:rPr>
          <w:rFonts w:eastAsia="Gill Sans MT" w:cs="Calibri"/>
          <w:color w:val="auto"/>
          <w:sz w:val="22"/>
          <w:lang w:val="en-US"/>
        </w:rPr>
      </w:pPr>
      <w:r w:rsidRPr="008D7FC2">
        <w:rPr>
          <w:rFonts w:eastAsia="Gill Sans MT" w:cs="Calibri"/>
          <w:color w:val="auto"/>
          <w:sz w:val="22"/>
          <w:lang w:val="en-US"/>
        </w:rPr>
        <w:t xml:space="preserve">Proven experience in </w:t>
      </w:r>
      <w:r w:rsidR="00143E38">
        <w:rPr>
          <w:rFonts w:eastAsia="Gill Sans MT" w:cs="Calibri"/>
          <w:color w:val="auto"/>
          <w:sz w:val="22"/>
          <w:lang w:val="en-US"/>
        </w:rPr>
        <w:t xml:space="preserve">innovative </w:t>
      </w:r>
      <w:r w:rsidRPr="008D7FC2">
        <w:rPr>
          <w:rFonts w:eastAsia="Gill Sans MT" w:cs="Calibri"/>
          <w:color w:val="auto"/>
          <w:sz w:val="22"/>
          <w:lang w:val="en-US"/>
        </w:rPr>
        <w:t xml:space="preserve">participatory methods </w:t>
      </w:r>
      <w:r w:rsidR="00143E38">
        <w:rPr>
          <w:rFonts w:eastAsia="Gill Sans MT" w:cs="Calibri"/>
          <w:color w:val="auto"/>
          <w:sz w:val="22"/>
          <w:lang w:val="en-US"/>
        </w:rPr>
        <w:t>(</w:t>
      </w:r>
      <w:r w:rsidRPr="008D7FC2">
        <w:rPr>
          <w:rFonts w:eastAsia="Gill Sans MT" w:cs="Calibri"/>
          <w:color w:val="auto"/>
          <w:sz w:val="22"/>
          <w:lang w:val="en-US"/>
        </w:rPr>
        <w:t>photovoice</w:t>
      </w:r>
      <w:r w:rsidR="00143E38">
        <w:rPr>
          <w:rFonts w:eastAsia="Gill Sans MT" w:cs="Calibri"/>
          <w:color w:val="auto"/>
          <w:sz w:val="22"/>
          <w:lang w:val="en-US"/>
        </w:rPr>
        <w:t>)</w:t>
      </w:r>
      <w:r w:rsidRPr="008D7FC2">
        <w:rPr>
          <w:rFonts w:eastAsia="Gill Sans MT" w:cs="Calibri"/>
          <w:color w:val="auto"/>
          <w:sz w:val="22"/>
          <w:lang w:val="en-US"/>
        </w:rPr>
        <w:t xml:space="preserve"> (1 certificate of good completion is required)</w:t>
      </w:r>
    </w:p>
    <w:p w14:paraId="6F0FF743" w14:textId="77777777" w:rsidR="008141DA" w:rsidRPr="008D7FC2" w:rsidRDefault="008141DA" w:rsidP="00A41CAE">
      <w:pPr>
        <w:pStyle w:val="ListParagraph"/>
        <w:numPr>
          <w:ilvl w:val="0"/>
          <w:numId w:val="72"/>
        </w:numPr>
        <w:spacing w:after="0" w:line="360" w:lineRule="auto"/>
        <w:jc w:val="both"/>
        <w:rPr>
          <w:rFonts w:eastAsia="Gill Sans MT" w:cs="Calibri"/>
          <w:color w:val="auto"/>
          <w:sz w:val="22"/>
          <w:lang w:val="en-US"/>
        </w:rPr>
      </w:pPr>
      <w:r w:rsidRPr="008D7FC2">
        <w:rPr>
          <w:rFonts w:eastAsia="Gill Sans MT" w:cs="Calibri"/>
          <w:color w:val="auto"/>
          <w:sz w:val="22"/>
          <w:lang w:val="en-US"/>
        </w:rPr>
        <w:t>Proven experience in development and conduction of participatory methods in Africa</w:t>
      </w:r>
    </w:p>
    <w:p w14:paraId="174E2543" w14:textId="528DA95E" w:rsidR="004F07DF" w:rsidRDefault="008141DA" w:rsidP="00A41CAE">
      <w:pPr>
        <w:pStyle w:val="ListParagraph"/>
        <w:numPr>
          <w:ilvl w:val="0"/>
          <w:numId w:val="72"/>
        </w:numPr>
        <w:spacing w:after="0" w:line="360" w:lineRule="auto"/>
        <w:jc w:val="both"/>
        <w:rPr>
          <w:rFonts w:cs="Calibri"/>
          <w:bCs/>
          <w:color w:val="auto"/>
          <w:sz w:val="22"/>
          <w:lang w:val="en-US"/>
        </w:rPr>
      </w:pPr>
      <w:r w:rsidRPr="008D7FC2">
        <w:rPr>
          <w:rFonts w:eastAsia="Gill Sans MT" w:cs="Calibri"/>
          <w:color w:val="auto"/>
          <w:sz w:val="22"/>
          <w:lang w:val="en-US"/>
        </w:rPr>
        <w:t>Possess an advanced level of English (writing and speaking); having a working knowledge of French will</w:t>
      </w:r>
      <w:r w:rsidRPr="008141DA">
        <w:rPr>
          <w:rFonts w:eastAsia="Times New Roman" w:cs="Calibri"/>
          <w:color w:val="auto"/>
          <w:sz w:val="22"/>
          <w:lang w:val="en-US"/>
        </w:rPr>
        <w:t xml:space="preserve"> be an added value</w:t>
      </w:r>
      <w:r w:rsidR="00414D46" w:rsidRPr="00F64165">
        <w:rPr>
          <w:rFonts w:cs="Calibri"/>
          <w:bCs/>
          <w:color w:val="auto"/>
          <w:sz w:val="22"/>
          <w:lang w:val="en-US"/>
        </w:rPr>
        <w:t>.</w:t>
      </w:r>
    </w:p>
    <w:p w14:paraId="053158DC" w14:textId="77777777" w:rsidR="008D7FC2" w:rsidRPr="008D7FC2" w:rsidRDefault="008D7FC2" w:rsidP="00A41CAE">
      <w:pPr>
        <w:pStyle w:val="ListParagraph"/>
        <w:numPr>
          <w:ilvl w:val="0"/>
          <w:numId w:val="60"/>
        </w:numPr>
        <w:spacing w:before="120" w:after="120"/>
        <w:ind w:left="357" w:hanging="357"/>
        <w:contextualSpacing w:val="0"/>
        <w:jc w:val="both"/>
        <w:rPr>
          <w:rFonts w:cs="Calibri"/>
          <w:b/>
          <w:bCs/>
          <w:color w:val="auto"/>
          <w:sz w:val="20"/>
          <w:szCs w:val="20"/>
          <w:lang w:val="en-US"/>
        </w:rPr>
      </w:pPr>
      <w:r w:rsidRPr="008D7FC2">
        <w:rPr>
          <w:rFonts w:cs="Calibri"/>
          <w:b/>
          <w:bCs/>
          <w:color w:val="auto"/>
          <w:sz w:val="20"/>
          <w:szCs w:val="20"/>
          <w:lang w:val="en-US"/>
        </w:rPr>
        <w:t xml:space="preserve">Specialist in health communication </w:t>
      </w:r>
    </w:p>
    <w:p w14:paraId="512AAF03" w14:textId="6CA2FD4F" w:rsidR="008D7FC2" w:rsidRPr="008D7FC2" w:rsidRDefault="008D7FC2" w:rsidP="00A41CAE">
      <w:pPr>
        <w:pStyle w:val="ListParagraph"/>
        <w:numPr>
          <w:ilvl w:val="0"/>
          <w:numId w:val="72"/>
        </w:numPr>
        <w:spacing w:after="0" w:line="360" w:lineRule="auto"/>
        <w:jc w:val="both"/>
        <w:rPr>
          <w:rFonts w:eastAsia="Gill Sans MT" w:cs="Calibri"/>
          <w:color w:val="auto"/>
          <w:sz w:val="22"/>
          <w:lang w:val="en-US"/>
        </w:rPr>
      </w:pPr>
      <w:r w:rsidRPr="008D7FC2">
        <w:rPr>
          <w:rFonts w:eastAsia="Gill Sans MT" w:cs="Calibri"/>
          <w:color w:val="auto"/>
          <w:sz w:val="22"/>
          <w:lang w:val="en-US"/>
        </w:rPr>
        <w:t>The minimum required qualification is a bachelor’s degree in communications with 3 years’ experience in health communication</w:t>
      </w:r>
    </w:p>
    <w:p w14:paraId="36AD4303" w14:textId="35F841E0" w:rsidR="008D7FC2" w:rsidRPr="008D7FC2" w:rsidRDefault="008D7FC2" w:rsidP="00A41CAE">
      <w:pPr>
        <w:pStyle w:val="ListParagraph"/>
        <w:numPr>
          <w:ilvl w:val="0"/>
          <w:numId w:val="72"/>
        </w:numPr>
        <w:spacing w:after="0" w:line="360" w:lineRule="auto"/>
        <w:jc w:val="both"/>
        <w:rPr>
          <w:rFonts w:eastAsia="Gill Sans MT" w:cs="Calibri"/>
          <w:color w:val="auto"/>
          <w:sz w:val="22"/>
          <w:lang w:val="en-US"/>
        </w:rPr>
      </w:pPr>
      <w:r w:rsidRPr="008D7FC2">
        <w:rPr>
          <w:rFonts w:eastAsia="Gill Sans MT" w:cs="Calibri"/>
          <w:color w:val="auto"/>
          <w:sz w:val="22"/>
          <w:lang w:val="en-US"/>
        </w:rPr>
        <w:t>Experience in MNASRH communication is an added value</w:t>
      </w:r>
    </w:p>
    <w:p w14:paraId="2FF0AC06" w14:textId="31B44AB6" w:rsidR="008D7FC2" w:rsidRPr="008D7FC2" w:rsidRDefault="00F36279" w:rsidP="00F36279">
      <w:pPr>
        <w:pStyle w:val="ListParagraph"/>
        <w:spacing w:after="0" w:line="360" w:lineRule="auto"/>
        <w:ind w:left="360"/>
        <w:jc w:val="both"/>
        <w:rPr>
          <w:rFonts w:eastAsia="Gill Sans MT" w:cs="Calibri"/>
          <w:color w:val="auto"/>
          <w:sz w:val="22"/>
          <w:lang w:val="en-US"/>
        </w:rPr>
      </w:pPr>
      <w:r w:rsidRPr="00F36279">
        <w:rPr>
          <w:rFonts w:eastAsia="Gill Sans MT" w:cs="Calibri"/>
          <w:b/>
          <w:bCs/>
          <w:color w:val="auto"/>
          <w:sz w:val="22"/>
          <w:lang w:val="en-US"/>
        </w:rPr>
        <w:t>BUT</w:t>
      </w:r>
      <w:r>
        <w:rPr>
          <w:rFonts w:eastAsia="Gill Sans MT" w:cs="Calibri"/>
          <w:color w:val="auto"/>
          <w:sz w:val="22"/>
          <w:lang w:val="en-US"/>
        </w:rPr>
        <w:t xml:space="preserve"> </w:t>
      </w:r>
      <w:r w:rsidR="00F56C8A">
        <w:rPr>
          <w:rFonts w:eastAsia="Gill Sans MT" w:cs="Calibri"/>
          <w:color w:val="auto"/>
          <w:sz w:val="22"/>
          <w:lang w:val="en-US"/>
        </w:rPr>
        <w:t>t</w:t>
      </w:r>
      <w:r w:rsidR="008D7FC2" w:rsidRPr="008D7FC2">
        <w:rPr>
          <w:rFonts w:eastAsia="Gill Sans MT" w:cs="Calibri"/>
          <w:color w:val="auto"/>
          <w:sz w:val="22"/>
          <w:lang w:val="en-US"/>
        </w:rPr>
        <w:t>he preferred profile is a master’s degree in health communication with 5 years’ experience in health communication and preferably in SRH health</w:t>
      </w:r>
    </w:p>
    <w:p w14:paraId="77D05FF7" w14:textId="71F91ADA" w:rsidR="00D25BD2" w:rsidRDefault="008D7FC2" w:rsidP="00A41CAE">
      <w:pPr>
        <w:pStyle w:val="ListParagraph"/>
        <w:numPr>
          <w:ilvl w:val="0"/>
          <w:numId w:val="72"/>
        </w:numPr>
        <w:spacing w:after="0" w:line="360" w:lineRule="auto"/>
        <w:jc w:val="both"/>
        <w:rPr>
          <w:rFonts w:eastAsia="Gill Sans MT" w:cs="Calibri"/>
          <w:color w:val="auto"/>
          <w:sz w:val="22"/>
          <w:lang w:val="en-US"/>
        </w:rPr>
      </w:pPr>
      <w:r w:rsidRPr="008D7FC2">
        <w:rPr>
          <w:rFonts w:eastAsia="Gill Sans MT" w:cs="Calibri"/>
          <w:color w:val="auto"/>
          <w:sz w:val="22"/>
          <w:lang w:val="en-US"/>
        </w:rPr>
        <w:t>At least 3 years’ experience in implementing participatory health communication activities preferably in MNASRH in the community (2 certificates of good completion are required)</w:t>
      </w:r>
    </w:p>
    <w:p w14:paraId="33FC3A95" w14:textId="77777777" w:rsidR="00F36279" w:rsidRPr="00F36279" w:rsidRDefault="00F36279" w:rsidP="00A41CAE">
      <w:pPr>
        <w:pStyle w:val="ListParagraph"/>
        <w:numPr>
          <w:ilvl w:val="0"/>
          <w:numId w:val="60"/>
        </w:numPr>
        <w:spacing w:before="120" w:after="120"/>
        <w:ind w:left="357" w:hanging="357"/>
        <w:contextualSpacing w:val="0"/>
        <w:jc w:val="both"/>
        <w:rPr>
          <w:rFonts w:cs="Calibri"/>
          <w:b/>
          <w:bCs/>
          <w:color w:val="auto"/>
          <w:sz w:val="20"/>
          <w:szCs w:val="20"/>
          <w:lang w:val="en-US"/>
        </w:rPr>
      </w:pPr>
      <w:r w:rsidRPr="00F36279">
        <w:rPr>
          <w:rFonts w:cs="Calibri"/>
          <w:b/>
          <w:bCs/>
          <w:color w:val="auto"/>
          <w:sz w:val="20"/>
          <w:szCs w:val="20"/>
          <w:lang w:val="en-US"/>
        </w:rPr>
        <w:t>Social scientist (in maternal, neonatal sexual and reproductive health)</w:t>
      </w:r>
    </w:p>
    <w:p w14:paraId="7BED90FF" w14:textId="17EED128" w:rsidR="00F36279" w:rsidRPr="00F36279" w:rsidRDefault="00F36279" w:rsidP="00A41CAE">
      <w:pPr>
        <w:pStyle w:val="ListParagraph"/>
        <w:numPr>
          <w:ilvl w:val="0"/>
          <w:numId w:val="72"/>
        </w:numPr>
        <w:spacing w:after="0" w:line="360" w:lineRule="auto"/>
        <w:jc w:val="both"/>
        <w:rPr>
          <w:rFonts w:eastAsia="Gill Sans MT" w:cs="Calibri"/>
          <w:color w:val="auto"/>
          <w:sz w:val="22"/>
          <w:lang w:val="en-US"/>
        </w:rPr>
      </w:pPr>
      <w:r w:rsidRPr="00F36279">
        <w:rPr>
          <w:rFonts w:eastAsia="Gill Sans MT" w:cs="Calibri"/>
          <w:color w:val="auto"/>
          <w:sz w:val="22"/>
          <w:lang w:val="en-US"/>
        </w:rPr>
        <w:t xml:space="preserve">The minimum required qualification is the </w:t>
      </w:r>
      <w:proofErr w:type="gramStart"/>
      <w:r w:rsidRPr="00F36279">
        <w:rPr>
          <w:rFonts w:eastAsia="Gill Sans MT" w:cs="Calibri"/>
          <w:color w:val="auto"/>
          <w:sz w:val="22"/>
          <w:lang w:val="en-US"/>
        </w:rPr>
        <w:t>Master’s</w:t>
      </w:r>
      <w:proofErr w:type="gramEnd"/>
      <w:r w:rsidRPr="00F36279">
        <w:rPr>
          <w:rFonts w:eastAsia="Gill Sans MT" w:cs="Calibri"/>
          <w:color w:val="auto"/>
          <w:sz w:val="22"/>
          <w:lang w:val="en-US"/>
        </w:rPr>
        <w:t xml:space="preserve"> degree in sociology, anthropology, community health, sexual and reproductive health, or equivalent with 5 years’ experience. </w:t>
      </w:r>
    </w:p>
    <w:p w14:paraId="386AEECD" w14:textId="04005205" w:rsidR="00F36279" w:rsidRPr="00F36279" w:rsidRDefault="00F36279" w:rsidP="00F36279">
      <w:pPr>
        <w:pStyle w:val="ListParagraph"/>
        <w:spacing w:after="0" w:line="360" w:lineRule="auto"/>
        <w:ind w:left="360"/>
        <w:jc w:val="both"/>
        <w:rPr>
          <w:rFonts w:eastAsia="Gill Sans MT" w:cs="Calibri"/>
          <w:color w:val="auto"/>
          <w:sz w:val="22"/>
          <w:lang w:val="en-US"/>
        </w:rPr>
      </w:pPr>
      <w:r w:rsidRPr="00F36279">
        <w:rPr>
          <w:rFonts w:eastAsia="Gill Sans MT" w:cs="Calibri"/>
          <w:b/>
          <w:bCs/>
          <w:color w:val="auto"/>
          <w:sz w:val="22"/>
          <w:lang w:val="en-US"/>
        </w:rPr>
        <w:t>BUT</w:t>
      </w:r>
      <w:r>
        <w:rPr>
          <w:rFonts w:eastAsia="Gill Sans MT" w:cs="Calibri"/>
          <w:color w:val="auto"/>
          <w:sz w:val="22"/>
          <w:lang w:val="en-US"/>
        </w:rPr>
        <w:t xml:space="preserve"> </w:t>
      </w:r>
      <w:r w:rsidR="00F56C8A">
        <w:rPr>
          <w:rFonts w:eastAsia="Gill Sans MT" w:cs="Calibri"/>
          <w:color w:val="auto"/>
          <w:sz w:val="22"/>
          <w:lang w:val="en-US"/>
        </w:rPr>
        <w:t>t</w:t>
      </w:r>
      <w:r w:rsidRPr="00F36279">
        <w:rPr>
          <w:rFonts w:eastAsia="Gill Sans MT" w:cs="Calibri"/>
          <w:color w:val="auto"/>
          <w:sz w:val="22"/>
          <w:lang w:val="en-US"/>
        </w:rPr>
        <w:t xml:space="preserve">he preferred profile is the master’s degree in public health, sociology, anthropology, or equivalent with 7 years’ experience. </w:t>
      </w:r>
    </w:p>
    <w:p w14:paraId="7C880D82" w14:textId="0743F5C7" w:rsidR="00F36279" w:rsidRDefault="00F36279" w:rsidP="00A41CAE">
      <w:pPr>
        <w:pStyle w:val="ListParagraph"/>
        <w:numPr>
          <w:ilvl w:val="0"/>
          <w:numId w:val="72"/>
        </w:numPr>
        <w:spacing w:after="0" w:line="360" w:lineRule="auto"/>
        <w:jc w:val="both"/>
        <w:rPr>
          <w:rFonts w:eastAsia="Gill Sans MT" w:cs="Calibri"/>
          <w:color w:val="auto"/>
          <w:sz w:val="22"/>
          <w:lang w:val="en-US"/>
        </w:rPr>
      </w:pPr>
      <w:r w:rsidRPr="00F36279">
        <w:rPr>
          <w:rFonts w:eastAsia="Gill Sans MT" w:cs="Calibri"/>
          <w:color w:val="auto"/>
          <w:sz w:val="22"/>
          <w:lang w:val="en-US"/>
        </w:rPr>
        <w:t>Minimum 3 years’ experience of working with the community</w:t>
      </w:r>
    </w:p>
    <w:p w14:paraId="55388C9D" w14:textId="537E3906" w:rsidR="00F36279" w:rsidRDefault="00F36279" w:rsidP="00A41CAE">
      <w:pPr>
        <w:pStyle w:val="ListParagraph"/>
        <w:numPr>
          <w:ilvl w:val="0"/>
          <w:numId w:val="60"/>
        </w:numPr>
        <w:spacing w:before="120" w:after="120"/>
        <w:ind w:left="357" w:hanging="357"/>
        <w:contextualSpacing w:val="0"/>
        <w:jc w:val="both"/>
        <w:rPr>
          <w:rFonts w:cs="Calibri"/>
          <w:b/>
          <w:bCs/>
          <w:color w:val="auto"/>
          <w:sz w:val="20"/>
          <w:szCs w:val="20"/>
          <w:lang w:val="en-US"/>
        </w:rPr>
      </w:pPr>
      <w:r w:rsidRPr="00F36279">
        <w:rPr>
          <w:rFonts w:cs="Calibri"/>
          <w:b/>
          <w:bCs/>
          <w:color w:val="auto"/>
          <w:sz w:val="20"/>
          <w:szCs w:val="20"/>
          <w:lang w:val="en-US"/>
        </w:rPr>
        <w:t>Social and Behavior Change (SBC) Agent/Specialist</w:t>
      </w:r>
    </w:p>
    <w:p w14:paraId="2AC87270" w14:textId="328E83C5" w:rsidR="00F36279" w:rsidRPr="00F36279" w:rsidRDefault="00F36279" w:rsidP="00F36279">
      <w:pPr>
        <w:pStyle w:val="ListParagraph"/>
        <w:spacing w:after="0" w:line="360" w:lineRule="auto"/>
        <w:ind w:left="360"/>
        <w:jc w:val="both"/>
        <w:rPr>
          <w:rFonts w:eastAsia="Gill Sans MT" w:cs="Calibri"/>
          <w:color w:val="auto"/>
          <w:sz w:val="22"/>
          <w:lang w:val="en-US"/>
        </w:rPr>
      </w:pPr>
      <w:r w:rsidRPr="00F36279">
        <w:rPr>
          <w:rFonts w:eastAsia="Gill Sans MT" w:cs="Calibri"/>
          <w:color w:val="auto"/>
          <w:sz w:val="22"/>
          <w:lang w:val="en-US"/>
        </w:rPr>
        <w:t xml:space="preserve">The team should include </w:t>
      </w:r>
      <w:r w:rsidR="00F56C8A" w:rsidRPr="00F36279">
        <w:rPr>
          <w:rFonts w:eastAsia="Gill Sans MT" w:cs="Calibri"/>
          <w:color w:val="auto"/>
          <w:sz w:val="22"/>
          <w:lang w:val="en-US"/>
        </w:rPr>
        <w:t>an</w:t>
      </w:r>
      <w:r w:rsidRPr="00F36279">
        <w:rPr>
          <w:rFonts w:eastAsia="Gill Sans MT" w:cs="Calibri"/>
          <w:color w:val="auto"/>
          <w:sz w:val="22"/>
          <w:lang w:val="en-US"/>
        </w:rPr>
        <w:t xml:space="preserve"> SBC Agent who could be a health professional member, a community health expert, a health </w:t>
      </w:r>
      <w:proofErr w:type="gramStart"/>
      <w:r w:rsidRPr="00F36279">
        <w:rPr>
          <w:rFonts w:eastAsia="Gill Sans MT" w:cs="Calibri"/>
          <w:color w:val="auto"/>
          <w:sz w:val="22"/>
          <w:lang w:val="en-US"/>
        </w:rPr>
        <w:t>manager</w:t>
      </w:r>
      <w:proofErr w:type="gramEnd"/>
      <w:r w:rsidRPr="00F36279">
        <w:rPr>
          <w:rFonts w:eastAsia="Gill Sans MT" w:cs="Calibri"/>
          <w:color w:val="auto"/>
          <w:sz w:val="22"/>
          <w:lang w:val="en-US"/>
        </w:rPr>
        <w:t xml:space="preserve"> or another team member who understands </w:t>
      </w:r>
      <w:r w:rsidR="00F56C8A">
        <w:rPr>
          <w:rFonts w:eastAsia="Gill Sans MT" w:cs="Calibri"/>
          <w:color w:val="auto"/>
          <w:sz w:val="22"/>
          <w:lang w:val="en-US"/>
        </w:rPr>
        <w:t xml:space="preserve">social and </w:t>
      </w:r>
      <w:r w:rsidRPr="00F36279">
        <w:rPr>
          <w:rFonts w:eastAsia="Gill Sans MT" w:cs="Calibri"/>
          <w:color w:val="auto"/>
          <w:sz w:val="22"/>
          <w:lang w:val="en-US"/>
        </w:rPr>
        <w:t xml:space="preserve">behavioral sciences, and human interventions and who: </w:t>
      </w:r>
    </w:p>
    <w:p w14:paraId="66DB00C3" w14:textId="77777777" w:rsidR="00F36279" w:rsidRPr="00F36279" w:rsidRDefault="00F36279" w:rsidP="00A41CAE">
      <w:pPr>
        <w:pStyle w:val="ListParagraph"/>
        <w:numPr>
          <w:ilvl w:val="0"/>
          <w:numId w:val="72"/>
        </w:numPr>
        <w:spacing w:after="0" w:line="360" w:lineRule="auto"/>
        <w:jc w:val="both"/>
        <w:rPr>
          <w:rFonts w:eastAsia="Gill Sans MT" w:cs="Calibri"/>
          <w:color w:val="auto"/>
          <w:sz w:val="22"/>
          <w:lang w:val="en-US"/>
        </w:rPr>
      </w:pPr>
      <w:r w:rsidRPr="00F36279">
        <w:rPr>
          <w:rFonts w:eastAsia="Gill Sans MT" w:cs="Calibri"/>
          <w:color w:val="auto"/>
          <w:sz w:val="22"/>
          <w:lang w:val="en-US"/>
        </w:rPr>
        <w:lastRenderedPageBreak/>
        <w:t>Has certificate/training completion on Health Professionals as Agents of Change</w:t>
      </w:r>
    </w:p>
    <w:p w14:paraId="2C5E8222" w14:textId="4023734B" w:rsidR="00F36279" w:rsidRDefault="00F36279" w:rsidP="00A41CAE">
      <w:pPr>
        <w:pStyle w:val="ListParagraph"/>
        <w:numPr>
          <w:ilvl w:val="0"/>
          <w:numId w:val="72"/>
        </w:numPr>
        <w:spacing w:after="0" w:line="360" w:lineRule="auto"/>
        <w:jc w:val="both"/>
        <w:rPr>
          <w:rFonts w:eastAsia="Gill Sans MT" w:cs="Calibri"/>
          <w:color w:val="auto"/>
          <w:sz w:val="22"/>
          <w:lang w:val="en-US"/>
        </w:rPr>
      </w:pPr>
      <w:r w:rsidRPr="00F36279">
        <w:rPr>
          <w:rFonts w:eastAsia="Gill Sans MT" w:cs="Calibri"/>
          <w:color w:val="auto"/>
          <w:sz w:val="22"/>
          <w:lang w:val="en-US"/>
        </w:rPr>
        <w:t>Has proven experience working on personal, social, political, economic, cultural, institutional, and environmental factors that play a critical role in shaping patterns of health and on designing changes factors in various organizational and community settings</w:t>
      </w:r>
    </w:p>
    <w:p w14:paraId="447C3590" w14:textId="124B658B" w:rsidR="00F36279" w:rsidRPr="00F36279" w:rsidRDefault="00F36279" w:rsidP="00F36279">
      <w:pPr>
        <w:spacing w:before="120" w:after="120"/>
        <w:jc w:val="both"/>
        <w:rPr>
          <w:rFonts w:cs="Calibri"/>
          <w:b/>
          <w:bCs/>
          <w:color w:val="auto"/>
          <w:sz w:val="20"/>
          <w:szCs w:val="20"/>
          <w:lang w:val="en-US"/>
        </w:rPr>
      </w:pPr>
      <w:proofErr w:type="gramStart"/>
      <w:r>
        <w:rPr>
          <w:rFonts w:cs="Calibri"/>
          <w:b/>
          <w:bCs/>
          <w:color w:val="auto"/>
          <w:sz w:val="20"/>
          <w:szCs w:val="20"/>
          <w:lang w:val="en-US"/>
        </w:rPr>
        <w:t>Other</w:t>
      </w:r>
      <w:proofErr w:type="gramEnd"/>
      <w:r>
        <w:rPr>
          <w:rFonts w:cs="Calibri"/>
          <w:b/>
          <w:bCs/>
          <w:color w:val="auto"/>
          <w:sz w:val="20"/>
          <w:szCs w:val="20"/>
          <w:lang w:val="en-US"/>
        </w:rPr>
        <w:t xml:space="preserve"> requirement</w:t>
      </w:r>
    </w:p>
    <w:p w14:paraId="57B95ECD" w14:textId="42B9FD47" w:rsidR="00F36279" w:rsidRPr="00F36279" w:rsidRDefault="00F36279" w:rsidP="00F36279">
      <w:pPr>
        <w:spacing w:after="0" w:line="360" w:lineRule="auto"/>
        <w:jc w:val="both"/>
        <w:rPr>
          <w:rFonts w:eastAsia="Gill Sans MT" w:cs="Calibri"/>
          <w:color w:val="auto"/>
          <w:sz w:val="22"/>
          <w:lang w:val="en-US"/>
        </w:rPr>
      </w:pPr>
      <w:r w:rsidRPr="00F36279">
        <w:rPr>
          <w:rFonts w:eastAsia="Gill Sans MT" w:cs="Calibri"/>
          <w:color w:val="auto"/>
          <w:sz w:val="22"/>
          <w:lang w:val="en-US"/>
        </w:rPr>
        <w:t>Minimum one team member should have an advanced level of Kinyarwanda (writing and speaking)</w:t>
      </w:r>
    </w:p>
    <w:p w14:paraId="76E68B94" w14:textId="4757246C" w:rsidR="00A41CAE" w:rsidRPr="00A41CAE" w:rsidRDefault="00A41CAE" w:rsidP="00A41CAE">
      <w:pPr>
        <w:spacing w:after="0" w:line="264" w:lineRule="auto"/>
        <w:jc w:val="both"/>
        <w:rPr>
          <w:rFonts w:eastAsia="Times New Roman" w:cs="Calibri"/>
          <w:color w:val="auto"/>
          <w:sz w:val="22"/>
          <w:lang w:val="en-US"/>
        </w:rPr>
      </w:pPr>
    </w:p>
    <w:p w14:paraId="3B218AF5" w14:textId="77777777" w:rsidR="004F07DF" w:rsidRPr="00F64165" w:rsidRDefault="004F07DF" w:rsidP="00A41CAE">
      <w:pPr>
        <w:pStyle w:val="ListParagraph"/>
        <w:numPr>
          <w:ilvl w:val="1"/>
          <w:numId w:val="57"/>
        </w:numPr>
        <w:spacing w:after="0" w:line="264" w:lineRule="auto"/>
        <w:contextualSpacing w:val="0"/>
        <w:jc w:val="both"/>
        <w:rPr>
          <w:rFonts w:eastAsia="Times New Roman" w:cs="Calibri"/>
          <w:color w:val="auto"/>
          <w:sz w:val="22"/>
          <w:lang w:val="en-US"/>
        </w:rPr>
        <w:sectPr w:rsidR="004F07DF" w:rsidRPr="00F64165" w:rsidSect="004223E4">
          <w:pgSz w:w="11906" w:h="16838"/>
          <w:pgMar w:top="993" w:right="1133" w:bottom="851" w:left="1871" w:header="709" w:footer="709" w:gutter="0"/>
          <w:cols w:space="708"/>
          <w:titlePg/>
          <w:docGrid w:linePitch="360"/>
        </w:sectPr>
      </w:pPr>
    </w:p>
    <w:p w14:paraId="10DCB3E5" w14:textId="77777777" w:rsidR="004F07DF" w:rsidRDefault="004F07DF" w:rsidP="004F07DF">
      <w:pPr>
        <w:pStyle w:val="Heading1"/>
        <w:numPr>
          <w:ilvl w:val="0"/>
          <w:numId w:val="5"/>
        </w:numPr>
      </w:pPr>
      <w:bookmarkStart w:id="173" w:name="_Toc117027528"/>
      <w:r w:rsidRPr="003658B5">
        <w:lastRenderedPageBreak/>
        <w:t>Forms</w:t>
      </w:r>
      <w:bookmarkEnd w:id="173"/>
    </w:p>
    <w:p w14:paraId="7DEE1854" w14:textId="77777777" w:rsidR="004F07DF" w:rsidRPr="004145B4" w:rsidRDefault="004F07DF" w:rsidP="004F07DF">
      <w:pPr>
        <w:pStyle w:val="Heading2"/>
        <w:numPr>
          <w:ilvl w:val="0"/>
          <w:numId w:val="0"/>
        </w:numPr>
        <w:ind w:left="576" w:hanging="576"/>
      </w:pPr>
      <w:bookmarkStart w:id="174" w:name="_Toc51601704"/>
      <w:bookmarkStart w:id="175" w:name="_Toc117027529"/>
      <w:r>
        <w:t>6.1. Identification forms</w:t>
      </w:r>
      <w:bookmarkEnd w:id="174"/>
      <w:bookmarkEnd w:id="175"/>
      <w:r>
        <w:t xml:space="preserve"> </w:t>
      </w:r>
    </w:p>
    <w:p w14:paraId="32283AF0" w14:textId="77777777" w:rsidR="004F07DF" w:rsidRDefault="004F07DF" w:rsidP="004F07DF">
      <w:pPr>
        <w:pStyle w:val="Heading3"/>
        <w:numPr>
          <w:ilvl w:val="2"/>
          <w:numId w:val="56"/>
        </w:numPr>
      </w:pPr>
      <w:bookmarkStart w:id="176" w:name="_Toc51601705"/>
      <w:bookmarkStart w:id="177" w:name="_Toc117027530"/>
      <w:r>
        <w:t>Natural person</w:t>
      </w:r>
      <w:bookmarkEnd w:id="176"/>
      <w:bookmarkEnd w:id="177"/>
    </w:p>
    <w:p w14:paraId="4C69DCBB" w14:textId="77777777" w:rsidR="004F07DF" w:rsidRPr="00F85FBA" w:rsidRDefault="004F07DF" w:rsidP="004F07DF">
      <w:pPr>
        <w:pStyle w:val="BodyText"/>
        <w:jc w:val="left"/>
        <w:rPr>
          <w:rFonts w:ascii="Georgia" w:hAnsi="Georgia"/>
          <w:lang w:val="en-US"/>
        </w:rPr>
      </w:pPr>
      <w:r w:rsidRPr="00F85FBA">
        <w:rPr>
          <w:rFonts w:ascii="Georgia" w:hAnsi="Georgia"/>
          <w:lang w:val="en-US"/>
        </w:rPr>
        <w:t xml:space="preserve">To fill the form, please click here: </w:t>
      </w:r>
      <w:r w:rsidRPr="00BD2E3B">
        <w:rPr>
          <w:rFonts w:ascii="Georgia" w:hAnsi="Georgia"/>
          <w:lang w:val="en-US"/>
        </w:rPr>
        <w:t>https://documentcloud.adobe.com/link/track?uri=urn:aaid:scds:US:e15a7f59-9a3c-4072-89ac-deb89f513e1c</w:t>
      </w:r>
    </w:p>
    <w:tbl>
      <w:tblPr>
        <w:tblW w:w="9464" w:type="dxa"/>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7"/>
        <w:gridCol w:w="2074"/>
        <w:gridCol w:w="1866"/>
        <w:gridCol w:w="2977"/>
      </w:tblGrid>
      <w:tr w:rsidR="004F07DF" w:rsidRPr="00C94CF0" w14:paraId="3BB5A49F" w14:textId="77777777" w:rsidTr="009F6F46">
        <w:trPr>
          <w:trHeight w:val="5763"/>
        </w:trPr>
        <w:tc>
          <w:tcPr>
            <w:tcW w:w="9464" w:type="dxa"/>
            <w:gridSpan w:val="4"/>
            <w:tcBorders>
              <w:bottom w:val="single" w:sz="4" w:space="0" w:color="auto"/>
            </w:tcBorders>
            <w:shd w:val="clear" w:color="auto" w:fill="auto"/>
            <w:vAlign w:val="center"/>
          </w:tcPr>
          <w:p w14:paraId="1445E015" w14:textId="77777777" w:rsidR="004F07DF" w:rsidRPr="000D5519" w:rsidRDefault="004F07DF" w:rsidP="009F6F46">
            <w:pPr>
              <w:spacing w:after="200"/>
              <w:rPr>
                <w:b/>
                <w:bCs/>
                <w:sz w:val="18"/>
                <w:szCs w:val="18"/>
                <w:lang w:val="en-US"/>
              </w:rPr>
            </w:pPr>
            <w:r w:rsidRPr="000D5519">
              <w:rPr>
                <w:b/>
                <w:sz w:val="18"/>
                <w:szCs w:val="18"/>
                <w:u w:val="single"/>
                <w:lang w:val="en-US"/>
              </w:rPr>
              <w:br w:type="page"/>
            </w:r>
            <w:r w:rsidRPr="000D5519">
              <w:rPr>
                <w:b/>
                <w:lang w:val="en-US"/>
              </w:rPr>
              <w:t>I. PERSONAL DATA</w:t>
            </w:r>
          </w:p>
          <w:p w14:paraId="57B2398E" w14:textId="77777777" w:rsidR="004F07DF" w:rsidRPr="000D5519" w:rsidRDefault="004F07DF" w:rsidP="009F6F46">
            <w:pPr>
              <w:spacing w:after="200"/>
              <w:rPr>
                <w:sz w:val="16"/>
                <w:szCs w:val="16"/>
                <w:lang w:val="en-US"/>
              </w:rPr>
            </w:pPr>
            <w:r w:rsidRPr="000D5519">
              <w:rPr>
                <w:b/>
                <w:sz w:val="16"/>
                <w:szCs w:val="16"/>
                <w:lang w:val="en-US"/>
              </w:rPr>
              <w:t>FAMILY NAME(S)</w:t>
            </w:r>
            <w:r w:rsidRPr="000D5519">
              <w:rPr>
                <w:rFonts w:ascii="Cambria Math" w:hAnsi="Cambria Math" w:cs="Cambria Math"/>
                <w:b/>
                <w:sz w:val="16"/>
                <w:szCs w:val="16"/>
                <w:lang w:val="en-US"/>
              </w:rPr>
              <w:t>①</w:t>
            </w:r>
            <w:r w:rsidRPr="000D5519">
              <w:rPr>
                <w:b/>
                <w:sz w:val="16"/>
                <w:szCs w:val="16"/>
                <w:lang w:val="fr-BE"/>
              </w:rPr>
              <w:fldChar w:fldCharType="begin"/>
            </w:r>
            <w:r w:rsidRPr="000D5519">
              <w:rPr>
                <w:b/>
                <w:sz w:val="16"/>
                <w:szCs w:val="16"/>
                <w:lang w:val="en-US"/>
              </w:rPr>
              <w:instrText xml:space="preserve"> AUTOTEXT  " Zone de texte simple"  \* MERGEFORMAT </w:instrText>
            </w:r>
            <w:r w:rsidRPr="000D5519">
              <w:rPr>
                <w:sz w:val="16"/>
                <w:szCs w:val="16"/>
                <w:lang w:val="fr-BE"/>
              </w:rPr>
              <w:fldChar w:fldCharType="end"/>
            </w:r>
          </w:p>
          <w:p w14:paraId="6B56D1B4" w14:textId="77777777" w:rsidR="004F07DF" w:rsidRPr="000D5519" w:rsidRDefault="004F07DF" w:rsidP="009F6F46">
            <w:pPr>
              <w:spacing w:after="200"/>
              <w:rPr>
                <w:b/>
                <w:sz w:val="16"/>
                <w:szCs w:val="16"/>
                <w:lang w:val="en-US"/>
              </w:rPr>
            </w:pPr>
            <w:r w:rsidRPr="000D5519">
              <w:rPr>
                <w:b/>
                <w:sz w:val="16"/>
                <w:szCs w:val="16"/>
                <w:lang w:val="en-US"/>
              </w:rPr>
              <w:t>FIRST NAME(S)</w:t>
            </w:r>
            <w:r w:rsidRPr="000D5519">
              <w:rPr>
                <w:rFonts w:ascii="Cambria Math" w:hAnsi="Cambria Math" w:cs="Cambria Math"/>
                <w:b/>
                <w:sz w:val="16"/>
                <w:szCs w:val="16"/>
                <w:lang w:val="en-US"/>
              </w:rPr>
              <w:t>①</w:t>
            </w:r>
          </w:p>
          <w:p w14:paraId="7CB7CD6A" w14:textId="77777777" w:rsidR="004F07DF" w:rsidRPr="000D5519" w:rsidRDefault="004F07DF" w:rsidP="009F6F46">
            <w:pPr>
              <w:tabs>
                <w:tab w:val="left" w:pos="1134"/>
                <w:tab w:val="left" w:pos="1560"/>
                <w:tab w:val="left" w:pos="2268"/>
              </w:tabs>
              <w:spacing w:after="200"/>
              <w:rPr>
                <w:b/>
                <w:sz w:val="16"/>
                <w:szCs w:val="16"/>
                <w:lang w:val="en-US"/>
              </w:rPr>
            </w:pPr>
            <w:r w:rsidRPr="000D5519">
              <w:rPr>
                <w:b/>
                <w:sz w:val="16"/>
                <w:szCs w:val="16"/>
                <w:lang w:val="en-US"/>
              </w:rPr>
              <w:t>DATE OF BIRTH</w:t>
            </w:r>
          </w:p>
          <w:p w14:paraId="3250526C" w14:textId="77777777" w:rsidR="004F07DF" w:rsidRPr="000D5519" w:rsidRDefault="004F07DF" w:rsidP="009F6F46">
            <w:pPr>
              <w:tabs>
                <w:tab w:val="left" w:pos="1134"/>
                <w:tab w:val="left" w:pos="1560"/>
                <w:tab w:val="left" w:pos="2268"/>
              </w:tabs>
              <w:spacing w:after="200"/>
              <w:jc w:val="both"/>
              <w:rPr>
                <w:sz w:val="16"/>
                <w:szCs w:val="16"/>
                <w:lang w:val="en-US"/>
              </w:rPr>
            </w:pPr>
            <w:r w:rsidRPr="000D5519">
              <w:rPr>
                <w:b/>
                <w:sz w:val="16"/>
                <w:szCs w:val="16"/>
                <w:lang w:val="en-US"/>
              </w:rPr>
              <w:t>JJ</w:t>
            </w:r>
            <w:r w:rsidRPr="000D5519">
              <w:rPr>
                <w:b/>
                <w:sz w:val="16"/>
                <w:szCs w:val="16"/>
                <w:lang w:val="en-US"/>
              </w:rPr>
              <w:tab/>
              <w:t xml:space="preserve">    MM</w:t>
            </w:r>
            <w:r w:rsidRPr="000D5519">
              <w:rPr>
                <w:b/>
                <w:sz w:val="16"/>
                <w:szCs w:val="16"/>
                <w:lang w:val="en-US"/>
              </w:rPr>
              <w:tab/>
              <w:t>YYYY</w:t>
            </w:r>
          </w:p>
          <w:p w14:paraId="4E76B6E6" w14:textId="77777777" w:rsidR="004F07DF" w:rsidRPr="000D5519" w:rsidRDefault="004F07DF" w:rsidP="009F6F46">
            <w:pPr>
              <w:spacing w:after="200"/>
              <w:rPr>
                <w:sz w:val="16"/>
                <w:szCs w:val="16"/>
                <w:lang w:val="en-US"/>
              </w:rPr>
            </w:pPr>
            <w:r w:rsidRPr="000D5519">
              <w:rPr>
                <w:b/>
                <w:sz w:val="16"/>
                <w:szCs w:val="16"/>
                <w:lang w:val="en-US"/>
              </w:rPr>
              <w:t>PLACE OF BIRTH</w:t>
            </w:r>
            <w:r w:rsidRPr="000D5519">
              <w:rPr>
                <w:b/>
                <w:sz w:val="16"/>
                <w:szCs w:val="16"/>
                <w:lang w:val="en-US"/>
              </w:rPr>
              <w:tab/>
            </w:r>
            <w:r w:rsidRPr="000D5519">
              <w:rPr>
                <w:b/>
                <w:sz w:val="16"/>
                <w:szCs w:val="16"/>
                <w:lang w:val="en-US"/>
              </w:rPr>
              <w:tab/>
              <w:t>COUNTRY OF BIRTH</w:t>
            </w:r>
            <w:r w:rsidRPr="000D5519">
              <w:rPr>
                <w:b/>
                <w:sz w:val="16"/>
                <w:szCs w:val="16"/>
                <w:lang w:val="en-US"/>
              </w:rPr>
              <w:br/>
              <w:t>(CITY, VILLAGE)</w:t>
            </w:r>
          </w:p>
          <w:p w14:paraId="3B538234" w14:textId="77777777" w:rsidR="004F07DF" w:rsidRPr="000D5519" w:rsidRDefault="004F07DF" w:rsidP="009F6F46">
            <w:pPr>
              <w:spacing w:after="200"/>
              <w:rPr>
                <w:b/>
                <w:sz w:val="16"/>
                <w:szCs w:val="16"/>
                <w:lang w:val="en-US"/>
              </w:rPr>
            </w:pPr>
            <w:r w:rsidRPr="000D5519">
              <w:rPr>
                <w:b/>
                <w:sz w:val="16"/>
                <w:szCs w:val="16"/>
                <w:lang w:val="en-US"/>
              </w:rPr>
              <w:t>TYPE OF IDENTITY DOCUMENT</w:t>
            </w:r>
          </w:p>
          <w:p w14:paraId="0DB6C6E8" w14:textId="77777777" w:rsidR="004F07DF" w:rsidRPr="000D5519" w:rsidRDefault="004F07DF" w:rsidP="009F6F46">
            <w:pPr>
              <w:spacing w:after="200"/>
              <w:rPr>
                <w:b/>
                <w:sz w:val="16"/>
                <w:szCs w:val="16"/>
                <w:lang w:val="en-US"/>
              </w:rPr>
            </w:pPr>
            <w:r w:rsidRPr="000D5519">
              <w:rPr>
                <w:b/>
                <w:sz w:val="16"/>
                <w:szCs w:val="16"/>
                <w:lang w:val="en-US"/>
              </w:rPr>
              <w:tab/>
              <w:t>IDENTITY CARD</w:t>
            </w:r>
            <w:r w:rsidRPr="000D5519">
              <w:rPr>
                <w:b/>
                <w:sz w:val="16"/>
                <w:szCs w:val="16"/>
                <w:lang w:val="en-US"/>
              </w:rPr>
              <w:tab/>
            </w:r>
            <w:r w:rsidRPr="000D5519">
              <w:rPr>
                <w:b/>
                <w:sz w:val="16"/>
                <w:szCs w:val="16"/>
                <w:lang w:val="en-US"/>
              </w:rPr>
              <w:tab/>
              <w:t>PASSPORT</w:t>
            </w:r>
            <w:r w:rsidRPr="000D5519">
              <w:rPr>
                <w:b/>
                <w:sz w:val="16"/>
                <w:szCs w:val="16"/>
                <w:lang w:val="en-US"/>
              </w:rPr>
              <w:tab/>
              <w:t>DRIVING LICENCE</w:t>
            </w:r>
            <w:r w:rsidRPr="000D5519">
              <w:rPr>
                <w:rFonts w:ascii="Cambria Math" w:hAnsi="Cambria Math" w:cs="Cambria Math"/>
                <w:b/>
                <w:sz w:val="16"/>
                <w:szCs w:val="16"/>
                <w:lang w:val="en-US"/>
              </w:rPr>
              <w:t>②</w:t>
            </w:r>
            <w:r w:rsidRPr="000D5519">
              <w:rPr>
                <w:b/>
                <w:sz w:val="16"/>
                <w:szCs w:val="16"/>
                <w:lang w:val="en-US"/>
              </w:rPr>
              <w:tab/>
              <w:t>OTHER</w:t>
            </w:r>
            <w:r w:rsidRPr="000D5519">
              <w:rPr>
                <w:rFonts w:ascii="Cambria Math" w:hAnsi="Cambria Math" w:cs="Cambria Math"/>
                <w:b/>
                <w:sz w:val="16"/>
                <w:szCs w:val="16"/>
                <w:lang w:val="en-US"/>
              </w:rPr>
              <w:t>③</w:t>
            </w:r>
          </w:p>
          <w:p w14:paraId="37F966BB" w14:textId="77777777" w:rsidR="004F07DF" w:rsidRPr="000D5519" w:rsidRDefault="004F07DF" w:rsidP="009F6F46">
            <w:pPr>
              <w:spacing w:after="200"/>
              <w:rPr>
                <w:sz w:val="16"/>
                <w:szCs w:val="16"/>
                <w:lang w:val="en-US"/>
              </w:rPr>
            </w:pPr>
            <w:r w:rsidRPr="000D5519">
              <w:rPr>
                <w:b/>
                <w:sz w:val="16"/>
                <w:szCs w:val="16"/>
                <w:lang w:val="en-US"/>
              </w:rPr>
              <w:t>ISSUING COUNTRY</w:t>
            </w:r>
          </w:p>
          <w:p w14:paraId="75E6F377" w14:textId="77777777" w:rsidR="004F07DF" w:rsidRPr="000D5519" w:rsidRDefault="004F07DF" w:rsidP="009F6F46">
            <w:pPr>
              <w:spacing w:after="200"/>
              <w:rPr>
                <w:sz w:val="16"/>
                <w:szCs w:val="16"/>
                <w:lang w:val="en-US"/>
              </w:rPr>
            </w:pPr>
            <w:r w:rsidRPr="000D5519">
              <w:rPr>
                <w:b/>
                <w:sz w:val="16"/>
                <w:szCs w:val="16"/>
                <w:lang w:val="en-US"/>
              </w:rPr>
              <w:t>IDENTITY DOCUMENT NUMBER</w:t>
            </w:r>
          </w:p>
          <w:p w14:paraId="38170CC6" w14:textId="77777777" w:rsidR="004F07DF" w:rsidRPr="000D5519" w:rsidRDefault="004F07DF" w:rsidP="009F6F46">
            <w:pPr>
              <w:spacing w:after="200"/>
              <w:rPr>
                <w:sz w:val="16"/>
                <w:szCs w:val="16"/>
                <w:lang w:val="en-US"/>
              </w:rPr>
            </w:pPr>
            <w:r w:rsidRPr="000D5519">
              <w:rPr>
                <w:b/>
                <w:sz w:val="16"/>
                <w:szCs w:val="16"/>
                <w:lang w:val="en-US"/>
              </w:rPr>
              <w:t>PERSONAL IDENTIFICATION NUMBER</w:t>
            </w:r>
            <w:r w:rsidRPr="000D5519">
              <w:rPr>
                <w:rFonts w:ascii="Cambria Math" w:hAnsi="Cambria Math" w:cs="Cambria Math"/>
                <w:b/>
                <w:bCs/>
                <w:sz w:val="16"/>
                <w:szCs w:val="16"/>
                <w:lang w:val="en-US"/>
              </w:rPr>
              <w:t>④</w:t>
            </w:r>
          </w:p>
          <w:p w14:paraId="6751DB2C" w14:textId="77777777" w:rsidR="004F07DF" w:rsidRPr="000D5519" w:rsidRDefault="004F07DF" w:rsidP="009F6F46">
            <w:pPr>
              <w:spacing w:after="200"/>
              <w:rPr>
                <w:b/>
                <w:sz w:val="16"/>
                <w:szCs w:val="16"/>
                <w:lang w:val="en-US"/>
              </w:rPr>
            </w:pPr>
            <w:r w:rsidRPr="000D5519">
              <w:rPr>
                <w:b/>
                <w:sz w:val="16"/>
                <w:szCs w:val="16"/>
                <w:lang w:val="en-US"/>
              </w:rPr>
              <w:t xml:space="preserve">PERMANENT </w:t>
            </w:r>
            <w:r w:rsidRPr="000D5519">
              <w:rPr>
                <w:b/>
                <w:sz w:val="16"/>
                <w:szCs w:val="16"/>
                <w:lang w:val="en-US"/>
              </w:rPr>
              <w:br/>
              <w:t>PRIVATE ADRESS</w:t>
            </w:r>
          </w:p>
          <w:p w14:paraId="4A521F9E" w14:textId="77777777" w:rsidR="004F07DF" w:rsidRPr="000D5519" w:rsidRDefault="004F07DF" w:rsidP="009F6F46">
            <w:pPr>
              <w:spacing w:after="200"/>
              <w:rPr>
                <w:b/>
                <w:sz w:val="16"/>
                <w:szCs w:val="16"/>
                <w:lang w:val="en-US"/>
              </w:rPr>
            </w:pPr>
            <w:r w:rsidRPr="000D5519">
              <w:rPr>
                <w:b/>
                <w:sz w:val="16"/>
                <w:szCs w:val="16"/>
                <w:lang w:val="en-US"/>
              </w:rPr>
              <w:t>POSTCODE</w:t>
            </w:r>
            <w:r w:rsidRPr="000D5519">
              <w:rPr>
                <w:b/>
                <w:sz w:val="16"/>
                <w:szCs w:val="16"/>
                <w:lang w:val="en-US"/>
              </w:rPr>
              <w:tab/>
            </w:r>
            <w:r w:rsidRPr="000D5519">
              <w:rPr>
                <w:b/>
                <w:sz w:val="16"/>
                <w:szCs w:val="16"/>
                <w:lang w:val="en-US"/>
              </w:rPr>
              <w:tab/>
            </w:r>
            <w:r w:rsidRPr="000D5519">
              <w:rPr>
                <w:b/>
                <w:sz w:val="16"/>
                <w:szCs w:val="16"/>
                <w:lang w:val="en-US"/>
              </w:rPr>
              <w:tab/>
              <w:t>P.O. BOX</w:t>
            </w:r>
            <w:r w:rsidRPr="000D5519">
              <w:rPr>
                <w:b/>
                <w:sz w:val="16"/>
                <w:szCs w:val="16"/>
                <w:lang w:val="en-US"/>
              </w:rPr>
              <w:tab/>
            </w:r>
            <w:r w:rsidRPr="000D5519">
              <w:rPr>
                <w:b/>
                <w:sz w:val="16"/>
                <w:szCs w:val="16"/>
                <w:lang w:val="en-US"/>
              </w:rPr>
              <w:tab/>
            </w:r>
            <w:r w:rsidRPr="000D5519">
              <w:rPr>
                <w:b/>
                <w:sz w:val="16"/>
                <w:szCs w:val="16"/>
                <w:lang w:val="en-US"/>
              </w:rPr>
              <w:tab/>
            </w:r>
            <w:r w:rsidRPr="000D5519">
              <w:rPr>
                <w:b/>
                <w:sz w:val="16"/>
                <w:szCs w:val="16"/>
                <w:lang w:val="en-US"/>
              </w:rPr>
              <w:tab/>
              <w:t>CITY</w:t>
            </w:r>
          </w:p>
          <w:p w14:paraId="4B93DB2C" w14:textId="77777777" w:rsidR="004F07DF" w:rsidRPr="000D5519" w:rsidRDefault="004F07DF" w:rsidP="009F6F46">
            <w:pPr>
              <w:spacing w:after="200"/>
              <w:rPr>
                <w:b/>
                <w:sz w:val="16"/>
                <w:szCs w:val="16"/>
                <w:lang w:val="en-US"/>
              </w:rPr>
            </w:pPr>
            <w:r w:rsidRPr="000D5519">
              <w:rPr>
                <w:b/>
                <w:sz w:val="16"/>
                <w:szCs w:val="16"/>
                <w:lang w:val="en-US"/>
              </w:rPr>
              <w:t xml:space="preserve">REGION </w:t>
            </w:r>
            <w:r w:rsidRPr="000D5519">
              <w:rPr>
                <w:rFonts w:ascii="Cambria Math" w:hAnsi="Cambria Math" w:cs="Cambria Math"/>
                <w:b/>
                <w:sz w:val="16"/>
                <w:szCs w:val="16"/>
                <w:lang w:val="en-US"/>
              </w:rPr>
              <w:t>⑤</w:t>
            </w:r>
            <w:r w:rsidRPr="000D5519">
              <w:rPr>
                <w:b/>
                <w:sz w:val="16"/>
                <w:szCs w:val="16"/>
                <w:lang w:val="en-US"/>
              </w:rPr>
              <w:tab/>
            </w:r>
            <w:r w:rsidRPr="000D5519">
              <w:rPr>
                <w:b/>
                <w:sz w:val="16"/>
                <w:szCs w:val="16"/>
                <w:lang w:val="en-US"/>
              </w:rPr>
              <w:tab/>
            </w:r>
            <w:r w:rsidRPr="000D5519">
              <w:rPr>
                <w:b/>
                <w:sz w:val="16"/>
                <w:szCs w:val="16"/>
                <w:lang w:val="en-US"/>
              </w:rPr>
              <w:tab/>
            </w:r>
            <w:r w:rsidRPr="000D5519">
              <w:rPr>
                <w:b/>
                <w:sz w:val="16"/>
                <w:szCs w:val="16"/>
                <w:lang w:val="en-US"/>
              </w:rPr>
              <w:tab/>
            </w:r>
            <w:r w:rsidRPr="000D5519">
              <w:rPr>
                <w:b/>
                <w:sz w:val="16"/>
                <w:szCs w:val="16"/>
                <w:lang w:val="en-US"/>
              </w:rPr>
              <w:tab/>
            </w:r>
            <w:r w:rsidRPr="000D5519">
              <w:rPr>
                <w:b/>
                <w:sz w:val="16"/>
                <w:szCs w:val="16"/>
                <w:lang w:val="en-US"/>
              </w:rPr>
              <w:tab/>
              <w:t>COUNTRY</w:t>
            </w:r>
          </w:p>
          <w:p w14:paraId="024BFA9C" w14:textId="77777777" w:rsidR="004F07DF" w:rsidRPr="000D5519" w:rsidRDefault="004F07DF" w:rsidP="009F6F46">
            <w:pPr>
              <w:spacing w:after="200"/>
              <w:rPr>
                <w:b/>
                <w:sz w:val="16"/>
                <w:szCs w:val="16"/>
                <w:lang w:val="fr-BE"/>
              </w:rPr>
            </w:pPr>
            <w:r w:rsidRPr="000D5519">
              <w:rPr>
                <w:b/>
                <w:sz w:val="16"/>
                <w:szCs w:val="16"/>
                <w:lang w:val="fr-BE"/>
              </w:rPr>
              <w:t>PRIVATE PHONE</w:t>
            </w:r>
          </w:p>
          <w:p w14:paraId="37D9DB0F" w14:textId="77777777" w:rsidR="004F07DF" w:rsidRPr="000D5519" w:rsidRDefault="004F07DF" w:rsidP="009F6F46">
            <w:pPr>
              <w:spacing w:after="200"/>
              <w:rPr>
                <w:b/>
                <w:sz w:val="18"/>
                <w:szCs w:val="18"/>
                <w:u w:val="single"/>
                <w:lang w:val="fr-BE"/>
              </w:rPr>
            </w:pPr>
            <w:r w:rsidRPr="000D5519">
              <w:rPr>
                <w:b/>
                <w:sz w:val="16"/>
                <w:szCs w:val="16"/>
                <w:lang w:val="fr-BE"/>
              </w:rPr>
              <w:t xml:space="preserve">PRIVATE </w:t>
            </w:r>
            <w:proofErr w:type="gramStart"/>
            <w:r w:rsidRPr="000D5519">
              <w:rPr>
                <w:b/>
                <w:sz w:val="16"/>
                <w:szCs w:val="16"/>
                <w:lang w:val="fr-BE"/>
              </w:rPr>
              <w:t>E-MAIL</w:t>
            </w:r>
            <w:proofErr w:type="gramEnd"/>
          </w:p>
        </w:tc>
      </w:tr>
      <w:tr w:rsidR="004F07DF" w:rsidRPr="00B60BD0" w14:paraId="3606F78B" w14:textId="77777777" w:rsidTr="009F6F46">
        <w:trPr>
          <w:trHeight w:val="298"/>
        </w:trPr>
        <w:tc>
          <w:tcPr>
            <w:tcW w:w="4621" w:type="dxa"/>
            <w:gridSpan w:val="2"/>
            <w:tcBorders>
              <w:top w:val="single" w:sz="4" w:space="0" w:color="auto"/>
            </w:tcBorders>
            <w:shd w:val="clear" w:color="auto" w:fill="auto"/>
            <w:vAlign w:val="center"/>
          </w:tcPr>
          <w:p w14:paraId="42792DE5" w14:textId="77777777" w:rsidR="004F07DF" w:rsidRPr="000D5519" w:rsidRDefault="004F07DF" w:rsidP="009F6F46">
            <w:pPr>
              <w:spacing w:after="200"/>
              <w:rPr>
                <w:b/>
                <w:bCs/>
                <w:sz w:val="18"/>
                <w:szCs w:val="18"/>
                <w:lang w:val="fr-BE"/>
              </w:rPr>
            </w:pPr>
            <w:r w:rsidRPr="000D5519">
              <w:rPr>
                <w:b/>
                <w:lang w:val="fr-BE"/>
              </w:rPr>
              <w:t>II. BUSINESS DATA</w:t>
            </w:r>
            <w:r w:rsidRPr="000D5519">
              <w:rPr>
                <w:b/>
                <w:sz w:val="18"/>
                <w:szCs w:val="18"/>
                <w:lang w:val="fr-BE"/>
              </w:rPr>
              <w:tab/>
            </w:r>
          </w:p>
        </w:tc>
        <w:tc>
          <w:tcPr>
            <w:tcW w:w="4843" w:type="dxa"/>
            <w:gridSpan w:val="2"/>
            <w:tcBorders>
              <w:top w:val="single" w:sz="4" w:space="0" w:color="auto"/>
            </w:tcBorders>
            <w:shd w:val="clear" w:color="auto" w:fill="auto"/>
          </w:tcPr>
          <w:p w14:paraId="3DE284A1" w14:textId="77777777" w:rsidR="004F07DF" w:rsidRPr="000D5519" w:rsidRDefault="004F07DF" w:rsidP="009F6F46">
            <w:pPr>
              <w:rPr>
                <w:sz w:val="18"/>
                <w:szCs w:val="18"/>
                <w:u w:val="single"/>
                <w:lang w:val="en-US"/>
              </w:rPr>
            </w:pPr>
            <w:r w:rsidRPr="000D5519">
              <w:rPr>
                <w:sz w:val="18"/>
                <w:szCs w:val="18"/>
                <w:lang w:val="en-US"/>
              </w:rPr>
              <w:t>If YES, please provide business data and attach copies of official supporting documents</w:t>
            </w:r>
          </w:p>
        </w:tc>
      </w:tr>
      <w:tr w:rsidR="004F07DF" w:rsidRPr="00C94CF0" w14:paraId="183CB20A" w14:textId="77777777" w:rsidTr="009F6F46">
        <w:trPr>
          <w:trHeight w:val="2330"/>
        </w:trPr>
        <w:tc>
          <w:tcPr>
            <w:tcW w:w="2547" w:type="dxa"/>
            <w:tcBorders>
              <w:top w:val="single" w:sz="4" w:space="0" w:color="auto"/>
              <w:bottom w:val="single" w:sz="4" w:space="0" w:color="auto"/>
              <w:right w:val="single" w:sz="4" w:space="0" w:color="auto"/>
            </w:tcBorders>
            <w:shd w:val="clear" w:color="auto" w:fill="auto"/>
          </w:tcPr>
          <w:p w14:paraId="44536E48" w14:textId="77777777" w:rsidR="004F07DF" w:rsidRPr="000D5519" w:rsidRDefault="004F07DF" w:rsidP="009F6F46">
            <w:pPr>
              <w:spacing w:after="200"/>
              <w:rPr>
                <w:bCs/>
                <w:sz w:val="16"/>
                <w:szCs w:val="16"/>
                <w:lang w:val="en-US"/>
              </w:rPr>
            </w:pPr>
            <w:r w:rsidRPr="000D5519">
              <w:rPr>
                <w:bCs/>
                <w:sz w:val="16"/>
                <w:szCs w:val="16"/>
                <w:lang w:val="en-US"/>
              </w:rPr>
              <w:t>Do you run your own business without a separate legal personality (</w:t>
            </w:r>
            <w:proofErr w:type="gramStart"/>
            <w:r w:rsidRPr="000D5519">
              <w:rPr>
                <w:bCs/>
                <w:sz w:val="16"/>
                <w:szCs w:val="16"/>
                <w:lang w:val="en-US"/>
              </w:rPr>
              <w:t>e.g.</w:t>
            </w:r>
            <w:proofErr w:type="gramEnd"/>
            <w:r w:rsidRPr="000D5519">
              <w:rPr>
                <w:bCs/>
                <w:sz w:val="16"/>
                <w:szCs w:val="16"/>
                <w:lang w:val="en-US"/>
              </w:rPr>
              <w:t xml:space="preserve"> sole traders, self-employed etc.)  and you provide as such services to the Commission, other Institutions, Agencies and EU-</w:t>
            </w:r>
            <w:proofErr w:type="gramStart"/>
            <w:r w:rsidRPr="000D5519">
              <w:rPr>
                <w:bCs/>
                <w:sz w:val="16"/>
                <w:szCs w:val="16"/>
                <w:lang w:val="en-US"/>
              </w:rPr>
              <w:t>Bodies ?</w:t>
            </w:r>
            <w:proofErr w:type="gramEnd"/>
            <w:r w:rsidRPr="000D5519">
              <w:rPr>
                <w:bCs/>
                <w:sz w:val="16"/>
                <w:szCs w:val="16"/>
                <w:lang w:val="en-US"/>
              </w:rPr>
              <w:t xml:space="preserve"> </w:t>
            </w:r>
          </w:p>
          <w:p w14:paraId="4FBA9161" w14:textId="77777777" w:rsidR="004F07DF" w:rsidRPr="000D5519" w:rsidRDefault="004F07DF" w:rsidP="009F6F46">
            <w:pPr>
              <w:tabs>
                <w:tab w:val="left" w:pos="426"/>
                <w:tab w:val="left" w:pos="1276"/>
              </w:tabs>
              <w:spacing w:after="200"/>
              <w:rPr>
                <w:b/>
                <w:sz w:val="18"/>
                <w:szCs w:val="18"/>
                <w:lang w:val="fr-BE"/>
              </w:rPr>
            </w:pPr>
            <w:r w:rsidRPr="000D5519">
              <w:rPr>
                <w:b/>
                <w:sz w:val="16"/>
                <w:szCs w:val="16"/>
                <w:lang w:val="en-US"/>
              </w:rPr>
              <w:tab/>
              <w:t>YES</w:t>
            </w:r>
            <w:r w:rsidRPr="000D5519">
              <w:rPr>
                <w:b/>
                <w:sz w:val="16"/>
                <w:szCs w:val="16"/>
                <w:lang w:val="fr-BE"/>
              </w:rPr>
              <w:tab/>
              <w:t>NO</w:t>
            </w:r>
          </w:p>
        </w:tc>
        <w:tc>
          <w:tcPr>
            <w:tcW w:w="3940" w:type="dxa"/>
            <w:gridSpan w:val="2"/>
            <w:tcBorders>
              <w:top w:val="single" w:sz="4" w:space="0" w:color="auto"/>
              <w:left w:val="single" w:sz="4" w:space="0" w:color="auto"/>
              <w:bottom w:val="single" w:sz="4" w:space="0" w:color="auto"/>
            </w:tcBorders>
            <w:shd w:val="clear" w:color="auto" w:fill="auto"/>
          </w:tcPr>
          <w:p w14:paraId="43680C2E" w14:textId="77777777" w:rsidR="004F07DF" w:rsidRPr="000D5519" w:rsidRDefault="004F07DF" w:rsidP="009F6F46">
            <w:pPr>
              <w:spacing w:before="120" w:after="120"/>
              <w:rPr>
                <w:b/>
                <w:sz w:val="16"/>
                <w:szCs w:val="16"/>
                <w:lang w:val="en-US"/>
              </w:rPr>
            </w:pPr>
            <w:r w:rsidRPr="000D5519">
              <w:rPr>
                <w:b/>
                <w:sz w:val="16"/>
                <w:szCs w:val="16"/>
                <w:lang w:val="en-US"/>
              </w:rPr>
              <w:t>BUSINESS NAME</w:t>
            </w:r>
            <w:r w:rsidRPr="000D5519">
              <w:rPr>
                <w:b/>
                <w:sz w:val="16"/>
                <w:szCs w:val="16"/>
                <w:lang w:val="en-US"/>
              </w:rPr>
              <w:br/>
              <w:t>(if applicable)</w:t>
            </w:r>
          </w:p>
          <w:p w14:paraId="09A827AB" w14:textId="77777777" w:rsidR="004F07DF" w:rsidRPr="000D5519" w:rsidRDefault="004F07DF" w:rsidP="009F6F46">
            <w:pPr>
              <w:spacing w:before="120" w:after="120"/>
              <w:rPr>
                <w:b/>
                <w:sz w:val="16"/>
                <w:szCs w:val="16"/>
                <w:lang w:val="en-US"/>
              </w:rPr>
            </w:pPr>
            <w:r w:rsidRPr="000D5519">
              <w:rPr>
                <w:b/>
                <w:sz w:val="16"/>
                <w:szCs w:val="16"/>
                <w:lang w:val="en-US"/>
              </w:rPr>
              <w:t>VAT NUMBER</w:t>
            </w:r>
          </w:p>
          <w:p w14:paraId="13066E44" w14:textId="77777777" w:rsidR="004F07DF" w:rsidRPr="000D5519" w:rsidRDefault="004F07DF" w:rsidP="009F6F46">
            <w:pPr>
              <w:spacing w:before="120" w:after="120"/>
              <w:rPr>
                <w:b/>
                <w:sz w:val="16"/>
                <w:szCs w:val="16"/>
                <w:lang w:val="en-US"/>
              </w:rPr>
            </w:pPr>
            <w:r w:rsidRPr="000D5519">
              <w:rPr>
                <w:b/>
                <w:sz w:val="16"/>
                <w:szCs w:val="16"/>
                <w:lang w:val="en-US"/>
              </w:rPr>
              <w:t>REGISTRATION NUMBER</w:t>
            </w:r>
          </w:p>
          <w:p w14:paraId="78C0E172" w14:textId="77777777" w:rsidR="004F07DF" w:rsidRPr="000D5519" w:rsidRDefault="004F07DF" w:rsidP="009F6F46">
            <w:pPr>
              <w:spacing w:before="120" w:after="120"/>
              <w:rPr>
                <w:b/>
                <w:sz w:val="16"/>
                <w:szCs w:val="16"/>
                <w:lang w:val="en-US"/>
              </w:rPr>
            </w:pPr>
            <w:r w:rsidRPr="000D5519">
              <w:rPr>
                <w:b/>
                <w:sz w:val="16"/>
                <w:szCs w:val="16"/>
                <w:lang w:val="en-US"/>
              </w:rPr>
              <w:t>PLACE OF REGISTRATION</w:t>
            </w:r>
          </w:p>
          <w:p w14:paraId="1A95BBD7" w14:textId="77777777" w:rsidR="004F07DF" w:rsidRPr="000D5519" w:rsidRDefault="004F07DF" w:rsidP="009F6F46">
            <w:pPr>
              <w:tabs>
                <w:tab w:val="left" w:pos="2271"/>
              </w:tabs>
              <w:spacing w:before="120" w:after="120"/>
              <w:rPr>
                <w:b/>
                <w:sz w:val="18"/>
                <w:szCs w:val="18"/>
                <w:lang w:val="en-US"/>
              </w:rPr>
            </w:pPr>
            <w:r w:rsidRPr="000D5519">
              <w:rPr>
                <w:b/>
                <w:sz w:val="16"/>
                <w:szCs w:val="16"/>
                <w:lang w:val="en-US"/>
              </w:rPr>
              <w:tab/>
              <w:t>CITY</w:t>
            </w:r>
            <w:r w:rsidRPr="000D5519">
              <w:rPr>
                <w:b/>
                <w:sz w:val="16"/>
                <w:szCs w:val="16"/>
                <w:lang w:val="en-US"/>
              </w:rPr>
              <w:br/>
            </w:r>
            <w:r w:rsidRPr="000D5519">
              <w:rPr>
                <w:b/>
                <w:sz w:val="16"/>
                <w:szCs w:val="16"/>
                <w:lang w:val="en-US"/>
              </w:rPr>
              <w:tab/>
            </w:r>
            <w:r w:rsidRPr="000D5519">
              <w:rPr>
                <w:b/>
                <w:sz w:val="16"/>
                <w:szCs w:val="16"/>
                <w:lang w:val="en-US"/>
              </w:rPr>
              <w:tab/>
            </w:r>
            <w:r w:rsidRPr="000D5519">
              <w:rPr>
                <w:b/>
                <w:sz w:val="16"/>
                <w:szCs w:val="16"/>
                <w:lang w:val="en-US"/>
              </w:rPr>
              <w:tab/>
              <w:t>COUNTRY</w:t>
            </w:r>
          </w:p>
        </w:tc>
        <w:tc>
          <w:tcPr>
            <w:tcW w:w="2977" w:type="dxa"/>
            <w:tcBorders>
              <w:top w:val="single" w:sz="4" w:space="0" w:color="auto"/>
              <w:bottom w:val="single" w:sz="4" w:space="0" w:color="auto"/>
            </w:tcBorders>
            <w:shd w:val="clear" w:color="auto" w:fill="auto"/>
          </w:tcPr>
          <w:p w14:paraId="7D53F075" w14:textId="77777777" w:rsidR="004F07DF" w:rsidRPr="000D5519" w:rsidRDefault="004F07DF" w:rsidP="009F6F46">
            <w:pPr>
              <w:tabs>
                <w:tab w:val="left" w:pos="2983"/>
              </w:tabs>
              <w:spacing w:after="200"/>
              <w:rPr>
                <w:b/>
                <w:sz w:val="18"/>
                <w:szCs w:val="18"/>
                <w:lang w:val="en-US"/>
              </w:rPr>
            </w:pPr>
          </w:p>
        </w:tc>
      </w:tr>
      <w:tr w:rsidR="004F07DF" w:rsidRPr="00C94CF0" w14:paraId="7A0B6DC5" w14:textId="77777777" w:rsidTr="009F6F46">
        <w:trPr>
          <w:trHeight w:val="428"/>
        </w:trPr>
        <w:tc>
          <w:tcPr>
            <w:tcW w:w="2547" w:type="dxa"/>
            <w:tcBorders>
              <w:top w:val="single" w:sz="4" w:space="0" w:color="auto"/>
              <w:right w:val="single" w:sz="4" w:space="0" w:color="auto"/>
            </w:tcBorders>
            <w:shd w:val="clear" w:color="auto" w:fill="auto"/>
          </w:tcPr>
          <w:p w14:paraId="6B86F515" w14:textId="77777777" w:rsidR="004F07DF" w:rsidRPr="000D5519" w:rsidRDefault="004F07DF" w:rsidP="009F6F46">
            <w:pPr>
              <w:spacing w:before="120" w:after="120"/>
              <w:rPr>
                <w:bCs/>
                <w:sz w:val="16"/>
                <w:szCs w:val="16"/>
                <w:lang w:val="fr-BE"/>
              </w:rPr>
            </w:pPr>
            <w:r w:rsidRPr="000D5519">
              <w:rPr>
                <w:b/>
                <w:sz w:val="16"/>
                <w:szCs w:val="16"/>
                <w:lang w:val="fr-BE"/>
              </w:rPr>
              <w:t>DATE</w:t>
            </w:r>
          </w:p>
        </w:tc>
        <w:tc>
          <w:tcPr>
            <w:tcW w:w="3940" w:type="dxa"/>
            <w:gridSpan w:val="2"/>
            <w:tcBorders>
              <w:top w:val="single" w:sz="4" w:space="0" w:color="auto"/>
              <w:left w:val="single" w:sz="4" w:space="0" w:color="auto"/>
              <w:bottom w:val="single" w:sz="4" w:space="0" w:color="auto"/>
              <w:right w:val="nil"/>
            </w:tcBorders>
            <w:shd w:val="clear" w:color="auto" w:fill="auto"/>
          </w:tcPr>
          <w:p w14:paraId="33752376" w14:textId="77777777" w:rsidR="004F07DF" w:rsidRPr="000D5519" w:rsidRDefault="004F07DF" w:rsidP="009F6F46">
            <w:pPr>
              <w:spacing w:before="120" w:after="120"/>
              <w:rPr>
                <w:b/>
                <w:sz w:val="16"/>
                <w:szCs w:val="16"/>
                <w:lang w:val="fr-BE"/>
              </w:rPr>
            </w:pPr>
            <w:r w:rsidRPr="000D5519">
              <w:rPr>
                <w:b/>
                <w:sz w:val="16"/>
                <w:szCs w:val="16"/>
                <w:lang w:val="fr-BE"/>
              </w:rPr>
              <w:t>SIGNATURE</w:t>
            </w:r>
          </w:p>
        </w:tc>
        <w:tc>
          <w:tcPr>
            <w:tcW w:w="2977" w:type="dxa"/>
            <w:tcBorders>
              <w:top w:val="single" w:sz="4" w:space="0" w:color="auto"/>
              <w:left w:val="nil"/>
              <w:bottom w:val="single" w:sz="4" w:space="0" w:color="auto"/>
            </w:tcBorders>
            <w:shd w:val="clear" w:color="auto" w:fill="auto"/>
          </w:tcPr>
          <w:p w14:paraId="2FDE3106" w14:textId="77777777" w:rsidR="004F07DF" w:rsidRPr="000D5519" w:rsidRDefault="004F07DF" w:rsidP="009F6F46">
            <w:pPr>
              <w:tabs>
                <w:tab w:val="left" w:pos="2983"/>
              </w:tabs>
              <w:rPr>
                <w:b/>
                <w:sz w:val="18"/>
                <w:szCs w:val="18"/>
                <w:lang w:val="fr-BE"/>
              </w:rPr>
            </w:pPr>
          </w:p>
        </w:tc>
      </w:tr>
    </w:tbl>
    <w:p w14:paraId="237F206B" w14:textId="57EA7C7B" w:rsidR="004F07DF" w:rsidRPr="00C94CF0" w:rsidRDefault="004F07DF" w:rsidP="004F07DF">
      <w:pPr>
        <w:spacing w:after="65"/>
        <w:ind w:left="-29"/>
        <w:rPr>
          <w:sz w:val="16"/>
          <w:szCs w:val="16"/>
        </w:rPr>
      </w:pPr>
      <w:r>
        <w:rPr>
          <w:noProof/>
        </w:rPr>
        <mc:AlternateContent>
          <mc:Choice Requires="wpg">
            <w:drawing>
              <wp:anchor distT="0" distB="0" distL="114300" distR="114300" simplePos="0" relativeHeight="251659264" behindDoc="0" locked="0" layoutInCell="1" allowOverlap="1" wp14:anchorId="77C20AA1" wp14:editId="785B0C0E">
                <wp:simplePos x="0" y="0"/>
                <wp:positionH relativeFrom="character">
                  <wp:posOffset>0</wp:posOffset>
                </wp:positionH>
                <wp:positionV relativeFrom="line">
                  <wp:posOffset>0</wp:posOffset>
                </wp:positionV>
                <wp:extent cx="1882140" cy="114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10" name="Shape 5218"/>
                        <wps:cNvSpPr>
                          <a:spLocks/>
                        </wps:cNvSpPr>
                        <wps:spPr bwMode="auto">
                          <a:xfrm>
                            <a:off x="0" y="0"/>
                            <a:ext cx="18821" cy="114"/>
                          </a:xfrm>
                          <a:custGeom>
                            <a:avLst/>
                            <a:gdLst>
                              <a:gd name="T0" fmla="*/ 0 w 1882140"/>
                              <a:gd name="T1" fmla="*/ 0 h 11430"/>
                              <a:gd name="T2" fmla="*/ 1882140 w 1882140"/>
                              <a:gd name="T3" fmla="*/ 0 h 11430"/>
                              <a:gd name="T4" fmla="*/ 1882140 w 1882140"/>
                              <a:gd name="T5" fmla="*/ 11430 h 11430"/>
                              <a:gd name="T6" fmla="*/ 0 w 1882140"/>
                              <a:gd name="T7" fmla="*/ 11430 h 11430"/>
                              <a:gd name="T8" fmla="*/ 0 w 1882140"/>
                              <a:gd name="T9" fmla="*/ 0 h 11430"/>
                              <a:gd name="T10" fmla="*/ 0 w 1882140"/>
                              <a:gd name="T11" fmla="*/ 0 h 11430"/>
                              <a:gd name="T12" fmla="*/ 1882140 w 1882140"/>
                              <a:gd name="T13" fmla="*/ 11430 h 11430"/>
                            </a:gdLst>
                            <a:ahLst/>
                            <a:cxnLst>
                              <a:cxn ang="0">
                                <a:pos x="T0" y="T1"/>
                              </a:cxn>
                              <a:cxn ang="0">
                                <a:pos x="T2" y="T3"/>
                              </a:cxn>
                              <a:cxn ang="0">
                                <a:pos x="T4" y="T5"/>
                              </a:cxn>
                              <a:cxn ang="0">
                                <a:pos x="T6" y="T7"/>
                              </a:cxn>
                              <a:cxn ang="0">
                                <a:pos x="T8" y="T9"/>
                              </a:cxn>
                            </a:cxnLst>
                            <a:rect l="T10" t="T11" r="T12" b="T13"/>
                            <a:pathLst>
                              <a:path w="1882140" h="11430">
                                <a:moveTo>
                                  <a:pt x="0" y="0"/>
                                </a:moveTo>
                                <a:lnTo>
                                  <a:pt x="1882140" y="0"/>
                                </a:lnTo>
                                <a:lnTo>
                                  <a:pt x="1882140" y="11430"/>
                                </a:lnTo>
                                <a:lnTo>
                                  <a:pt x="0" y="11430"/>
                                </a:lnTo>
                                <a:lnTo>
                                  <a:pt x="0" y="0"/>
                                </a:lnTo>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A5CC984">
              <v:group id="Group 9" style="position:absolute;margin-left:0;margin-top:0;width:148.2pt;height:.9pt;z-index:251659264;mso-position-horizontal-relative:char;mso-position-vertical-relative:line" coordsize="18821,114" o:spid="_x0000_s1026" w14:anchorId="06186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">
                <v:shape id="Shape 5218" style="position:absolute;width:18821;height:114;visibility:visible;mso-wrap-style:square;v-text-anchor:top" coordsize="1882140,11430" o:spid="_x0000_s1027" fillcolor="black" stroked="f" path="m,l1882140,r,11430l,11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">
                  <v:path textboxrect="0,0,1882140,11430" arrowok="t" o:connecttype="custom" o:connectlocs="0,0;18821,0;18821,114;0,114;0,0" o:connectangles="0,0,0,0,0"/>
                </v:shape>
                <w10:wrap anchory="line"/>
              </v:group>
            </w:pict>
          </mc:Fallback>
        </mc:AlternateContent>
      </w:r>
      <w:r>
        <w:rPr>
          <w:noProof/>
        </w:rPr>
        <mc:AlternateContent>
          <mc:Choice Requires="wps">
            <w:drawing>
              <wp:inline distT="0" distB="0" distL="0" distR="0" wp14:anchorId="6F6FE66F" wp14:editId="4144EF0C">
                <wp:extent cx="1876425" cy="1206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6425"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w14:anchorId="0F32ACB7">
              <v:rect id="Rectangle 3" style="width:147.75pt;height:.9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818D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">
                <o:lock v:ext="edit" aspectratio="t"/>
                <w10:anchorlock/>
              </v:rect>
            </w:pict>
          </mc:Fallback>
        </mc:AlternateContent>
      </w:r>
    </w:p>
    <w:p w14:paraId="5F0B7A77" w14:textId="77777777" w:rsidR="004F07DF" w:rsidRPr="003C287E" w:rsidRDefault="004F07DF" w:rsidP="004F07DF">
      <w:pPr>
        <w:pStyle w:val="ListParagraph"/>
        <w:numPr>
          <w:ilvl w:val="0"/>
          <w:numId w:val="12"/>
        </w:numPr>
        <w:spacing w:after="30" w:line="264" w:lineRule="auto"/>
        <w:ind w:left="360" w:right="241"/>
        <w:rPr>
          <w:sz w:val="16"/>
          <w:szCs w:val="16"/>
          <w:lang w:val="en-US"/>
        </w:rPr>
      </w:pPr>
      <w:r w:rsidRPr="003C287E">
        <w:rPr>
          <w:b/>
          <w:sz w:val="12"/>
          <w:szCs w:val="16"/>
          <w:lang w:val="en-US"/>
        </w:rPr>
        <w:t>As indicated on the official document.</w:t>
      </w:r>
    </w:p>
    <w:p w14:paraId="56662004" w14:textId="77777777" w:rsidR="004F07DF" w:rsidRPr="003C287E" w:rsidRDefault="004F07DF" w:rsidP="004F07DF">
      <w:pPr>
        <w:pStyle w:val="ListParagraph"/>
        <w:numPr>
          <w:ilvl w:val="0"/>
          <w:numId w:val="12"/>
        </w:numPr>
        <w:spacing w:after="30" w:line="264" w:lineRule="auto"/>
        <w:ind w:left="360" w:right="241"/>
        <w:rPr>
          <w:sz w:val="16"/>
          <w:szCs w:val="16"/>
          <w:lang w:val="en-US"/>
        </w:rPr>
      </w:pPr>
      <w:r w:rsidRPr="003C287E">
        <w:rPr>
          <w:b/>
          <w:sz w:val="12"/>
          <w:szCs w:val="16"/>
          <w:lang w:val="en-US"/>
        </w:rPr>
        <w:t>Accepted only for Great Britain, Ireland, Denmark, Sweden, Finland, Norway, Iceland, Canada, United States and Australia.</w:t>
      </w:r>
    </w:p>
    <w:p w14:paraId="26E70BCD" w14:textId="77777777" w:rsidR="004F07DF" w:rsidRPr="00460FE0" w:rsidRDefault="004F07DF" w:rsidP="004F07DF">
      <w:pPr>
        <w:pStyle w:val="ListParagraph"/>
        <w:numPr>
          <w:ilvl w:val="0"/>
          <w:numId w:val="12"/>
        </w:numPr>
        <w:spacing w:after="30" w:line="264" w:lineRule="auto"/>
        <w:ind w:left="360" w:right="241"/>
        <w:rPr>
          <w:sz w:val="16"/>
          <w:szCs w:val="16"/>
          <w:lang w:val="en-US"/>
        </w:rPr>
      </w:pPr>
      <w:r w:rsidRPr="00460FE0">
        <w:rPr>
          <w:b/>
          <w:sz w:val="12"/>
          <w:szCs w:val="16"/>
          <w:lang w:val="en-US"/>
        </w:rPr>
        <w:t>Failing other identity documents: residence permit or diplomatic passport.</w:t>
      </w:r>
    </w:p>
    <w:p w14:paraId="08BC82DB" w14:textId="77777777" w:rsidR="004F07DF" w:rsidRPr="003C287E" w:rsidRDefault="004F07DF" w:rsidP="004F07DF">
      <w:pPr>
        <w:pStyle w:val="ListParagraph"/>
        <w:numPr>
          <w:ilvl w:val="0"/>
          <w:numId w:val="12"/>
        </w:numPr>
        <w:spacing w:after="30" w:line="264" w:lineRule="auto"/>
        <w:ind w:left="360" w:right="241"/>
        <w:rPr>
          <w:sz w:val="16"/>
          <w:szCs w:val="16"/>
          <w:lang w:val="en-US"/>
        </w:rPr>
      </w:pPr>
      <w:r w:rsidRPr="003C287E">
        <w:rPr>
          <w:b/>
          <w:sz w:val="12"/>
          <w:szCs w:val="16"/>
          <w:lang w:val="en-US"/>
        </w:rPr>
        <w:t>See table with corresponding denominations by country.</w:t>
      </w:r>
    </w:p>
    <w:p w14:paraId="42F4B4B2" w14:textId="77777777" w:rsidR="004F07DF" w:rsidRPr="003C287E" w:rsidRDefault="004F07DF" w:rsidP="004F07DF">
      <w:pPr>
        <w:pStyle w:val="ListParagraph"/>
        <w:numPr>
          <w:ilvl w:val="0"/>
          <w:numId w:val="12"/>
        </w:numPr>
        <w:spacing w:after="30" w:line="264" w:lineRule="auto"/>
        <w:ind w:left="360" w:right="241"/>
        <w:rPr>
          <w:sz w:val="16"/>
          <w:szCs w:val="16"/>
          <w:lang w:val="en-US"/>
        </w:rPr>
      </w:pPr>
      <w:r w:rsidRPr="003C287E">
        <w:rPr>
          <w:b/>
          <w:sz w:val="12"/>
          <w:szCs w:val="16"/>
          <w:lang w:val="en-US"/>
        </w:rPr>
        <w:t xml:space="preserve">To be completed with Region, State or Province by </w:t>
      </w:r>
      <w:proofErr w:type="spellStart"/>
      <w:proofErr w:type="gramStart"/>
      <w:r w:rsidRPr="003C287E">
        <w:rPr>
          <w:b/>
          <w:sz w:val="12"/>
          <w:szCs w:val="16"/>
          <w:lang w:val="en-US"/>
        </w:rPr>
        <w:t>non EU</w:t>
      </w:r>
      <w:proofErr w:type="spellEnd"/>
      <w:proofErr w:type="gramEnd"/>
      <w:r w:rsidRPr="003C287E">
        <w:rPr>
          <w:b/>
          <w:sz w:val="12"/>
          <w:szCs w:val="16"/>
          <w:lang w:val="en-US"/>
        </w:rPr>
        <w:t xml:space="preserve"> countries only, excluding EFTA and candidate countries.</w:t>
      </w:r>
    </w:p>
    <w:p w14:paraId="40C4DFCA" w14:textId="77777777" w:rsidR="004F07DF" w:rsidRPr="00291839" w:rsidRDefault="004F07DF" w:rsidP="004F07DF">
      <w:pPr>
        <w:pStyle w:val="Heading3"/>
        <w:numPr>
          <w:ilvl w:val="2"/>
          <w:numId w:val="56"/>
        </w:numPr>
        <w:rPr>
          <w:color w:val="FF0000"/>
        </w:rPr>
      </w:pPr>
      <w:bookmarkStart w:id="178" w:name="_Toc51601706"/>
      <w:bookmarkStart w:id="179" w:name="_Toc117027531"/>
      <w:r w:rsidRPr="00291839">
        <w:rPr>
          <w:color w:val="FF0000"/>
        </w:rPr>
        <w:lastRenderedPageBreak/>
        <w:t>Legal person entity private/public legal body</w:t>
      </w:r>
      <w:bookmarkEnd w:id="178"/>
      <w:bookmarkEnd w:id="179"/>
      <w:r w:rsidRPr="00291839">
        <w:rPr>
          <w:color w:val="FF0000"/>
        </w:rPr>
        <w:t xml:space="preserve"> </w:t>
      </w:r>
    </w:p>
    <w:p w14:paraId="5BCA1B07" w14:textId="77777777" w:rsidR="004F07DF" w:rsidRPr="005A26CF" w:rsidRDefault="004F07DF" w:rsidP="004F07DF">
      <w:pPr>
        <w:spacing w:line="259" w:lineRule="auto"/>
        <w:rPr>
          <w:rFonts w:cs="Calibri"/>
          <w:color w:val="333333"/>
          <w:szCs w:val="21"/>
          <w:lang w:val="en-US"/>
        </w:rPr>
      </w:pPr>
      <w:r w:rsidRPr="005A26CF">
        <w:rPr>
          <w:rFonts w:cs="Calibri"/>
          <w:color w:val="333333"/>
          <w:szCs w:val="21"/>
          <w:lang w:val="en-US"/>
        </w:rPr>
        <w:t xml:space="preserve">To fill the form, please click </w:t>
      </w:r>
      <w:proofErr w:type="gramStart"/>
      <w:r w:rsidRPr="005A26CF">
        <w:rPr>
          <w:rFonts w:cs="Calibri"/>
          <w:color w:val="333333"/>
          <w:szCs w:val="21"/>
          <w:lang w:val="en-US"/>
        </w:rPr>
        <w:t>here :</w:t>
      </w:r>
      <w:proofErr w:type="gramEnd"/>
      <w:r w:rsidRPr="005A26CF">
        <w:rPr>
          <w:rFonts w:cs="Calibri"/>
          <w:color w:val="333333"/>
          <w:szCs w:val="21"/>
          <w:lang w:val="en-US"/>
        </w:rPr>
        <w:t xml:space="preserve"> </w:t>
      </w:r>
      <w:r w:rsidRPr="00B51693">
        <w:rPr>
          <w:rFonts w:cs="Calibri"/>
          <w:color w:val="333333"/>
          <w:szCs w:val="21"/>
          <w:lang w:val="en-US"/>
        </w:rPr>
        <w:t>https://documentcloud.adobe.com/link/track?uri=urn:aaid:scds:US:fcf7423f-7287-4cbb-9c7b-645ab60734a3</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493"/>
      </w:tblGrid>
      <w:tr w:rsidR="004F07DF" w:rsidRPr="004623D8" w14:paraId="341084DA" w14:textId="77777777" w:rsidTr="009F6F46">
        <w:trPr>
          <w:trHeight w:val="5763"/>
        </w:trPr>
        <w:tc>
          <w:tcPr>
            <w:tcW w:w="8720" w:type="dxa"/>
            <w:gridSpan w:val="2"/>
            <w:tcBorders>
              <w:bottom w:val="single" w:sz="4" w:space="0" w:color="auto"/>
            </w:tcBorders>
            <w:shd w:val="clear" w:color="auto" w:fill="auto"/>
            <w:vAlign w:val="center"/>
          </w:tcPr>
          <w:p w14:paraId="737BC2CB" w14:textId="77777777" w:rsidR="004F07DF" w:rsidRPr="000D5519" w:rsidRDefault="004F07DF" w:rsidP="009F6F46">
            <w:pPr>
              <w:spacing w:after="200"/>
              <w:rPr>
                <w:sz w:val="16"/>
                <w:szCs w:val="16"/>
                <w:lang w:val="en-US"/>
              </w:rPr>
            </w:pPr>
            <w:r w:rsidRPr="000D5519">
              <w:rPr>
                <w:b/>
                <w:sz w:val="18"/>
                <w:szCs w:val="18"/>
                <w:u w:val="single"/>
                <w:lang w:val="en-US"/>
              </w:rPr>
              <w:br w:type="page"/>
            </w:r>
            <w:r w:rsidRPr="000D5519">
              <w:rPr>
                <w:b/>
                <w:sz w:val="16"/>
                <w:szCs w:val="16"/>
                <w:lang w:val="en-US"/>
              </w:rPr>
              <w:t xml:space="preserve">OFFICIAL NAME </w:t>
            </w:r>
            <w:r w:rsidRPr="000D5519">
              <w:rPr>
                <w:rFonts w:hint="eastAsia"/>
                <w:b/>
                <w:sz w:val="16"/>
                <w:szCs w:val="16"/>
                <w:lang w:val="en-US"/>
              </w:rPr>
              <w:t>②</w:t>
            </w:r>
            <w:r w:rsidRPr="000D5519">
              <w:rPr>
                <w:b/>
                <w:sz w:val="16"/>
                <w:szCs w:val="16"/>
                <w:lang w:val="en-US"/>
              </w:rPr>
              <w:br/>
            </w:r>
            <w:r w:rsidRPr="000D5519">
              <w:rPr>
                <w:b/>
                <w:sz w:val="16"/>
                <w:szCs w:val="16"/>
                <w:lang w:val="fr-BE"/>
              </w:rPr>
              <w:fldChar w:fldCharType="begin"/>
            </w:r>
            <w:r w:rsidRPr="000D5519">
              <w:rPr>
                <w:b/>
                <w:sz w:val="16"/>
                <w:szCs w:val="16"/>
                <w:lang w:val="en-US"/>
              </w:rPr>
              <w:instrText xml:space="preserve"> AUTOTEXT  " Zone de texte simple"  \* MERGEFORMAT </w:instrText>
            </w:r>
            <w:r w:rsidRPr="000D5519">
              <w:rPr>
                <w:sz w:val="16"/>
                <w:szCs w:val="16"/>
                <w:lang w:val="fr-BE"/>
              </w:rPr>
              <w:fldChar w:fldCharType="end"/>
            </w:r>
          </w:p>
          <w:p w14:paraId="6DECCB1F" w14:textId="77777777" w:rsidR="004F07DF" w:rsidRPr="000D5519" w:rsidRDefault="004F07DF" w:rsidP="009F6F46">
            <w:pPr>
              <w:spacing w:after="200"/>
              <w:rPr>
                <w:b/>
                <w:sz w:val="16"/>
                <w:szCs w:val="16"/>
                <w:lang w:val="en-US"/>
              </w:rPr>
            </w:pPr>
            <w:r w:rsidRPr="000D5519">
              <w:rPr>
                <w:b/>
                <w:sz w:val="16"/>
                <w:szCs w:val="16"/>
                <w:lang w:val="en-US"/>
              </w:rPr>
              <w:t>ABREVIATION</w:t>
            </w:r>
            <w:r w:rsidRPr="000D5519">
              <w:rPr>
                <w:b/>
                <w:sz w:val="16"/>
                <w:szCs w:val="16"/>
                <w:lang w:val="en-US"/>
              </w:rPr>
              <w:br/>
            </w:r>
            <w:r w:rsidRPr="000D5519">
              <w:rPr>
                <w:b/>
                <w:sz w:val="16"/>
                <w:szCs w:val="16"/>
                <w:lang w:val="en-US"/>
              </w:rPr>
              <w:br/>
              <w:t>MAIN REGISTRATION NUMBER</w:t>
            </w:r>
            <w:r w:rsidRPr="000D5519">
              <w:rPr>
                <w:rFonts w:hint="eastAsia"/>
                <w:b/>
                <w:sz w:val="16"/>
                <w:szCs w:val="16"/>
                <w:lang w:val="en-US"/>
              </w:rPr>
              <w:t>③</w:t>
            </w:r>
          </w:p>
          <w:p w14:paraId="30395B53" w14:textId="77777777" w:rsidR="004F07DF" w:rsidRPr="000D5519" w:rsidRDefault="004F07DF" w:rsidP="009F6F46">
            <w:pPr>
              <w:tabs>
                <w:tab w:val="left" w:pos="3828"/>
                <w:tab w:val="left" w:pos="5670"/>
              </w:tabs>
              <w:spacing w:after="200"/>
              <w:rPr>
                <w:b/>
                <w:sz w:val="16"/>
                <w:szCs w:val="16"/>
                <w:lang w:val="en-US"/>
              </w:rPr>
            </w:pPr>
            <w:r w:rsidRPr="000D5519">
              <w:rPr>
                <w:b/>
                <w:sz w:val="16"/>
                <w:szCs w:val="16"/>
                <w:lang w:val="en-US"/>
              </w:rPr>
              <w:t xml:space="preserve">SECONDARY REGISTRATION NUMBER </w:t>
            </w:r>
            <w:r w:rsidRPr="000D5519">
              <w:rPr>
                <w:b/>
                <w:sz w:val="16"/>
                <w:szCs w:val="16"/>
                <w:lang w:val="en-US"/>
              </w:rPr>
              <w:br/>
              <w:t>(if applicable)</w:t>
            </w:r>
          </w:p>
          <w:p w14:paraId="23714AC2" w14:textId="77777777" w:rsidR="004F07DF" w:rsidRPr="000D5519" w:rsidRDefault="004F07DF" w:rsidP="009F6F46">
            <w:pPr>
              <w:tabs>
                <w:tab w:val="left" w:pos="3828"/>
                <w:tab w:val="left" w:pos="5670"/>
              </w:tabs>
              <w:spacing w:after="200"/>
              <w:rPr>
                <w:b/>
                <w:sz w:val="16"/>
                <w:szCs w:val="16"/>
                <w:lang w:val="en-US"/>
              </w:rPr>
            </w:pPr>
            <w:r w:rsidRPr="000D5519">
              <w:rPr>
                <w:b/>
                <w:sz w:val="16"/>
                <w:szCs w:val="16"/>
                <w:lang w:val="en-US"/>
              </w:rPr>
              <w:t>PLACE OF MAIN REGISTRATION</w:t>
            </w:r>
            <w:r w:rsidRPr="000D5519">
              <w:rPr>
                <w:b/>
                <w:sz w:val="16"/>
                <w:szCs w:val="16"/>
                <w:lang w:val="en-US"/>
              </w:rPr>
              <w:tab/>
              <w:t>CITY</w:t>
            </w:r>
            <w:r w:rsidRPr="000D5519">
              <w:rPr>
                <w:b/>
                <w:sz w:val="16"/>
                <w:szCs w:val="16"/>
                <w:lang w:val="en-US"/>
              </w:rPr>
              <w:tab/>
              <w:t>COUNTRY</w:t>
            </w:r>
          </w:p>
          <w:p w14:paraId="4C4DB284" w14:textId="77777777" w:rsidR="004F07DF" w:rsidRPr="000D5519" w:rsidRDefault="004F07DF" w:rsidP="009F6F46">
            <w:pPr>
              <w:tabs>
                <w:tab w:val="left" w:pos="3969"/>
                <w:tab w:val="left" w:pos="4536"/>
                <w:tab w:val="left" w:pos="5245"/>
              </w:tabs>
              <w:spacing w:after="200"/>
              <w:rPr>
                <w:b/>
                <w:sz w:val="16"/>
                <w:szCs w:val="16"/>
                <w:lang w:val="en-US"/>
              </w:rPr>
            </w:pPr>
            <w:r w:rsidRPr="000D5519">
              <w:rPr>
                <w:b/>
                <w:sz w:val="16"/>
                <w:szCs w:val="16"/>
                <w:lang w:val="en-US"/>
              </w:rPr>
              <w:t>DATE OF MAIN REGISTRATION</w:t>
            </w:r>
            <w:r w:rsidRPr="000D5519">
              <w:rPr>
                <w:b/>
                <w:sz w:val="16"/>
                <w:szCs w:val="16"/>
                <w:lang w:val="en-US"/>
              </w:rPr>
              <w:br/>
            </w:r>
            <w:r w:rsidRPr="000D5519">
              <w:rPr>
                <w:b/>
                <w:sz w:val="16"/>
                <w:szCs w:val="16"/>
                <w:lang w:val="en-US"/>
              </w:rPr>
              <w:tab/>
              <w:t>DD</w:t>
            </w:r>
            <w:r w:rsidRPr="000D5519">
              <w:rPr>
                <w:b/>
                <w:sz w:val="16"/>
                <w:szCs w:val="16"/>
                <w:lang w:val="en-US"/>
              </w:rPr>
              <w:tab/>
              <w:t>MM</w:t>
            </w:r>
            <w:r w:rsidRPr="000D5519">
              <w:rPr>
                <w:b/>
                <w:sz w:val="16"/>
                <w:szCs w:val="16"/>
                <w:lang w:val="en-US"/>
              </w:rPr>
              <w:tab/>
              <w:t>YYYY</w:t>
            </w:r>
          </w:p>
          <w:p w14:paraId="5BC65B13" w14:textId="77777777" w:rsidR="004F07DF" w:rsidRPr="000D5519" w:rsidRDefault="004F07DF" w:rsidP="009F6F46">
            <w:pPr>
              <w:spacing w:after="200"/>
              <w:rPr>
                <w:b/>
                <w:sz w:val="16"/>
                <w:szCs w:val="16"/>
                <w:lang w:val="en-US"/>
              </w:rPr>
            </w:pPr>
            <w:r w:rsidRPr="000D5519">
              <w:rPr>
                <w:b/>
                <w:sz w:val="16"/>
                <w:szCs w:val="16"/>
                <w:lang w:val="en-US"/>
              </w:rPr>
              <w:t>VAT NUMBER</w:t>
            </w:r>
          </w:p>
          <w:p w14:paraId="63A0E209" w14:textId="77777777" w:rsidR="004F07DF" w:rsidRPr="000D5519" w:rsidRDefault="004F07DF" w:rsidP="009F6F46">
            <w:pPr>
              <w:spacing w:after="200"/>
              <w:rPr>
                <w:b/>
                <w:sz w:val="16"/>
                <w:szCs w:val="16"/>
                <w:lang w:val="en-US"/>
              </w:rPr>
            </w:pPr>
            <w:r w:rsidRPr="000D5519">
              <w:rPr>
                <w:b/>
                <w:sz w:val="16"/>
                <w:szCs w:val="16"/>
                <w:lang w:val="en-US"/>
              </w:rPr>
              <w:t>OFFICIAL ADDRESS</w:t>
            </w:r>
            <w:r w:rsidRPr="000D5519">
              <w:rPr>
                <w:b/>
                <w:sz w:val="16"/>
                <w:szCs w:val="16"/>
                <w:lang w:val="en-US"/>
              </w:rPr>
              <w:br/>
            </w:r>
          </w:p>
          <w:p w14:paraId="2E0C4FF5" w14:textId="77777777" w:rsidR="004F07DF" w:rsidRPr="000D5519" w:rsidRDefault="004F07DF" w:rsidP="009F6F46">
            <w:pPr>
              <w:tabs>
                <w:tab w:val="left" w:pos="2127"/>
                <w:tab w:val="left" w:pos="5103"/>
              </w:tabs>
              <w:spacing w:after="200"/>
              <w:rPr>
                <w:b/>
                <w:sz w:val="16"/>
                <w:szCs w:val="16"/>
                <w:lang w:val="en-US"/>
              </w:rPr>
            </w:pPr>
            <w:r w:rsidRPr="000D5519">
              <w:rPr>
                <w:b/>
                <w:sz w:val="16"/>
                <w:szCs w:val="16"/>
                <w:lang w:val="en-US"/>
              </w:rPr>
              <w:t>POSTCODE</w:t>
            </w:r>
            <w:r w:rsidRPr="000D5519">
              <w:rPr>
                <w:b/>
                <w:sz w:val="16"/>
                <w:szCs w:val="16"/>
                <w:lang w:val="en-US"/>
              </w:rPr>
              <w:tab/>
              <w:t>P.O. BOX</w:t>
            </w:r>
            <w:r w:rsidRPr="000D5519">
              <w:rPr>
                <w:b/>
                <w:sz w:val="16"/>
                <w:szCs w:val="16"/>
                <w:lang w:val="en-US"/>
              </w:rPr>
              <w:tab/>
            </w:r>
            <w:r w:rsidRPr="000D5519">
              <w:rPr>
                <w:b/>
                <w:sz w:val="16"/>
                <w:szCs w:val="16"/>
                <w:lang w:val="en-US"/>
              </w:rPr>
              <w:tab/>
              <w:t>CITY</w:t>
            </w:r>
          </w:p>
          <w:p w14:paraId="296437EE" w14:textId="77777777" w:rsidR="004F07DF" w:rsidRPr="000D5519" w:rsidRDefault="004F07DF" w:rsidP="009F6F46">
            <w:pPr>
              <w:tabs>
                <w:tab w:val="left" w:pos="5670"/>
              </w:tabs>
              <w:spacing w:after="200"/>
              <w:rPr>
                <w:b/>
                <w:sz w:val="16"/>
                <w:szCs w:val="16"/>
                <w:lang w:val="en-US"/>
              </w:rPr>
            </w:pPr>
            <w:r w:rsidRPr="000D5519">
              <w:rPr>
                <w:b/>
                <w:sz w:val="16"/>
                <w:szCs w:val="16"/>
                <w:lang w:val="en-US"/>
              </w:rPr>
              <w:t>COUNTRY</w:t>
            </w:r>
            <w:r w:rsidRPr="000D5519">
              <w:rPr>
                <w:b/>
                <w:sz w:val="16"/>
                <w:szCs w:val="16"/>
                <w:lang w:val="en-US"/>
              </w:rPr>
              <w:tab/>
              <w:t>PHONE</w:t>
            </w:r>
          </w:p>
          <w:p w14:paraId="04C27BB5" w14:textId="77777777" w:rsidR="004F07DF" w:rsidRPr="000D5519" w:rsidRDefault="004F07DF" w:rsidP="009F6F46">
            <w:pPr>
              <w:spacing w:after="200"/>
              <w:rPr>
                <w:b/>
                <w:sz w:val="18"/>
                <w:szCs w:val="18"/>
                <w:lang w:val="en-US"/>
              </w:rPr>
            </w:pPr>
            <w:r w:rsidRPr="000D5519">
              <w:rPr>
                <w:b/>
                <w:sz w:val="18"/>
                <w:szCs w:val="18"/>
                <w:lang w:val="en-US"/>
              </w:rPr>
              <w:t>E-MAIL</w:t>
            </w:r>
          </w:p>
        </w:tc>
      </w:tr>
      <w:tr w:rsidR="004F07DF" w:rsidRPr="00C94CF0" w14:paraId="4E4DD5D9" w14:textId="77777777" w:rsidTr="009F6F46">
        <w:trPr>
          <w:trHeight w:val="698"/>
        </w:trPr>
        <w:tc>
          <w:tcPr>
            <w:tcW w:w="3227" w:type="dxa"/>
            <w:tcBorders>
              <w:top w:val="single" w:sz="4" w:space="0" w:color="auto"/>
              <w:bottom w:val="single" w:sz="4" w:space="0" w:color="auto"/>
              <w:right w:val="single" w:sz="4" w:space="0" w:color="auto"/>
            </w:tcBorders>
            <w:shd w:val="clear" w:color="auto" w:fill="auto"/>
          </w:tcPr>
          <w:p w14:paraId="78C57E93" w14:textId="77777777" w:rsidR="004F07DF" w:rsidRPr="000D5519" w:rsidRDefault="004F07DF" w:rsidP="009F6F46">
            <w:pPr>
              <w:spacing w:before="120" w:after="120"/>
              <w:rPr>
                <w:bCs/>
                <w:sz w:val="16"/>
                <w:szCs w:val="16"/>
                <w:lang w:val="fr-BE"/>
              </w:rPr>
            </w:pPr>
            <w:r w:rsidRPr="000D5519">
              <w:rPr>
                <w:b/>
                <w:sz w:val="16"/>
                <w:szCs w:val="16"/>
                <w:lang w:val="fr-BE"/>
              </w:rPr>
              <w:t>DATE</w:t>
            </w:r>
          </w:p>
        </w:tc>
        <w:tc>
          <w:tcPr>
            <w:tcW w:w="5493" w:type="dxa"/>
            <w:vMerge w:val="restart"/>
            <w:tcBorders>
              <w:top w:val="single" w:sz="4" w:space="0" w:color="auto"/>
              <w:left w:val="single" w:sz="4" w:space="0" w:color="auto"/>
            </w:tcBorders>
            <w:shd w:val="clear" w:color="auto" w:fill="auto"/>
          </w:tcPr>
          <w:p w14:paraId="4B95D65F" w14:textId="77777777" w:rsidR="004F07DF" w:rsidRPr="000D5519" w:rsidRDefault="004F07DF" w:rsidP="009F6F46">
            <w:pPr>
              <w:tabs>
                <w:tab w:val="left" w:pos="2983"/>
              </w:tabs>
              <w:rPr>
                <w:b/>
                <w:sz w:val="18"/>
                <w:szCs w:val="18"/>
                <w:lang w:val="fr-BE"/>
              </w:rPr>
            </w:pPr>
            <w:r w:rsidRPr="000D5519">
              <w:rPr>
                <w:b/>
                <w:sz w:val="16"/>
                <w:szCs w:val="16"/>
                <w:lang w:val="fr-BE"/>
              </w:rPr>
              <w:t>STAMP</w:t>
            </w:r>
          </w:p>
        </w:tc>
      </w:tr>
      <w:tr w:rsidR="004F07DF" w:rsidRPr="00C94CF0" w14:paraId="2BBCF56A" w14:textId="77777777" w:rsidTr="009F6F46">
        <w:trPr>
          <w:trHeight w:val="1871"/>
        </w:trPr>
        <w:tc>
          <w:tcPr>
            <w:tcW w:w="3227" w:type="dxa"/>
            <w:tcBorders>
              <w:top w:val="single" w:sz="4" w:space="0" w:color="auto"/>
              <w:right w:val="single" w:sz="4" w:space="0" w:color="auto"/>
            </w:tcBorders>
            <w:shd w:val="clear" w:color="auto" w:fill="auto"/>
          </w:tcPr>
          <w:p w14:paraId="1B11CFC9" w14:textId="77777777" w:rsidR="004F07DF" w:rsidRPr="000D5519" w:rsidRDefault="004F07DF" w:rsidP="009F6F46">
            <w:pPr>
              <w:spacing w:before="120" w:after="120"/>
              <w:rPr>
                <w:b/>
                <w:sz w:val="16"/>
                <w:szCs w:val="16"/>
                <w:lang w:val="fr-BE"/>
              </w:rPr>
            </w:pPr>
            <w:r w:rsidRPr="000D5519">
              <w:rPr>
                <w:b/>
                <w:sz w:val="16"/>
                <w:szCs w:val="16"/>
                <w:lang w:val="fr-BE"/>
              </w:rPr>
              <w:t>SIGNATURE OF AUTHORISED REPRESENTATIVE</w:t>
            </w:r>
          </w:p>
        </w:tc>
        <w:tc>
          <w:tcPr>
            <w:tcW w:w="5493" w:type="dxa"/>
            <w:vMerge/>
            <w:tcBorders>
              <w:left w:val="single" w:sz="4" w:space="0" w:color="auto"/>
              <w:bottom w:val="single" w:sz="4" w:space="0" w:color="auto"/>
            </w:tcBorders>
            <w:shd w:val="clear" w:color="auto" w:fill="auto"/>
          </w:tcPr>
          <w:p w14:paraId="155CFF5B" w14:textId="77777777" w:rsidR="004F07DF" w:rsidRPr="000D5519" w:rsidRDefault="004F07DF" w:rsidP="009F6F46">
            <w:pPr>
              <w:tabs>
                <w:tab w:val="left" w:pos="2983"/>
              </w:tabs>
              <w:rPr>
                <w:b/>
                <w:sz w:val="18"/>
                <w:szCs w:val="18"/>
                <w:lang w:val="fr-BE"/>
              </w:rPr>
            </w:pPr>
          </w:p>
        </w:tc>
      </w:tr>
    </w:tbl>
    <w:p w14:paraId="0B1FB58F" w14:textId="2856ACAC" w:rsidR="004F07DF" w:rsidRPr="00F85FBA" w:rsidRDefault="004F07DF" w:rsidP="004F07DF">
      <w:pPr>
        <w:spacing w:after="65"/>
        <w:ind w:left="-29"/>
        <w:rPr>
          <w:rFonts w:ascii="Calibri" w:hAnsi="Calibri"/>
          <w:color w:val="auto"/>
          <w:sz w:val="16"/>
          <w:szCs w:val="16"/>
          <w:lang w:val="fr-BE"/>
        </w:rPr>
      </w:pPr>
      <w:r>
        <w:rPr>
          <w:noProof/>
        </w:rPr>
        <mc:AlternateContent>
          <mc:Choice Requires="wpg">
            <w:drawing>
              <wp:anchor distT="0" distB="0" distL="114300" distR="114300" simplePos="0" relativeHeight="251660288" behindDoc="0" locked="0" layoutInCell="1" allowOverlap="1" wp14:anchorId="6A1EC024" wp14:editId="73C00397">
                <wp:simplePos x="0" y="0"/>
                <wp:positionH relativeFrom="character">
                  <wp:posOffset>0</wp:posOffset>
                </wp:positionH>
                <wp:positionV relativeFrom="line">
                  <wp:posOffset>0</wp:posOffset>
                </wp:positionV>
                <wp:extent cx="1882140" cy="114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8" name="Shape 5218"/>
                        <wps:cNvSpPr>
                          <a:spLocks/>
                        </wps:cNvSpPr>
                        <wps:spPr bwMode="auto">
                          <a:xfrm>
                            <a:off x="0" y="0"/>
                            <a:ext cx="18821" cy="114"/>
                          </a:xfrm>
                          <a:custGeom>
                            <a:avLst/>
                            <a:gdLst>
                              <a:gd name="T0" fmla="*/ 0 w 1882140"/>
                              <a:gd name="T1" fmla="*/ 0 h 11430"/>
                              <a:gd name="T2" fmla="*/ 1882140 w 1882140"/>
                              <a:gd name="T3" fmla="*/ 0 h 11430"/>
                              <a:gd name="T4" fmla="*/ 1882140 w 1882140"/>
                              <a:gd name="T5" fmla="*/ 11430 h 11430"/>
                              <a:gd name="T6" fmla="*/ 0 w 1882140"/>
                              <a:gd name="T7" fmla="*/ 11430 h 11430"/>
                              <a:gd name="T8" fmla="*/ 0 w 1882140"/>
                              <a:gd name="T9" fmla="*/ 0 h 11430"/>
                              <a:gd name="T10" fmla="*/ 0 w 1882140"/>
                              <a:gd name="T11" fmla="*/ 0 h 11430"/>
                              <a:gd name="T12" fmla="*/ 1882140 w 1882140"/>
                              <a:gd name="T13" fmla="*/ 11430 h 11430"/>
                            </a:gdLst>
                            <a:ahLst/>
                            <a:cxnLst>
                              <a:cxn ang="0">
                                <a:pos x="T0" y="T1"/>
                              </a:cxn>
                              <a:cxn ang="0">
                                <a:pos x="T2" y="T3"/>
                              </a:cxn>
                              <a:cxn ang="0">
                                <a:pos x="T4" y="T5"/>
                              </a:cxn>
                              <a:cxn ang="0">
                                <a:pos x="T6" y="T7"/>
                              </a:cxn>
                              <a:cxn ang="0">
                                <a:pos x="T8" y="T9"/>
                              </a:cxn>
                            </a:cxnLst>
                            <a:rect l="T10" t="T11" r="T12" b="T13"/>
                            <a:pathLst>
                              <a:path w="1882140" h="11430">
                                <a:moveTo>
                                  <a:pt x="0" y="0"/>
                                </a:moveTo>
                                <a:lnTo>
                                  <a:pt x="1882140" y="0"/>
                                </a:lnTo>
                                <a:lnTo>
                                  <a:pt x="1882140" y="11430"/>
                                </a:lnTo>
                                <a:lnTo>
                                  <a:pt x="0" y="11430"/>
                                </a:lnTo>
                                <a:lnTo>
                                  <a:pt x="0" y="0"/>
                                </a:lnTo>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E2D729">
              <v:group id="Group 7" style="position:absolute;margin-left:0;margin-top:0;width:148.2pt;height:.9pt;z-index:251660288;mso-position-horizontal-relative:char;mso-position-vertical-relative:line" coordsize="18821,114" o:spid="_x0000_s1026" w14:anchorId="28F4E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">
                <v:shape id="Shape 5218" style="position:absolute;width:18821;height:114;visibility:visible;mso-wrap-style:square;v-text-anchor:top" coordsize="1882140,11430" o:spid="_x0000_s1027" fillcolor="black" stroked="f" path="m,l1882140,r,11430l,11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">
                  <v:path textboxrect="0,0,1882140,11430" arrowok="t" o:connecttype="custom" o:connectlocs="0,0;18821,0;18821,114;0,114;0,0" o:connectangles="0,0,0,0,0"/>
                </v:shape>
                <w10:wrap anchory="line"/>
              </v:group>
            </w:pict>
          </mc:Fallback>
        </mc:AlternateContent>
      </w:r>
      <w:r>
        <w:rPr>
          <w:noProof/>
        </w:rPr>
        <mc:AlternateContent>
          <mc:Choice Requires="wps">
            <w:drawing>
              <wp:inline distT="0" distB="0" distL="0" distR="0" wp14:anchorId="32E8140E" wp14:editId="1DEA2A5B">
                <wp:extent cx="1876425" cy="1206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6425"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w14:anchorId="171B701C">
              <v:rect id="Rectangle 2" style="width:147.75pt;height:.9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71CB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">
                <o:lock v:ext="edit" aspectratio="t"/>
                <w10:anchorlock/>
              </v:rect>
            </w:pict>
          </mc:Fallback>
        </mc:AlternateContent>
      </w:r>
    </w:p>
    <w:p w14:paraId="5A84DE74" w14:textId="77777777" w:rsidR="004F07DF" w:rsidRPr="00F85FBA" w:rsidRDefault="004F07DF" w:rsidP="004F07DF">
      <w:pPr>
        <w:widowControl w:val="0"/>
        <w:numPr>
          <w:ilvl w:val="0"/>
          <w:numId w:val="13"/>
        </w:numPr>
        <w:autoSpaceDE w:val="0"/>
        <w:autoSpaceDN w:val="0"/>
        <w:spacing w:before="70" w:after="0" w:line="326" w:lineRule="auto"/>
        <w:ind w:right="457"/>
        <w:rPr>
          <w:rFonts w:ascii="Calibri" w:hAnsi="Calibri" w:cs="Calibri"/>
          <w:b/>
          <w:bCs/>
          <w:color w:val="auto"/>
          <w:sz w:val="16"/>
          <w:szCs w:val="16"/>
          <w:lang w:val="en-US"/>
        </w:rPr>
      </w:pPr>
      <w:r w:rsidRPr="00F85FBA">
        <w:rPr>
          <w:rFonts w:ascii="Calibri" w:hAnsi="Calibri" w:cs="Calibri"/>
          <w:b/>
          <w:bCs/>
          <w:color w:val="auto"/>
          <w:w w:val="105"/>
          <w:sz w:val="16"/>
          <w:szCs w:val="16"/>
          <w:lang w:val="en-US"/>
        </w:rPr>
        <w:t xml:space="preserve"> Public law body WITH LEGAL PERSONALITY, meaning a public entity being able to represent itself and act in its own name, </w:t>
      </w:r>
      <w:proofErr w:type="gramStart"/>
      <w:r w:rsidRPr="00F85FBA">
        <w:rPr>
          <w:rFonts w:ascii="Calibri" w:hAnsi="Calibri" w:cs="Calibri"/>
          <w:b/>
          <w:bCs/>
          <w:color w:val="auto"/>
          <w:w w:val="105"/>
          <w:sz w:val="16"/>
          <w:szCs w:val="16"/>
          <w:lang w:val="en-US"/>
        </w:rPr>
        <w:t>i.e.</w:t>
      </w:r>
      <w:proofErr w:type="gramEnd"/>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being</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capable</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of</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suing</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or</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being</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sued,</w:t>
      </w:r>
      <w:r w:rsidRPr="00F85FBA">
        <w:rPr>
          <w:rFonts w:ascii="Calibri" w:hAnsi="Calibri" w:cs="Calibri"/>
          <w:b/>
          <w:bCs/>
          <w:color w:val="auto"/>
          <w:spacing w:val="-10"/>
          <w:w w:val="105"/>
          <w:sz w:val="16"/>
          <w:szCs w:val="16"/>
          <w:lang w:val="en-US"/>
        </w:rPr>
        <w:t xml:space="preserve"> </w:t>
      </w:r>
      <w:r w:rsidRPr="00F85FBA">
        <w:rPr>
          <w:rFonts w:ascii="Calibri" w:hAnsi="Calibri" w:cs="Calibri"/>
          <w:b/>
          <w:bCs/>
          <w:color w:val="auto"/>
          <w:w w:val="105"/>
          <w:sz w:val="16"/>
          <w:szCs w:val="16"/>
          <w:lang w:val="en-US"/>
        </w:rPr>
        <w:t>acquiring</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and</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disposing</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of</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property,</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entering</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into</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contracts.</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This</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legal</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status</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is</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con- firmed by the official legal act establishing the entity (a law, a decree,</w:t>
      </w:r>
      <w:r w:rsidRPr="00F85FBA">
        <w:rPr>
          <w:rFonts w:ascii="Calibri" w:hAnsi="Calibri" w:cs="Calibri"/>
          <w:b/>
          <w:bCs/>
          <w:color w:val="auto"/>
          <w:spacing w:val="-25"/>
          <w:w w:val="105"/>
          <w:sz w:val="16"/>
          <w:szCs w:val="16"/>
          <w:lang w:val="en-US"/>
        </w:rPr>
        <w:t xml:space="preserve"> </w:t>
      </w:r>
      <w:r w:rsidRPr="00F85FBA">
        <w:rPr>
          <w:rFonts w:ascii="Calibri" w:hAnsi="Calibri" w:cs="Calibri"/>
          <w:b/>
          <w:bCs/>
          <w:color w:val="auto"/>
          <w:w w:val="105"/>
          <w:sz w:val="16"/>
          <w:szCs w:val="16"/>
          <w:lang w:val="en-US"/>
        </w:rPr>
        <w:t>etc.).</w:t>
      </w:r>
    </w:p>
    <w:p w14:paraId="3656E820" w14:textId="77777777" w:rsidR="004F07DF" w:rsidRPr="00F85FBA" w:rsidRDefault="004F07DF" w:rsidP="004F07DF">
      <w:pPr>
        <w:widowControl w:val="0"/>
        <w:numPr>
          <w:ilvl w:val="0"/>
          <w:numId w:val="13"/>
        </w:numPr>
        <w:autoSpaceDE w:val="0"/>
        <w:autoSpaceDN w:val="0"/>
        <w:spacing w:after="0" w:line="194" w:lineRule="exact"/>
        <w:rPr>
          <w:rFonts w:ascii="Calibri" w:hAnsi="Calibri" w:cs="Calibri"/>
          <w:b/>
          <w:bCs/>
          <w:color w:val="auto"/>
          <w:sz w:val="16"/>
          <w:szCs w:val="16"/>
          <w:lang w:val="en-US"/>
        </w:rPr>
      </w:pPr>
      <w:r w:rsidRPr="00F85FBA">
        <w:rPr>
          <w:rFonts w:ascii="Calibri" w:hAnsi="Calibri" w:cs="Calibri"/>
          <w:b/>
          <w:bCs/>
          <w:color w:val="auto"/>
          <w:w w:val="105"/>
          <w:sz w:val="16"/>
          <w:szCs w:val="16"/>
          <w:lang w:val="en-US"/>
        </w:rPr>
        <w:t xml:space="preserve"> National denomination and its translation in EN or FR if existing.</w:t>
      </w:r>
    </w:p>
    <w:p w14:paraId="3F13E140" w14:textId="77777777" w:rsidR="004F07DF" w:rsidRPr="00F85FBA" w:rsidRDefault="004F07DF" w:rsidP="004F07DF">
      <w:pPr>
        <w:widowControl w:val="0"/>
        <w:numPr>
          <w:ilvl w:val="0"/>
          <w:numId w:val="13"/>
        </w:numPr>
        <w:autoSpaceDE w:val="0"/>
        <w:autoSpaceDN w:val="0"/>
        <w:spacing w:before="70" w:after="30" w:line="264" w:lineRule="auto"/>
        <w:ind w:right="241"/>
        <w:rPr>
          <w:rFonts w:ascii="Calibri" w:hAnsi="Calibri" w:cs="Calibri"/>
          <w:b/>
          <w:bCs/>
          <w:color w:val="auto"/>
          <w:sz w:val="16"/>
          <w:szCs w:val="16"/>
          <w:lang w:val="en-US"/>
        </w:rPr>
      </w:pPr>
      <w:r w:rsidRPr="00F85FBA">
        <w:rPr>
          <w:rFonts w:ascii="Calibri" w:hAnsi="Calibri" w:cs="Calibri"/>
          <w:b/>
          <w:bCs/>
          <w:color w:val="auto"/>
          <w:w w:val="105"/>
          <w:sz w:val="16"/>
          <w:szCs w:val="16"/>
          <w:lang w:val="en-US"/>
        </w:rPr>
        <w:t xml:space="preserve"> Registration number in the national register of the entity.</w:t>
      </w:r>
    </w:p>
    <w:p w14:paraId="78B534FB" w14:textId="77777777" w:rsidR="004F07DF" w:rsidRDefault="004F07DF" w:rsidP="004F07DF">
      <w:pPr>
        <w:spacing w:line="259" w:lineRule="auto"/>
        <w:rPr>
          <w:rFonts w:cs="Calibri"/>
          <w:color w:val="333333"/>
          <w:szCs w:val="21"/>
        </w:rPr>
      </w:pPr>
    </w:p>
    <w:p w14:paraId="5ABE6E21" w14:textId="77777777" w:rsidR="004F07DF" w:rsidRPr="00291839" w:rsidRDefault="004F07DF" w:rsidP="004F07DF">
      <w:pPr>
        <w:pStyle w:val="Heading3"/>
        <w:numPr>
          <w:ilvl w:val="2"/>
          <w:numId w:val="56"/>
        </w:numPr>
        <w:rPr>
          <w:color w:val="FF0000"/>
        </w:rPr>
      </w:pPr>
      <w:bookmarkStart w:id="180" w:name="_Toc51601707"/>
      <w:r>
        <w:br w:type="page"/>
      </w:r>
      <w:bookmarkStart w:id="181" w:name="_Toc117027532"/>
      <w:r w:rsidRPr="00291839">
        <w:rPr>
          <w:color w:val="FF0000"/>
        </w:rPr>
        <w:lastRenderedPageBreak/>
        <w:t>Public law entity</w:t>
      </w:r>
      <w:bookmarkEnd w:id="180"/>
      <w:bookmarkEnd w:id="181"/>
    </w:p>
    <w:p w14:paraId="5693C606" w14:textId="77777777" w:rsidR="004F07DF" w:rsidRPr="005A26CF" w:rsidRDefault="004F07DF" w:rsidP="004F07DF">
      <w:pPr>
        <w:spacing w:line="259" w:lineRule="auto"/>
        <w:rPr>
          <w:rFonts w:cs="Calibri"/>
          <w:color w:val="333333"/>
          <w:szCs w:val="21"/>
          <w:lang w:val="en-US"/>
        </w:rPr>
      </w:pPr>
      <w:r w:rsidRPr="005A26CF">
        <w:rPr>
          <w:rFonts w:cs="Calibri"/>
          <w:color w:val="333333"/>
          <w:szCs w:val="21"/>
          <w:lang w:val="en-US"/>
        </w:rPr>
        <w:t xml:space="preserve">To fill the form, please click </w:t>
      </w:r>
      <w:proofErr w:type="gramStart"/>
      <w:r w:rsidRPr="005A26CF">
        <w:rPr>
          <w:rFonts w:cs="Calibri"/>
          <w:color w:val="333333"/>
          <w:szCs w:val="21"/>
          <w:lang w:val="en-US"/>
        </w:rPr>
        <w:t>here :</w:t>
      </w:r>
      <w:proofErr w:type="gramEnd"/>
      <w:r w:rsidRPr="005A26CF">
        <w:rPr>
          <w:rFonts w:cs="Calibri"/>
          <w:color w:val="333333"/>
          <w:szCs w:val="21"/>
          <w:lang w:val="en-US"/>
        </w:rPr>
        <w:t xml:space="preserve"> </w:t>
      </w:r>
      <w:r w:rsidRPr="00B51693">
        <w:rPr>
          <w:rFonts w:cs="Calibri"/>
          <w:color w:val="333333"/>
          <w:szCs w:val="21"/>
          <w:lang w:val="en-US"/>
        </w:rPr>
        <w:t>https://documentcloud.adobe.com/link/track?uri=urn:aaid:scds:US:fcf7423f-7287-4cbb-9c7b-645ab60734a3</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493"/>
      </w:tblGrid>
      <w:tr w:rsidR="004F07DF" w:rsidRPr="00C94CF0" w14:paraId="41FC23DD" w14:textId="77777777" w:rsidTr="009F6F46">
        <w:trPr>
          <w:trHeight w:val="5763"/>
        </w:trPr>
        <w:tc>
          <w:tcPr>
            <w:tcW w:w="8720" w:type="dxa"/>
            <w:gridSpan w:val="2"/>
            <w:tcBorders>
              <w:bottom w:val="single" w:sz="4" w:space="0" w:color="auto"/>
            </w:tcBorders>
            <w:shd w:val="clear" w:color="auto" w:fill="auto"/>
            <w:vAlign w:val="center"/>
          </w:tcPr>
          <w:p w14:paraId="7E20AC71" w14:textId="77777777" w:rsidR="004F07DF" w:rsidRPr="000D5519" w:rsidRDefault="004F07DF" w:rsidP="009F6F46">
            <w:pPr>
              <w:spacing w:after="200"/>
              <w:rPr>
                <w:sz w:val="16"/>
                <w:szCs w:val="16"/>
                <w:lang w:val="en-US"/>
              </w:rPr>
            </w:pPr>
            <w:r w:rsidRPr="000D5519">
              <w:rPr>
                <w:b/>
                <w:sz w:val="18"/>
                <w:szCs w:val="18"/>
                <w:u w:val="single"/>
                <w:lang w:val="en-US"/>
              </w:rPr>
              <w:br w:type="page"/>
            </w:r>
            <w:r w:rsidRPr="000D5519">
              <w:rPr>
                <w:b/>
                <w:sz w:val="16"/>
                <w:szCs w:val="16"/>
                <w:lang w:val="en-US"/>
              </w:rPr>
              <w:t>OFFICIAL NAME</w:t>
            </w:r>
            <w:r w:rsidRPr="000D5519">
              <w:rPr>
                <w:rFonts w:ascii="Calibri,Bold" w:hAnsi="Calibri,Bold" w:cs="Calibri,Bold"/>
                <w:b/>
                <w:bCs/>
                <w:sz w:val="15"/>
                <w:szCs w:val="15"/>
                <w:lang w:val="en-US"/>
              </w:rPr>
              <w:t>①</w:t>
            </w:r>
            <w:r w:rsidRPr="000D5519">
              <w:rPr>
                <w:b/>
                <w:sz w:val="16"/>
                <w:szCs w:val="16"/>
                <w:lang w:val="en-US"/>
              </w:rPr>
              <w:br/>
            </w:r>
            <w:r w:rsidRPr="000D5519">
              <w:rPr>
                <w:b/>
                <w:sz w:val="16"/>
                <w:szCs w:val="16"/>
                <w:lang w:val="en-US"/>
              </w:rPr>
              <w:br/>
              <w:t>BUSINESS NAME</w:t>
            </w:r>
            <w:r w:rsidRPr="000D5519">
              <w:rPr>
                <w:b/>
                <w:sz w:val="16"/>
                <w:szCs w:val="16"/>
                <w:lang w:val="en-US"/>
              </w:rPr>
              <w:br/>
              <w:t>(if different)</w:t>
            </w:r>
            <w:r w:rsidRPr="000D5519">
              <w:rPr>
                <w:b/>
                <w:sz w:val="16"/>
                <w:szCs w:val="16"/>
                <w:lang w:val="fr-BE"/>
              </w:rPr>
              <w:fldChar w:fldCharType="begin"/>
            </w:r>
            <w:r w:rsidRPr="000D5519">
              <w:rPr>
                <w:b/>
                <w:sz w:val="16"/>
                <w:szCs w:val="16"/>
                <w:lang w:val="en-US"/>
              </w:rPr>
              <w:instrText xml:space="preserve"> AUTOTEXT  " Zone de texte simple"  \* MERGEFORMAT </w:instrText>
            </w:r>
            <w:r w:rsidRPr="000D5519">
              <w:rPr>
                <w:sz w:val="16"/>
                <w:szCs w:val="16"/>
                <w:lang w:val="fr-BE"/>
              </w:rPr>
              <w:fldChar w:fldCharType="end"/>
            </w:r>
          </w:p>
          <w:p w14:paraId="46846A34" w14:textId="77777777" w:rsidR="004F07DF" w:rsidRPr="000D5519" w:rsidRDefault="004F07DF" w:rsidP="009F6F46">
            <w:pPr>
              <w:spacing w:after="200"/>
              <w:rPr>
                <w:b/>
                <w:sz w:val="16"/>
                <w:szCs w:val="16"/>
                <w:lang w:val="en-US"/>
              </w:rPr>
            </w:pPr>
            <w:r w:rsidRPr="000D5519">
              <w:rPr>
                <w:b/>
                <w:sz w:val="16"/>
                <w:szCs w:val="16"/>
                <w:lang w:val="en-US"/>
              </w:rPr>
              <w:t>ABREVIATION</w:t>
            </w:r>
          </w:p>
          <w:p w14:paraId="60EB302B" w14:textId="77777777" w:rsidR="004F07DF" w:rsidRPr="000D5519" w:rsidRDefault="004F07DF" w:rsidP="009F6F46">
            <w:pPr>
              <w:tabs>
                <w:tab w:val="left" w:pos="2268"/>
              </w:tabs>
              <w:rPr>
                <w:b/>
                <w:sz w:val="16"/>
                <w:szCs w:val="16"/>
                <w:lang w:val="en-US"/>
              </w:rPr>
            </w:pPr>
            <w:r w:rsidRPr="000D5519">
              <w:rPr>
                <w:b/>
                <w:sz w:val="16"/>
                <w:szCs w:val="16"/>
                <w:lang w:val="en-US"/>
              </w:rPr>
              <w:t xml:space="preserve">LEGAL FORM </w:t>
            </w:r>
          </w:p>
          <w:p w14:paraId="39A3D550" w14:textId="77777777" w:rsidR="004F07DF" w:rsidRPr="000D5519" w:rsidRDefault="004F07DF" w:rsidP="009F6F46">
            <w:pPr>
              <w:tabs>
                <w:tab w:val="left" w:pos="2268"/>
              </w:tabs>
              <w:rPr>
                <w:b/>
                <w:sz w:val="16"/>
                <w:szCs w:val="16"/>
                <w:lang w:val="en-US"/>
              </w:rPr>
            </w:pPr>
          </w:p>
          <w:p w14:paraId="5D3B22EC" w14:textId="77777777" w:rsidR="004F07DF" w:rsidRPr="000D5519" w:rsidRDefault="004F07DF" w:rsidP="009F6F46">
            <w:pPr>
              <w:tabs>
                <w:tab w:val="left" w:pos="2268"/>
              </w:tabs>
              <w:rPr>
                <w:b/>
                <w:sz w:val="16"/>
                <w:szCs w:val="16"/>
                <w:lang w:val="en-US"/>
              </w:rPr>
            </w:pPr>
            <w:r w:rsidRPr="000D5519">
              <w:rPr>
                <w:b/>
                <w:sz w:val="16"/>
                <w:szCs w:val="16"/>
                <w:lang w:val="en-US"/>
              </w:rPr>
              <w:t>ORGANISATION TYPE</w:t>
            </w:r>
            <w:r w:rsidRPr="000D5519">
              <w:rPr>
                <w:b/>
                <w:sz w:val="16"/>
                <w:szCs w:val="16"/>
                <w:lang w:val="en-US"/>
              </w:rPr>
              <w:tab/>
              <w:t>FOR PROFIT</w:t>
            </w:r>
          </w:p>
          <w:p w14:paraId="40B78ECD" w14:textId="77777777" w:rsidR="004F07DF" w:rsidRPr="000D5519" w:rsidRDefault="004F07DF" w:rsidP="009F6F46">
            <w:pPr>
              <w:tabs>
                <w:tab w:val="left" w:pos="2268"/>
                <w:tab w:val="left" w:pos="4536"/>
                <w:tab w:val="left" w:pos="5387"/>
                <w:tab w:val="left" w:pos="6096"/>
              </w:tabs>
              <w:spacing w:after="200"/>
              <w:rPr>
                <w:b/>
                <w:sz w:val="16"/>
                <w:szCs w:val="16"/>
                <w:lang w:val="en-US"/>
              </w:rPr>
            </w:pPr>
            <w:r w:rsidRPr="000D5519">
              <w:rPr>
                <w:b/>
                <w:sz w:val="16"/>
                <w:szCs w:val="16"/>
                <w:lang w:val="en-US"/>
              </w:rPr>
              <w:tab/>
              <w:t>NOT FOR PROFIT</w:t>
            </w:r>
            <w:r w:rsidRPr="000D5519">
              <w:rPr>
                <w:b/>
                <w:sz w:val="16"/>
                <w:szCs w:val="16"/>
                <w:lang w:val="en-US"/>
              </w:rPr>
              <w:tab/>
              <w:t>NGO</w:t>
            </w:r>
            <w:r w:rsidRPr="000D5519">
              <w:rPr>
                <w:rFonts w:ascii="Calibri,Bold" w:hAnsi="Calibri,Bold" w:cs="Calibri,Bold"/>
                <w:b/>
                <w:bCs/>
                <w:sz w:val="15"/>
                <w:szCs w:val="15"/>
                <w:lang w:val="en-US"/>
              </w:rPr>
              <w:t>②</w:t>
            </w:r>
            <w:r w:rsidRPr="000D5519">
              <w:rPr>
                <w:rFonts w:ascii="Calibri,Bold" w:hAnsi="Calibri,Bold" w:cs="Calibri,Bold"/>
                <w:b/>
                <w:bCs/>
                <w:sz w:val="15"/>
                <w:szCs w:val="15"/>
                <w:lang w:val="en-US"/>
              </w:rPr>
              <w:tab/>
            </w:r>
            <w:proofErr w:type="gramStart"/>
            <w:r w:rsidRPr="000D5519">
              <w:rPr>
                <w:b/>
                <w:sz w:val="16"/>
                <w:szCs w:val="16"/>
                <w:lang w:val="en-US"/>
              </w:rPr>
              <w:t>YES</w:t>
            </w:r>
            <w:proofErr w:type="gramEnd"/>
            <w:r w:rsidRPr="000D5519">
              <w:rPr>
                <w:b/>
                <w:sz w:val="16"/>
                <w:szCs w:val="16"/>
                <w:lang w:val="en-US"/>
              </w:rPr>
              <w:tab/>
              <w:t>NO</w:t>
            </w:r>
            <w:r w:rsidRPr="000D5519">
              <w:rPr>
                <w:b/>
                <w:sz w:val="16"/>
                <w:szCs w:val="16"/>
                <w:lang w:val="en-US"/>
              </w:rPr>
              <w:br/>
            </w:r>
            <w:r w:rsidRPr="000D5519">
              <w:rPr>
                <w:b/>
                <w:sz w:val="16"/>
                <w:szCs w:val="16"/>
                <w:lang w:val="en-US"/>
              </w:rPr>
              <w:br/>
              <w:t>MAIN REGISTRATION NUMBER</w:t>
            </w:r>
            <w:r w:rsidRPr="000D5519">
              <w:rPr>
                <w:rFonts w:hint="eastAsia"/>
                <w:b/>
                <w:sz w:val="16"/>
                <w:szCs w:val="16"/>
                <w:lang w:val="en-US"/>
              </w:rPr>
              <w:t>③</w:t>
            </w:r>
          </w:p>
          <w:p w14:paraId="5CEE2ADC" w14:textId="77777777" w:rsidR="004F07DF" w:rsidRPr="000D5519" w:rsidRDefault="004F07DF" w:rsidP="009F6F46">
            <w:pPr>
              <w:tabs>
                <w:tab w:val="left" w:pos="3828"/>
                <w:tab w:val="left" w:pos="5670"/>
              </w:tabs>
              <w:spacing w:after="200"/>
              <w:rPr>
                <w:b/>
                <w:sz w:val="16"/>
                <w:szCs w:val="16"/>
                <w:lang w:val="en-US"/>
              </w:rPr>
            </w:pPr>
            <w:r w:rsidRPr="000D5519">
              <w:rPr>
                <w:b/>
                <w:sz w:val="16"/>
                <w:szCs w:val="16"/>
                <w:lang w:val="en-US"/>
              </w:rPr>
              <w:t xml:space="preserve">SECONDARY REGISTRATION NUMBER </w:t>
            </w:r>
            <w:r w:rsidRPr="000D5519">
              <w:rPr>
                <w:b/>
                <w:sz w:val="16"/>
                <w:szCs w:val="16"/>
                <w:lang w:val="en-US"/>
              </w:rPr>
              <w:br/>
              <w:t>(if applicable)</w:t>
            </w:r>
          </w:p>
          <w:p w14:paraId="37EF1257" w14:textId="77777777" w:rsidR="004F07DF" w:rsidRPr="000D5519" w:rsidRDefault="004F07DF" w:rsidP="009F6F46">
            <w:pPr>
              <w:tabs>
                <w:tab w:val="left" w:pos="3828"/>
                <w:tab w:val="left" w:pos="5670"/>
              </w:tabs>
              <w:spacing w:after="200"/>
              <w:rPr>
                <w:b/>
                <w:sz w:val="16"/>
                <w:szCs w:val="16"/>
                <w:lang w:val="en-US"/>
              </w:rPr>
            </w:pPr>
            <w:r w:rsidRPr="000D5519">
              <w:rPr>
                <w:b/>
                <w:sz w:val="16"/>
                <w:szCs w:val="16"/>
                <w:lang w:val="en-US"/>
              </w:rPr>
              <w:t>PLACE OF MAIN REGISTRATION</w:t>
            </w:r>
            <w:r w:rsidRPr="000D5519">
              <w:rPr>
                <w:b/>
                <w:sz w:val="16"/>
                <w:szCs w:val="16"/>
                <w:lang w:val="en-US"/>
              </w:rPr>
              <w:tab/>
              <w:t>CITY</w:t>
            </w:r>
            <w:r w:rsidRPr="000D5519">
              <w:rPr>
                <w:b/>
                <w:sz w:val="16"/>
                <w:szCs w:val="16"/>
                <w:lang w:val="en-US"/>
              </w:rPr>
              <w:tab/>
              <w:t>COUNTRY</w:t>
            </w:r>
          </w:p>
          <w:p w14:paraId="699F53F7" w14:textId="77777777" w:rsidR="004F07DF" w:rsidRPr="000D5519" w:rsidRDefault="004F07DF" w:rsidP="009F6F46">
            <w:pPr>
              <w:tabs>
                <w:tab w:val="left" w:pos="3969"/>
                <w:tab w:val="left" w:pos="4536"/>
                <w:tab w:val="left" w:pos="5245"/>
              </w:tabs>
              <w:spacing w:after="200"/>
              <w:rPr>
                <w:b/>
                <w:sz w:val="16"/>
                <w:szCs w:val="16"/>
                <w:lang w:val="en-US"/>
              </w:rPr>
            </w:pPr>
            <w:r w:rsidRPr="000D5519">
              <w:rPr>
                <w:b/>
                <w:sz w:val="16"/>
                <w:szCs w:val="16"/>
                <w:lang w:val="en-US"/>
              </w:rPr>
              <w:t>DATE OF MAIN REGISTRATION</w:t>
            </w:r>
            <w:r w:rsidRPr="000D5519">
              <w:rPr>
                <w:b/>
                <w:sz w:val="16"/>
                <w:szCs w:val="16"/>
                <w:lang w:val="en-US"/>
              </w:rPr>
              <w:br/>
            </w:r>
            <w:r w:rsidRPr="000D5519">
              <w:rPr>
                <w:b/>
                <w:sz w:val="16"/>
                <w:szCs w:val="16"/>
                <w:lang w:val="en-US"/>
              </w:rPr>
              <w:tab/>
              <w:t>DD</w:t>
            </w:r>
            <w:r w:rsidRPr="000D5519">
              <w:rPr>
                <w:b/>
                <w:sz w:val="16"/>
                <w:szCs w:val="16"/>
                <w:lang w:val="en-US"/>
              </w:rPr>
              <w:tab/>
              <w:t>MM</w:t>
            </w:r>
            <w:r w:rsidRPr="000D5519">
              <w:rPr>
                <w:b/>
                <w:sz w:val="16"/>
                <w:szCs w:val="16"/>
                <w:lang w:val="en-US"/>
              </w:rPr>
              <w:tab/>
              <w:t>YYYY</w:t>
            </w:r>
          </w:p>
          <w:p w14:paraId="20652C0F" w14:textId="77777777" w:rsidR="004F07DF" w:rsidRPr="000D5519" w:rsidRDefault="004F07DF" w:rsidP="009F6F46">
            <w:pPr>
              <w:spacing w:after="200"/>
              <w:rPr>
                <w:b/>
                <w:sz w:val="16"/>
                <w:szCs w:val="16"/>
                <w:lang w:val="en-US"/>
              </w:rPr>
            </w:pPr>
            <w:r w:rsidRPr="000D5519">
              <w:rPr>
                <w:b/>
                <w:sz w:val="16"/>
                <w:szCs w:val="16"/>
                <w:lang w:val="en-US"/>
              </w:rPr>
              <w:t>VAT NUMBER</w:t>
            </w:r>
          </w:p>
          <w:p w14:paraId="6458028E" w14:textId="77777777" w:rsidR="004F07DF" w:rsidRPr="000D5519" w:rsidRDefault="004F07DF" w:rsidP="009F6F46">
            <w:pPr>
              <w:spacing w:after="200"/>
              <w:rPr>
                <w:b/>
                <w:sz w:val="16"/>
                <w:szCs w:val="16"/>
                <w:lang w:val="en-US"/>
              </w:rPr>
            </w:pPr>
            <w:r w:rsidRPr="000D5519">
              <w:rPr>
                <w:b/>
                <w:sz w:val="16"/>
                <w:szCs w:val="16"/>
                <w:lang w:val="en-US"/>
              </w:rPr>
              <w:t>ADDRESS OF</w:t>
            </w:r>
            <w:r w:rsidRPr="000D5519">
              <w:rPr>
                <w:b/>
                <w:sz w:val="16"/>
                <w:szCs w:val="16"/>
                <w:lang w:val="en-US"/>
              </w:rPr>
              <w:br/>
              <w:t>HEAD OFFICE</w:t>
            </w:r>
          </w:p>
          <w:p w14:paraId="1F66E9E3" w14:textId="77777777" w:rsidR="004F07DF" w:rsidRPr="000D5519" w:rsidRDefault="004F07DF" w:rsidP="009F6F46">
            <w:pPr>
              <w:tabs>
                <w:tab w:val="left" w:pos="2127"/>
                <w:tab w:val="left" w:pos="5103"/>
              </w:tabs>
              <w:spacing w:after="200"/>
              <w:rPr>
                <w:b/>
                <w:sz w:val="16"/>
                <w:szCs w:val="16"/>
                <w:lang w:val="en-US"/>
              </w:rPr>
            </w:pPr>
            <w:r w:rsidRPr="000D5519">
              <w:rPr>
                <w:b/>
                <w:sz w:val="16"/>
                <w:szCs w:val="16"/>
                <w:lang w:val="en-US"/>
              </w:rPr>
              <w:t>POSTCODE</w:t>
            </w:r>
            <w:r w:rsidRPr="000D5519">
              <w:rPr>
                <w:b/>
                <w:sz w:val="16"/>
                <w:szCs w:val="16"/>
                <w:lang w:val="en-US"/>
              </w:rPr>
              <w:tab/>
              <w:t>P.O. BOX</w:t>
            </w:r>
            <w:r w:rsidRPr="000D5519">
              <w:rPr>
                <w:b/>
                <w:sz w:val="16"/>
                <w:szCs w:val="16"/>
                <w:lang w:val="en-US"/>
              </w:rPr>
              <w:tab/>
            </w:r>
            <w:r w:rsidRPr="000D5519">
              <w:rPr>
                <w:b/>
                <w:sz w:val="16"/>
                <w:szCs w:val="16"/>
                <w:lang w:val="en-US"/>
              </w:rPr>
              <w:tab/>
              <w:t>CITY</w:t>
            </w:r>
          </w:p>
          <w:p w14:paraId="4A277D4F" w14:textId="77777777" w:rsidR="004F07DF" w:rsidRPr="000D5519" w:rsidRDefault="004F07DF" w:rsidP="009F6F46">
            <w:pPr>
              <w:tabs>
                <w:tab w:val="left" w:pos="5670"/>
              </w:tabs>
              <w:spacing w:after="200"/>
              <w:rPr>
                <w:b/>
                <w:sz w:val="16"/>
                <w:szCs w:val="16"/>
                <w:lang w:val="en-US"/>
              </w:rPr>
            </w:pPr>
            <w:r w:rsidRPr="000D5519">
              <w:rPr>
                <w:b/>
                <w:sz w:val="16"/>
                <w:szCs w:val="16"/>
                <w:lang w:val="en-US"/>
              </w:rPr>
              <w:t>COUNTRY</w:t>
            </w:r>
            <w:r w:rsidRPr="000D5519">
              <w:rPr>
                <w:b/>
                <w:sz w:val="16"/>
                <w:szCs w:val="16"/>
                <w:lang w:val="en-US"/>
              </w:rPr>
              <w:tab/>
              <w:t xml:space="preserve">PHONE </w:t>
            </w:r>
          </w:p>
          <w:p w14:paraId="67FF235A" w14:textId="77777777" w:rsidR="004F07DF" w:rsidRPr="000D5519" w:rsidRDefault="004F07DF" w:rsidP="009F6F46">
            <w:pPr>
              <w:spacing w:after="200"/>
              <w:rPr>
                <w:b/>
                <w:sz w:val="18"/>
                <w:szCs w:val="18"/>
                <w:u w:val="single"/>
                <w:lang w:val="fr-BE"/>
              </w:rPr>
            </w:pPr>
            <w:proofErr w:type="gramStart"/>
            <w:r w:rsidRPr="000D5519">
              <w:rPr>
                <w:b/>
                <w:sz w:val="16"/>
                <w:szCs w:val="16"/>
                <w:lang w:val="fr-BE"/>
              </w:rPr>
              <w:t>E-MAIL</w:t>
            </w:r>
            <w:proofErr w:type="gramEnd"/>
          </w:p>
        </w:tc>
      </w:tr>
      <w:tr w:rsidR="004F07DF" w:rsidRPr="00C94CF0" w14:paraId="756CE3B3" w14:textId="77777777" w:rsidTr="009F6F46">
        <w:trPr>
          <w:trHeight w:val="698"/>
        </w:trPr>
        <w:tc>
          <w:tcPr>
            <w:tcW w:w="3227" w:type="dxa"/>
            <w:tcBorders>
              <w:top w:val="single" w:sz="4" w:space="0" w:color="auto"/>
              <w:bottom w:val="single" w:sz="4" w:space="0" w:color="auto"/>
              <w:right w:val="single" w:sz="4" w:space="0" w:color="auto"/>
            </w:tcBorders>
            <w:shd w:val="clear" w:color="auto" w:fill="auto"/>
          </w:tcPr>
          <w:p w14:paraId="00F8ABE8" w14:textId="77777777" w:rsidR="004F07DF" w:rsidRPr="000D5519" w:rsidRDefault="004F07DF" w:rsidP="009F6F46">
            <w:pPr>
              <w:spacing w:before="120" w:after="120"/>
              <w:rPr>
                <w:bCs/>
                <w:sz w:val="16"/>
                <w:szCs w:val="16"/>
                <w:lang w:val="fr-BE"/>
              </w:rPr>
            </w:pPr>
            <w:r w:rsidRPr="000D5519">
              <w:rPr>
                <w:b/>
                <w:sz w:val="16"/>
                <w:szCs w:val="16"/>
                <w:lang w:val="fr-BE"/>
              </w:rPr>
              <w:t>DATE</w:t>
            </w:r>
          </w:p>
        </w:tc>
        <w:tc>
          <w:tcPr>
            <w:tcW w:w="5493" w:type="dxa"/>
            <w:vMerge w:val="restart"/>
            <w:tcBorders>
              <w:top w:val="single" w:sz="4" w:space="0" w:color="auto"/>
              <w:left w:val="single" w:sz="4" w:space="0" w:color="auto"/>
            </w:tcBorders>
            <w:shd w:val="clear" w:color="auto" w:fill="auto"/>
          </w:tcPr>
          <w:p w14:paraId="5EE795DB" w14:textId="77777777" w:rsidR="004F07DF" w:rsidRPr="000D5519" w:rsidRDefault="004F07DF" w:rsidP="009F6F46">
            <w:pPr>
              <w:tabs>
                <w:tab w:val="left" w:pos="2983"/>
              </w:tabs>
              <w:rPr>
                <w:b/>
                <w:sz w:val="18"/>
                <w:szCs w:val="18"/>
                <w:lang w:val="fr-BE"/>
              </w:rPr>
            </w:pPr>
            <w:r w:rsidRPr="000D5519">
              <w:rPr>
                <w:b/>
                <w:sz w:val="16"/>
                <w:szCs w:val="16"/>
                <w:lang w:val="fr-BE"/>
              </w:rPr>
              <w:t>STAMP</w:t>
            </w:r>
          </w:p>
        </w:tc>
      </w:tr>
      <w:tr w:rsidR="004F07DF" w:rsidRPr="00C94CF0" w14:paraId="4ADF61BD" w14:textId="77777777" w:rsidTr="009F6F46">
        <w:trPr>
          <w:trHeight w:val="1871"/>
        </w:trPr>
        <w:tc>
          <w:tcPr>
            <w:tcW w:w="3227" w:type="dxa"/>
            <w:tcBorders>
              <w:top w:val="single" w:sz="4" w:space="0" w:color="auto"/>
              <w:right w:val="single" w:sz="4" w:space="0" w:color="auto"/>
            </w:tcBorders>
            <w:shd w:val="clear" w:color="auto" w:fill="auto"/>
          </w:tcPr>
          <w:p w14:paraId="6D6839F8" w14:textId="77777777" w:rsidR="004F07DF" w:rsidRPr="000D5519" w:rsidRDefault="004F07DF" w:rsidP="009F6F46">
            <w:pPr>
              <w:spacing w:before="120" w:after="120"/>
              <w:rPr>
                <w:b/>
                <w:sz w:val="16"/>
                <w:szCs w:val="16"/>
                <w:lang w:val="fr-BE"/>
              </w:rPr>
            </w:pPr>
            <w:r w:rsidRPr="000D5519">
              <w:rPr>
                <w:b/>
                <w:sz w:val="16"/>
                <w:szCs w:val="16"/>
                <w:lang w:val="fr-BE"/>
              </w:rPr>
              <w:t>SIGNATURE OF AUTHORISED REPRESENTATIVE</w:t>
            </w:r>
          </w:p>
        </w:tc>
        <w:tc>
          <w:tcPr>
            <w:tcW w:w="5493" w:type="dxa"/>
            <w:vMerge/>
            <w:tcBorders>
              <w:left w:val="single" w:sz="4" w:space="0" w:color="auto"/>
              <w:bottom w:val="single" w:sz="4" w:space="0" w:color="auto"/>
            </w:tcBorders>
            <w:shd w:val="clear" w:color="auto" w:fill="auto"/>
          </w:tcPr>
          <w:p w14:paraId="5284C751" w14:textId="77777777" w:rsidR="004F07DF" w:rsidRPr="000D5519" w:rsidRDefault="004F07DF" w:rsidP="009F6F46">
            <w:pPr>
              <w:tabs>
                <w:tab w:val="left" w:pos="2983"/>
              </w:tabs>
              <w:rPr>
                <w:b/>
                <w:sz w:val="18"/>
                <w:szCs w:val="18"/>
                <w:lang w:val="fr-BE"/>
              </w:rPr>
            </w:pPr>
          </w:p>
        </w:tc>
      </w:tr>
    </w:tbl>
    <w:p w14:paraId="76B57E67" w14:textId="0C19CB91" w:rsidR="004F07DF" w:rsidRPr="00F85FBA" w:rsidRDefault="004F07DF" w:rsidP="004F07DF">
      <w:pPr>
        <w:spacing w:after="65"/>
        <w:ind w:left="-29"/>
        <w:rPr>
          <w:rFonts w:ascii="Calibri" w:hAnsi="Calibri"/>
          <w:color w:val="auto"/>
          <w:sz w:val="16"/>
          <w:szCs w:val="16"/>
          <w:lang w:val="fr-BE"/>
        </w:rPr>
      </w:pPr>
      <w:r>
        <w:rPr>
          <w:noProof/>
        </w:rPr>
        <mc:AlternateContent>
          <mc:Choice Requires="wpg">
            <w:drawing>
              <wp:anchor distT="0" distB="0" distL="114300" distR="114300" simplePos="0" relativeHeight="251661312" behindDoc="0" locked="0" layoutInCell="1" allowOverlap="1" wp14:anchorId="38BE1672" wp14:editId="73B544B5">
                <wp:simplePos x="0" y="0"/>
                <wp:positionH relativeFrom="character">
                  <wp:posOffset>0</wp:posOffset>
                </wp:positionH>
                <wp:positionV relativeFrom="line">
                  <wp:posOffset>0</wp:posOffset>
                </wp:positionV>
                <wp:extent cx="1882140" cy="114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6" name="Shape 5218"/>
                        <wps:cNvSpPr>
                          <a:spLocks/>
                        </wps:cNvSpPr>
                        <wps:spPr bwMode="auto">
                          <a:xfrm>
                            <a:off x="0" y="0"/>
                            <a:ext cx="18821" cy="114"/>
                          </a:xfrm>
                          <a:custGeom>
                            <a:avLst/>
                            <a:gdLst>
                              <a:gd name="T0" fmla="*/ 0 w 1882140"/>
                              <a:gd name="T1" fmla="*/ 0 h 11430"/>
                              <a:gd name="T2" fmla="*/ 1882140 w 1882140"/>
                              <a:gd name="T3" fmla="*/ 0 h 11430"/>
                              <a:gd name="T4" fmla="*/ 1882140 w 1882140"/>
                              <a:gd name="T5" fmla="*/ 11430 h 11430"/>
                              <a:gd name="T6" fmla="*/ 0 w 1882140"/>
                              <a:gd name="T7" fmla="*/ 11430 h 11430"/>
                              <a:gd name="T8" fmla="*/ 0 w 1882140"/>
                              <a:gd name="T9" fmla="*/ 0 h 11430"/>
                              <a:gd name="T10" fmla="*/ 0 w 1882140"/>
                              <a:gd name="T11" fmla="*/ 0 h 11430"/>
                              <a:gd name="T12" fmla="*/ 1882140 w 1882140"/>
                              <a:gd name="T13" fmla="*/ 11430 h 11430"/>
                            </a:gdLst>
                            <a:ahLst/>
                            <a:cxnLst>
                              <a:cxn ang="0">
                                <a:pos x="T0" y="T1"/>
                              </a:cxn>
                              <a:cxn ang="0">
                                <a:pos x="T2" y="T3"/>
                              </a:cxn>
                              <a:cxn ang="0">
                                <a:pos x="T4" y="T5"/>
                              </a:cxn>
                              <a:cxn ang="0">
                                <a:pos x="T6" y="T7"/>
                              </a:cxn>
                              <a:cxn ang="0">
                                <a:pos x="T8" y="T9"/>
                              </a:cxn>
                            </a:cxnLst>
                            <a:rect l="T10" t="T11" r="T12" b="T13"/>
                            <a:pathLst>
                              <a:path w="1882140" h="11430">
                                <a:moveTo>
                                  <a:pt x="0" y="0"/>
                                </a:moveTo>
                                <a:lnTo>
                                  <a:pt x="1882140" y="0"/>
                                </a:lnTo>
                                <a:lnTo>
                                  <a:pt x="1882140" y="11430"/>
                                </a:lnTo>
                                <a:lnTo>
                                  <a:pt x="0" y="11430"/>
                                </a:lnTo>
                                <a:lnTo>
                                  <a:pt x="0" y="0"/>
                                </a:lnTo>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61252BA">
              <v:group id="Group 5" style="position:absolute;margin-left:0;margin-top:0;width:148.2pt;height:.9pt;z-index:251661312;mso-position-horizontal-relative:char;mso-position-vertical-relative:line" coordsize="18821,114" o:spid="_x0000_s1026" w14:anchorId="3710C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">
                <v:shape id="Shape 5218" style="position:absolute;width:18821;height:114;visibility:visible;mso-wrap-style:square;v-text-anchor:top" coordsize="1882140,11430" o:spid="_x0000_s1027" fillcolor="black" stroked="f" path="m,l1882140,r,11430l,11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">
                  <v:path textboxrect="0,0,1882140,11430" arrowok="t" o:connecttype="custom" o:connectlocs="0,0;18821,0;18821,114;0,114;0,0" o:connectangles="0,0,0,0,0"/>
                </v:shape>
                <w10:wrap anchory="line"/>
              </v:group>
            </w:pict>
          </mc:Fallback>
        </mc:AlternateContent>
      </w:r>
      <w:r>
        <w:rPr>
          <w:noProof/>
        </w:rPr>
        <mc:AlternateContent>
          <mc:Choice Requires="wps">
            <w:drawing>
              <wp:inline distT="0" distB="0" distL="0" distR="0" wp14:anchorId="0C562DF0" wp14:editId="478C2E2D">
                <wp:extent cx="1876425" cy="1206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6425"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w14:anchorId="226EB01E">
              <v:rect id="Rectangle 1" style="width:147.75pt;height:.9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E61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">
                <o:lock v:ext="edit" aspectratio="t"/>
                <w10:anchorlock/>
              </v:rect>
            </w:pict>
          </mc:Fallback>
        </mc:AlternateContent>
      </w:r>
    </w:p>
    <w:p w14:paraId="2BBF2117" w14:textId="77777777" w:rsidR="004F07DF" w:rsidRPr="00F85FBA" w:rsidRDefault="004F07DF" w:rsidP="004F07DF">
      <w:pPr>
        <w:autoSpaceDE w:val="0"/>
        <w:autoSpaceDN w:val="0"/>
        <w:adjustRightInd w:val="0"/>
        <w:spacing w:after="0" w:line="240" w:lineRule="auto"/>
        <w:rPr>
          <w:rFonts w:ascii="Calibri,Bold" w:hAnsi="Calibri,Bold" w:cs="Calibri,Bold"/>
          <w:b/>
          <w:bCs/>
          <w:color w:val="auto"/>
          <w:sz w:val="17"/>
          <w:szCs w:val="17"/>
          <w:lang w:val="en-US"/>
        </w:rPr>
      </w:pPr>
      <w:r w:rsidRPr="00F85FBA">
        <w:rPr>
          <w:rFonts w:ascii="Calibri,Bold" w:hAnsi="Calibri,Bold" w:cs="Calibri,Bold"/>
          <w:b/>
          <w:bCs/>
          <w:color w:val="auto"/>
          <w:sz w:val="17"/>
          <w:szCs w:val="17"/>
          <w:lang w:val="en-US"/>
        </w:rPr>
        <w:t>① National denomination and its translation in EN or FR if existing.</w:t>
      </w:r>
      <w:r w:rsidRPr="00F85FBA">
        <w:rPr>
          <w:rFonts w:ascii="Calibri,Bold" w:hAnsi="Calibri,Bold" w:cs="Calibri,Bold"/>
          <w:b/>
          <w:bCs/>
          <w:color w:val="auto"/>
          <w:sz w:val="17"/>
          <w:szCs w:val="17"/>
          <w:lang w:val="en-US"/>
        </w:rPr>
        <w:br/>
        <w:t xml:space="preserve">② NGO = </w:t>
      </w:r>
      <w:proofErr w:type="spellStart"/>
      <w:proofErr w:type="gramStart"/>
      <w:r w:rsidRPr="00F85FBA">
        <w:rPr>
          <w:rFonts w:ascii="Calibri,Bold" w:hAnsi="Calibri,Bold" w:cs="Calibri,Bold"/>
          <w:b/>
          <w:bCs/>
          <w:color w:val="auto"/>
          <w:sz w:val="17"/>
          <w:szCs w:val="17"/>
          <w:lang w:val="en-US"/>
        </w:rPr>
        <w:t>Non Governmental</w:t>
      </w:r>
      <w:proofErr w:type="spellEnd"/>
      <w:proofErr w:type="gramEnd"/>
      <w:r w:rsidRPr="00F85FBA">
        <w:rPr>
          <w:rFonts w:ascii="Calibri,Bold" w:hAnsi="Calibri,Bold" w:cs="Calibri,Bold"/>
          <w:b/>
          <w:bCs/>
          <w:color w:val="auto"/>
          <w:sz w:val="17"/>
          <w:szCs w:val="17"/>
          <w:lang w:val="en-US"/>
        </w:rPr>
        <w:t xml:space="preserve"> Organisation, to be completed if NFPO is indicated.</w:t>
      </w:r>
    </w:p>
    <w:p w14:paraId="5E6549F1" w14:textId="77777777" w:rsidR="004F07DF" w:rsidRPr="00F85FBA" w:rsidRDefault="004F07DF" w:rsidP="004F07DF">
      <w:pPr>
        <w:spacing w:after="30" w:line="264" w:lineRule="auto"/>
        <w:ind w:right="241"/>
        <w:rPr>
          <w:rFonts w:ascii="Calibri" w:hAnsi="Calibri"/>
          <w:color w:val="auto"/>
          <w:sz w:val="16"/>
          <w:szCs w:val="16"/>
          <w:lang w:val="en-US"/>
        </w:rPr>
      </w:pPr>
      <w:proofErr w:type="gramStart"/>
      <w:r w:rsidRPr="00F85FBA">
        <w:rPr>
          <w:rFonts w:ascii="Calibri,Bold" w:hAnsi="Calibri,Bold" w:cs="Calibri,Bold"/>
          <w:b/>
          <w:bCs/>
          <w:color w:val="auto"/>
          <w:sz w:val="17"/>
          <w:szCs w:val="17"/>
          <w:lang w:val="en-US"/>
        </w:rPr>
        <w:t>③  Registration</w:t>
      </w:r>
      <w:proofErr w:type="gramEnd"/>
      <w:r w:rsidRPr="00F85FBA">
        <w:rPr>
          <w:rFonts w:ascii="Calibri,Bold" w:hAnsi="Calibri,Bold" w:cs="Calibri,Bold"/>
          <w:b/>
          <w:bCs/>
          <w:color w:val="auto"/>
          <w:sz w:val="17"/>
          <w:szCs w:val="17"/>
          <w:lang w:val="en-US"/>
        </w:rPr>
        <w:t xml:space="preserve"> number in the national register of companies. See table with corresponding field denomination by country.</w:t>
      </w:r>
    </w:p>
    <w:p w14:paraId="6ED2938A" w14:textId="77777777" w:rsidR="004F07DF" w:rsidRDefault="004F07DF" w:rsidP="004F07DF">
      <w:pPr>
        <w:spacing w:line="259" w:lineRule="auto"/>
        <w:rPr>
          <w:rFonts w:cs="Calibri"/>
          <w:color w:val="333333"/>
          <w:szCs w:val="21"/>
        </w:rPr>
      </w:pPr>
      <w:r>
        <w:rPr>
          <w:rFonts w:cs="Calibri"/>
          <w:color w:val="333333"/>
          <w:szCs w:val="21"/>
        </w:rPr>
        <w:br w:type="page"/>
      </w:r>
    </w:p>
    <w:p w14:paraId="1F73120A" w14:textId="77777777" w:rsidR="004F07DF" w:rsidRPr="00291839" w:rsidRDefault="004F07DF" w:rsidP="004F07DF">
      <w:pPr>
        <w:pStyle w:val="Heading3"/>
        <w:numPr>
          <w:ilvl w:val="2"/>
          <w:numId w:val="56"/>
        </w:numPr>
        <w:rPr>
          <w:color w:val="FF0000"/>
        </w:rPr>
      </w:pPr>
      <w:bookmarkStart w:id="182" w:name="_Toc51601708"/>
      <w:bookmarkStart w:id="183" w:name="_Toc117027533"/>
      <w:r w:rsidRPr="00291839">
        <w:rPr>
          <w:color w:val="FF0000"/>
        </w:rPr>
        <w:lastRenderedPageBreak/>
        <w:t>Subcontractors</w:t>
      </w:r>
      <w:bookmarkEnd w:id="182"/>
      <w:bookmarkEnd w:id="183"/>
      <w:r w:rsidRPr="00291839">
        <w:rPr>
          <w:color w:val="FF0000"/>
        </w:rPr>
        <w:t xml:space="preserve"> </w:t>
      </w: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3129"/>
        <w:gridCol w:w="3855"/>
      </w:tblGrid>
      <w:tr w:rsidR="004F07DF" w14:paraId="60459FE0" w14:textId="77777777" w:rsidTr="009F6F46">
        <w:trPr>
          <w:trHeight w:val="803"/>
        </w:trPr>
        <w:tc>
          <w:tcPr>
            <w:tcW w:w="2258" w:type="dxa"/>
            <w:vAlign w:val="center"/>
          </w:tcPr>
          <w:p w14:paraId="1C87DBAF" w14:textId="77777777" w:rsidR="004F07DF" w:rsidRPr="00CB632A" w:rsidRDefault="004F07DF" w:rsidP="009F6F46">
            <w:pPr>
              <w:pStyle w:val="BodyText"/>
              <w:rPr>
                <w:rFonts w:ascii="Georgia" w:eastAsia="Calibri" w:hAnsi="Georgia" w:cs="Times New Roman"/>
                <w:color w:val="585756"/>
                <w:kern w:val="0"/>
                <w:sz w:val="21"/>
                <w:szCs w:val="22"/>
              </w:rPr>
            </w:pPr>
            <w:r>
              <w:rPr>
                <w:rFonts w:ascii="Georgia" w:hAnsi="Georgia"/>
                <w:color w:val="585756"/>
                <w:sz w:val="21"/>
                <w:szCs w:val="22"/>
              </w:rPr>
              <w:t>Name and legal form</w:t>
            </w:r>
          </w:p>
        </w:tc>
        <w:tc>
          <w:tcPr>
            <w:tcW w:w="3129" w:type="dxa"/>
            <w:vAlign w:val="center"/>
          </w:tcPr>
          <w:p w14:paraId="23037815" w14:textId="77777777" w:rsidR="004F07DF" w:rsidRPr="00CB632A" w:rsidRDefault="004F07DF" w:rsidP="009F6F46">
            <w:pPr>
              <w:pStyle w:val="BodyText"/>
              <w:rPr>
                <w:rFonts w:ascii="Georgia" w:eastAsia="Calibri" w:hAnsi="Georgia" w:cs="Times New Roman"/>
                <w:color w:val="585756"/>
                <w:kern w:val="0"/>
                <w:sz w:val="21"/>
                <w:szCs w:val="22"/>
              </w:rPr>
            </w:pPr>
            <w:r>
              <w:rPr>
                <w:rFonts w:ascii="Georgia" w:hAnsi="Georgia"/>
                <w:color w:val="585756"/>
                <w:sz w:val="21"/>
                <w:szCs w:val="22"/>
              </w:rPr>
              <w:t>Address / Registered office</w:t>
            </w:r>
          </w:p>
        </w:tc>
        <w:tc>
          <w:tcPr>
            <w:tcW w:w="3855" w:type="dxa"/>
            <w:vAlign w:val="center"/>
          </w:tcPr>
          <w:p w14:paraId="5722773F" w14:textId="77777777" w:rsidR="004F07DF" w:rsidRPr="00CB632A" w:rsidRDefault="004F07DF" w:rsidP="009F6F46">
            <w:pPr>
              <w:pStyle w:val="BodyText"/>
              <w:rPr>
                <w:rFonts w:ascii="Georgia" w:eastAsia="Calibri" w:hAnsi="Georgia" w:cs="Times New Roman"/>
                <w:color w:val="585756"/>
                <w:kern w:val="0"/>
                <w:sz w:val="21"/>
                <w:szCs w:val="22"/>
              </w:rPr>
            </w:pPr>
            <w:r>
              <w:rPr>
                <w:rFonts w:ascii="Georgia" w:hAnsi="Georgia"/>
                <w:color w:val="585756"/>
                <w:sz w:val="21"/>
                <w:szCs w:val="22"/>
              </w:rPr>
              <w:t>Object</w:t>
            </w:r>
          </w:p>
        </w:tc>
      </w:tr>
      <w:tr w:rsidR="004F07DF" w14:paraId="3F69ED67" w14:textId="77777777" w:rsidTr="009F6F46">
        <w:trPr>
          <w:trHeight w:val="804"/>
        </w:trPr>
        <w:tc>
          <w:tcPr>
            <w:tcW w:w="2258" w:type="dxa"/>
            <w:vAlign w:val="center"/>
          </w:tcPr>
          <w:p w14:paraId="6A13351B" w14:textId="77777777" w:rsidR="004F07DF" w:rsidRDefault="004F07DF" w:rsidP="009F6F46">
            <w:pPr>
              <w:pStyle w:val="BTCtextCTB"/>
              <w:jc w:val="right"/>
              <w:rPr>
                <w:rFonts w:ascii="Arial" w:eastAsia="DejaVu Sans" w:hAnsi="Arial" w:cs="Arial"/>
                <w:kern w:val="18"/>
                <w:sz w:val="20"/>
                <w:szCs w:val="24"/>
                <w:lang w:val="fr-FR"/>
              </w:rPr>
            </w:pPr>
          </w:p>
        </w:tc>
        <w:tc>
          <w:tcPr>
            <w:tcW w:w="3129" w:type="dxa"/>
            <w:vAlign w:val="center"/>
          </w:tcPr>
          <w:p w14:paraId="7DE939C0" w14:textId="77777777" w:rsidR="004F07DF" w:rsidRDefault="004F07DF" w:rsidP="009F6F46">
            <w:pPr>
              <w:pStyle w:val="BTCtextCTB"/>
              <w:jc w:val="right"/>
              <w:rPr>
                <w:rFonts w:ascii="Arial" w:eastAsia="DejaVu Sans" w:hAnsi="Arial" w:cs="Arial"/>
                <w:kern w:val="18"/>
                <w:sz w:val="20"/>
                <w:szCs w:val="24"/>
                <w:lang w:val="fr-FR"/>
              </w:rPr>
            </w:pPr>
          </w:p>
        </w:tc>
        <w:tc>
          <w:tcPr>
            <w:tcW w:w="3855" w:type="dxa"/>
            <w:vAlign w:val="center"/>
          </w:tcPr>
          <w:p w14:paraId="77597EFF" w14:textId="77777777" w:rsidR="004F07DF" w:rsidRDefault="004F07DF" w:rsidP="009F6F46">
            <w:pPr>
              <w:pStyle w:val="BTCtextCTB"/>
              <w:jc w:val="right"/>
              <w:rPr>
                <w:rFonts w:ascii="Arial" w:eastAsia="DejaVu Sans" w:hAnsi="Arial" w:cs="Arial"/>
                <w:kern w:val="18"/>
                <w:sz w:val="20"/>
                <w:szCs w:val="24"/>
                <w:lang w:val="fr-FR"/>
              </w:rPr>
            </w:pPr>
          </w:p>
        </w:tc>
      </w:tr>
      <w:tr w:rsidR="004F07DF" w14:paraId="66D53D7D" w14:textId="77777777" w:rsidTr="009F6F46">
        <w:trPr>
          <w:trHeight w:val="804"/>
        </w:trPr>
        <w:tc>
          <w:tcPr>
            <w:tcW w:w="2258" w:type="dxa"/>
            <w:vAlign w:val="center"/>
          </w:tcPr>
          <w:p w14:paraId="5DC5707E" w14:textId="77777777" w:rsidR="004F07DF" w:rsidRDefault="004F07DF" w:rsidP="009F6F46">
            <w:pPr>
              <w:pStyle w:val="BTCtextCTB"/>
              <w:jc w:val="right"/>
              <w:rPr>
                <w:rFonts w:ascii="Arial" w:eastAsia="DejaVu Sans" w:hAnsi="Arial" w:cs="Arial"/>
                <w:kern w:val="18"/>
                <w:sz w:val="20"/>
                <w:szCs w:val="24"/>
                <w:lang w:val="fr-FR"/>
              </w:rPr>
            </w:pPr>
          </w:p>
        </w:tc>
        <w:tc>
          <w:tcPr>
            <w:tcW w:w="3129" w:type="dxa"/>
            <w:vAlign w:val="center"/>
          </w:tcPr>
          <w:p w14:paraId="7A797713" w14:textId="77777777" w:rsidR="004F07DF" w:rsidRDefault="004F07DF" w:rsidP="009F6F46">
            <w:pPr>
              <w:pStyle w:val="BTCtextCTB"/>
              <w:jc w:val="right"/>
              <w:rPr>
                <w:rFonts w:ascii="Arial" w:eastAsia="DejaVu Sans" w:hAnsi="Arial" w:cs="Arial"/>
                <w:kern w:val="18"/>
                <w:sz w:val="20"/>
                <w:szCs w:val="24"/>
                <w:lang w:val="fr-FR"/>
              </w:rPr>
            </w:pPr>
          </w:p>
        </w:tc>
        <w:tc>
          <w:tcPr>
            <w:tcW w:w="3855" w:type="dxa"/>
            <w:vAlign w:val="center"/>
          </w:tcPr>
          <w:p w14:paraId="20DA03EC" w14:textId="77777777" w:rsidR="004F07DF" w:rsidRDefault="004F07DF" w:rsidP="009F6F46">
            <w:pPr>
              <w:pStyle w:val="BTCtextCTB"/>
              <w:jc w:val="right"/>
              <w:rPr>
                <w:rFonts w:ascii="Arial" w:eastAsia="DejaVu Sans" w:hAnsi="Arial" w:cs="Arial"/>
                <w:kern w:val="18"/>
                <w:sz w:val="20"/>
                <w:szCs w:val="24"/>
                <w:lang w:val="fr-FR"/>
              </w:rPr>
            </w:pPr>
          </w:p>
        </w:tc>
      </w:tr>
      <w:tr w:rsidR="004F07DF" w14:paraId="63B6C994" w14:textId="77777777" w:rsidTr="009F6F46">
        <w:trPr>
          <w:trHeight w:val="803"/>
        </w:trPr>
        <w:tc>
          <w:tcPr>
            <w:tcW w:w="2258" w:type="dxa"/>
            <w:vAlign w:val="center"/>
          </w:tcPr>
          <w:p w14:paraId="1DA4CC90" w14:textId="77777777" w:rsidR="004F07DF" w:rsidRDefault="004F07DF" w:rsidP="009F6F46">
            <w:pPr>
              <w:pStyle w:val="BTCtextCTB"/>
              <w:jc w:val="right"/>
              <w:rPr>
                <w:rFonts w:ascii="Arial" w:eastAsia="DejaVu Sans" w:hAnsi="Arial" w:cs="Arial"/>
                <w:kern w:val="18"/>
                <w:sz w:val="20"/>
                <w:szCs w:val="24"/>
                <w:lang w:val="fr-FR"/>
              </w:rPr>
            </w:pPr>
          </w:p>
        </w:tc>
        <w:tc>
          <w:tcPr>
            <w:tcW w:w="3129" w:type="dxa"/>
            <w:vAlign w:val="center"/>
          </w:tcPr>
          <w:p w14:paraId="56487638" w14:textId="77777777" w:rsidR="004F07DF" w:rsidRDefault="004F07DF" w:rsidP="009F6F46">
            <w:pPr>
              <w:pStyle w:val="BTCtextCTB"/>
              <w:jc w:val="right"/>
              <w:rPr>
                <w:rFonts w:ascii="Arial" w:eastAsia="DejaVu Sans" w:hAnsi="Arial" w:cs="Arial"/>
                <w:kern w:val="18"/>
                <w:sz w:val="20"/>
                <w:szCs w:val="24"/>
                <w:lang w:val="fr-FR"/>
              </w:rPr>
            </w:pPr>
          </w:p>
        </w:tc>
        <w:tc>
          <w:tcPr>
            <w:tcW w:w="3855" w:type="dxa"/>
            <w:vAlign w:val="center"/>
          </w:tcPr>
          <w:p w14:paraId="34EC2E3E" w14:textId="77777777" w:rsidR="004F07DF" w:rsidRDefault="004F07DF" w:rsidP="009F6F46">
            <w:pPr>
              <w:pStyle w:val="BTCtextCTB"/>
              <w:jc w:val="right"/>
              <w:rPr>
                <w:rFonts w:ascii="Arial" w:eastAsia="DejaVu Sans" w:hAnsi="Arial" w:cs="Arial"/>
                <w:kern w:val="18"/>
                <w:sz w:val="20"/>
                <w:szCs w:val="24"/>
                <w:lang w:val="fr-FR"/>
              </w:rPr>
            </w:pPr>
          </w:p>
        </w:tc>
      </w:tr>
      <w:tr w:rsidR="004F07DF" w14:paraId="7FDE6CD6" w14:textId="77777777" w:rsidTr="009F6F46">
        <w:trPr>
          <w:trHeight w:val="804"/>
        </w:trPr>
        <w:tc>
          <w:tcPr>
            <w:tcW w:w="2258" w:type="dxa"/>
            <w:vAlign w:val="center"/>
          </w:tcPr>
          <w:p w14:paraId="7660106C" w14:textId="77777777" w:rsidR="004F07DF" w:rsidRDefault="004F07DF" w:rsidP="009F6F46">
            <w:pPr>
              <w:pStyle w:val="BTCtextCTB"/>
              <w:jc w:val="right"/>
              <w:rPr>
                <w:rFonts w:ascii="Arial" w:eastAsia="DejaVu Sans" w:hAnsi="Arial" w:cs="Arial"/>
                <w:kern w:val="18"/>
                <w:sz w:val="20"/>
                <w:szCs w:val="24"/>
                <w:lang w:val="fr-FR"/>
              </w:rPr>
            </w:pPr>
          </w:p>
        </w:tc>
        <w:tc>
          <w:tcPr>
            <w:tcW w:w="3129" w:type="dxa"/>
            <w:vAlign w:val="center"/>
          </w:tcPr>
          <w:p w14:paraId="5E630162" w14:textId="77777777" w:rsidR="004F07DF" w:rsidRDefault="004F07DF" w:rsidP="009F6F46">
            <w:pPr>
              <w:pStyle w:val="BTCtextCTB"/>
              <w:jc w:val="right"/>
              <w:rPr>
                <w:rFonts w:ascii="Arial" w:eastAsia="DejaVu Sans" w:hAnsi="Arial" w:cs="Arial"/>
                <w:kern w:val="18"/>
                <w:sz w:val="20"/>
                <w:szCs w:val="24"/>
                <w:lang w:val="fr-FR"/>
              </w:rPr>
            </w:pPr>
          </w:p>
        </w:tc>
        <w:tc>
          <w:tcPr>
            <w:tcW w:w="3855" w:type="dxa"/>
            <w:vAlign w:val="center"/>
          </w:tcPr>
          <w:p w14:paraId="1738FA13" w14:textId="77777777" w:rsidR="004F07DF" w:rsidRDefault="004F07DF" w:rsidP="009F6F46">
            <w:pPr>
              <w:pStyle w:val="BTCtextCTB"/>
              <w:jc w:val="right"/>
              <w:rPr>
                <w:rFonts w:ascii="Arial" w:eastAsia="DejaVu Sans" w:hAnsi="Arial" w:cs="Arial"/>
                <w:kern w:val="18"/>
                <w:sz w:val="20"/>
                <w:szCs w:val="24"/>
                <w:lang w:val="fr-FR"/>
              </w:rPr>
            </w:pPr>
          </w:p>
        </w:tc>
      </w:tr>
      <w:tr w:rsidR="004F07DF" w14:paraId="7F012AFE" w14:textId="77777777" w:rsidTr="009F6F46">
        <w:trPr>
          <w:trHeight w:val="804"/>
        </w:trPr>
        <w:tc>
          <w:tcPr>
            <w:tcW w:w="2258" w:type="dxa"/>
            <w:vAlign w:val="center"/>
          </w:tcPr>
          <w:p w14:paraId="130247F4" w14:textId="77777777" w:rsidR="004F07DF" w:rsidRDefault="004F07DF" w:rsidP="009F6F46">
            <w:pPr>
              <w:pStyle w:val="BTCtextCTB"/>
              <w:jc w:val="right"/>
              <w:rPr>
                <w:rFonts w:ascii="Arial" w:eastAsia="DejaVu Sans" w:hAnsi="Arial" w:cs="Arial"/>
                <w:kern w:val="18"/>
                <w:sz w:val="20"/>
                <w:szCs w:val="24"/>
                <w:lang w:val="fr-FR"/>
              </w:rPr>
            </w:pPr>
          </w:p>
        </w:tc>
        <w:tc>
          <w:tcPr>
            <w:tcW w:w="3129" w:type="dxa"/>
            <w:vAlign w:val="center"/>
          </w:tcPr>
          <w:p w14:paraId="598F1901" w14:textId="77777777" w:rsidR="004F07DF" w:rsidRDefault="004F07DF" w:rsidP="009F6F46">
            <w:pPr>
              <w:pStyle w:val="BTCtextCTB"/>
              <w:jc w:val="right"/>
              <w:rPr>
                <w:rFonts w:ascii="Arial" w:eastAsia="DejaVu Sans" w:hAnsi="Arial" w:cs="Arial"/>
                <w:kern w:val="18"/>
                <w:sz w:val="20"/>
                <w:szCs w:val="24"/>
                <w:lang w:val="fr-FR"/>
              </w:rPr>
            </w:pPr>
          </w:p>
        </w:tc>
        <w:tc>
          <w:tcPr>
            <w:tcW w:w="3855" w:type="dxa"/>
            <w:vAlign w:val="center"/>
          </w:tcPr>
          <w:p w14:paraId="61BF327F" w14:textId="77777777" w:rsidR="004F07DF" w:rsidRDefault="004F07DF" w:rsidP="009F6F46">
            <w:pPr>
              <w:pStyle w:val="BTCtextCTB"/>
              <w:jc w:val="right"/>
              <w:rPr>
                <w:rFonts w:ascii="Arial" w:eastAsia="DejaVu Sans" w:hAnsi="Arial" w:cs="Arial"/>
                <w:kern w:val="18"/>
                <w:sz w:val="20"/>
                <w:szCs w:val="24"/>
                <w:lang w:val="fr-FR"/>
              </w:rPr>
            </w:pPr>
          </w:p>
        </w:tc>
      </w:tr>
    </w:tbl>
    <w:p w14:paraId="6ADB51F3" w14:textId="77777777" w:rsidR="004F07DF" w:rsidRDefault="004F07DF" w:rsidP="004F07DF">
      <w:pPr>
        <w:pStyle w:val="BTCtextCTB"/>
      </w:pPr>
    </w:p>
    <w:p w14:paraId="7AE3C4E5" w14:textId="77777777" w:rsidR="004F07DF" w:rsidRDefault="004F07DF" w:rsidP="004F07DF">
      <w:pPr>
        <w:pStyle w:val="BodyText"/>
      </w:pPr>
    </w:p>
    <w:p w14:paraId="0F057B82" w14:textId="77777777" w:rsidR="004F07DF" w:rsidRDefault="004F07DF" w:rsidP="004F07DF">
      <w:pPr>
        <w:pStyle w:val="BodyText"/>
      </w:pPr>
    </w:p>
    <w:p w14:paraId="605FD682" w14:textId="77777777" w:rsidR="004F07DF" w:rsidRDefault="004F07DF" w:rsidP="004F07DF">
      <w:pPr>
        <w:pStyle w:val="BodyText"/>
      </w:pPr>
    </w:p>
    <w:p w14:paraId="57B5207A" w14:textId="77777777" w:rsidR="004F07DF" w:rsidRDefault="004F07DF" w:rsidP="004F07DF">
      <w:pPr>
        <w:pStyle w:val="BodyText"/>
      </w:pPr>
    </w:p>
    <w:p w14:paraId="5AABCDB2" w14:textId="77777777" w:rsidR="004F07DF" w:rsidRDefault="004F07DF" w:rsidP="004F07DF">
      <w:pPr>
        <w:pStyle w:val="Heading2"/>
        <w:numPr>
          <w:ilvl w:val="1"/>
          <w:numId w:val="46"/>
        </w:numPr>
      </w:pPr>
      <w:r>
        <w:rPr>
          <w:rFonts w:cs="Arial"/>
        </w:rPr>
        <w:br w:type="page"/>
      </w:r>
      <w:bookmarkStart w:id="184" w:name="_Toc51601709"/>
      <w:bookmarkStart w:id="185" w:name="_Toc117027534"/>
      <w:r>
        <w:lastRenderedPageBreak/>
        <w:t>Tender Forms – prices</w:t>
      </w:r>
      <w:bookmarkEnd w:id="184"/>
      <w:bookmarkEnd w:id="185"/>
      <w:r>
        <w:t xml:space="preserve"> </w:t>
      </w:r>
    </w:p>
    <w:p w14:paraId="0BFF1CA7" w14:textId="77777777" w:rsidR="004F07DF" w:rsidRDefault="004F07DF" w:rsidP="004F07DF">
      <w:pPr>
        <w:autoSpaceDE w:val="0"/>
        <w:autoSpaceDN w:val="0"/>
        <w:adjustRightInd w:val="0"/>
        <w:spacing w:after="0"/>
        <w:jc w:val="both"/>
        <w:rPr>
          <w:rFonts w:cs="Calibri"/>
          <w:color w:val="333333"/>
          <w:szCs w:val="21"/>
        </w:rPr>
      </w:pPr>
      <w:r w:rsidRPr="00A608B2">
        <w:rPr>
          <w:rFonts w:cs="Calibri"/>
          <w:color w:val="333333"/>
          <w:szCs w:val="21"/>
        </w:rPr>
        <w:t>By submitting this tender the tenderer commits to performing this public contract in conformity with the provisions of the Tender Specifications/ – and explicitly declares accepting all conditions listed in the Tender Specifications and renounces any derogatory provisions such as his own general sales conditions.</w:t>
      </w:r>
    </w:p>
    <w:p w14:paraId="54FAF73A" w14:textId="77777777" w:rsidR="004F07DF" w:rsidRPr="00A608B2" w:rsidRDefault="004F07DF" w:rsidP="004F07DF">
      <w:pPr>
        <w:autoSpaceDE w:val="0"/>
        <w:autoSpaceDN w:val="0"/>
        <w:adjustRightInd w:val="0"/>
        <w:spacing w:after="0"/>
        <w:rPr>
          <w:rFonts w:cs="Calibri"/>
          <w:color w:val="333333"/>
          <w:szCs w:val="21"/>
        </w:rPr>
      </w:pPr>
    </w:p>
    <w:p w14:paraId="3AEB4DA1" w14:textId="77777777" w:rsidR="004F07DF" w:rsidRDefault="004F07DF" w:rsidP="004F07DF">
      <w:pPr>
        <w:autoSpaceDE w:val="0"/>
        <w:autoSpaceDN w:val="0"/>
        <w:adjustRightInd w:val="0"/>
        <w:spacing w:after="0"/>
        <w:jc w:val="both"/>
        <w:rPr>
          <w:rFonts w:cs="Calibri"/>
          <w:color w:val="333333"/>
          <w:szCs w:val="21"/>
        </w:rPr>
      </w:pPr>
      <w:r w:rsidRPr="00A608B2">
        <w:rPr>
          <w:rFonts w:cs="Calibri"/>
          <w:color w:val="333333"/>
          <w:szCs w:val="21"/>
        </w:rPr>
        <w:t>The unit prices and the global prices for each item in the inventory are established relative to the value of these items in relation to the total value of the tender. All general and financial costs as well as the profits are distributed between the various items in proportion to their weight.</w:t>
      </w:r>
    </w:p>
    <w:p w14:paraId="700DDFFE" w14:textId="77777777" w:rsidR="004F07DF" w:rsidRPr="00A608B2" w:rsidRDefault="004F07DF" w:rsidP="004F07DF">
      <w:pPr>
        <w:autoSpaceDE w:val="0"/>
        <w:autoSpaceDN w:val="0"/>
        <w:adjustRightInd w:val="0"/>
        <w:spacing w:after="0"/>
        <w:jc w:val="both"/>
        <w:rPr>
          <w:rFonts w:cs="Calibri"/>
          <w:color w:val="333333"/>
          <w:szCs w:val="21"/>
        </w:rPr>
      </w:pPr>
    </w:p>
    <w:p w14:paraId="5F57108D" w14:textId="77777777" w:rsidR="004F07DF" w:rsidRDefault="004F07DF" w:rsidP="004F07DF">
      <w:pPr>
        <w:autoSpaceDE w:val="0"/>
        <w:autoSpaceDN w:val="0"/>
        <w:adjustRightInd w:val="0"/>
        <w:spacing w:after="0"/>
        <w:rPr>
          <w:rFonts w:cs="Calibri"/>
          <w:color w:val="333333"/>
          <w:szCs w:val="21"/>
        </w:rPr>
      </w:pPr>
      <w:r w:rsidRPr="00A608B2">
        <w:rPr>
          <w:rFonts w:cs="Calibri"/>
          <w:color w:val="333333"/>
          <w:szCs w:val="21"/>
        </w:rPr>
        <w:t xml:space="preserve">The tenderer commits to performing the public contract in accordance with the provisions of the Tender Specifications for the following prices, </w:t>
      </w:r>
      <w:r w:rsidRPr="00BC1F07">
        <w:rPr>
          <w:rFonts w:cs="Calibri"/>
          <w:color w:val="333333"/>
          <w:szCs w:val="21"/>
        </w:rPr>
        <w:t>in EUR and inclusive of VAT and other applicable taxes (written in figures):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0"/>
        <w:gridCol w:w="1699"/>
        <w:gridCol w:w="1699"/>
        <w:gridCol w:w="1699"/>
      </w:tblGrid>
      <w:tr w:rsidR="004F07DF" w:rsidRPr="006A3DE4" w14:paraId="17DFC7EE" w14:textId="77777777" w:rsidTr="20F9238C">
        <w:tc>
          <w:tcPr>
            <w:tcW w:w="9060" w:type="dxa"/>
            <w:gridSpan w:val="5"/>
            <w:shd w:val="clear" w:color="auto" w:fill="auto"/>
            <w:vAlign w:val="center"/>
          </w:tcPr>
          <w:p w14:paraId="2A22E60A" w14:textId="77777777" w:rsidR="004F07DF" w:rsidRPr="00C44D66" w:rsidRDefault="004F07DF" w:rsidP="009F6F46">
            <w:pPr>
              <w:numPr>
                <w:ilvl w:val="0"/>
                <w:numId w:val="53"/>
              </w:numPr>
              <w:spacing w:before="120" w:after="120" w:line="240" w:lineRule="auto"/>
              <w:contextualSpacing/>
              <w:jc w:val="both"/>
              <w:rPr>
                <w:b/>
                <w:color w:val="auto"/>
              </w:rPr>
            </w:pPr>
            <w:r w:rsidRPr="00C44D66">
              <w:rPr>
                <w:b/>
                <w:color w:val="auto"/>
              </w:rPr>
              <w:t>Expert Fees</w:t>
            </w:r>
          </w:p>
        </w:tc>
      </w:tr>
      <w:tr w:rsidR="004F07DF" w:rsidRPr="006A3DE4" w14:paraId="317FF209" w14:textId="77777777" w:rsidTr="20F9238C">
        <w:tc>
          <w:tcPr>
            <w:tcW w:w="2263" w:type="dxa"/>
            <w:shd w:val="clear" w:color="auto" w:fill="auto"/>
            <w:vAlign w:val="center"/>
          </w:tcPr>
          <w:p w14:paraId="7F05B512" w14:textId="77777777" w:rsidR="004F07DF" w:rsidRPr="00C44D66" w:rsidRDefault="004F07DF" w:rsidP="009F6F46">
            <w:pPr>
              <w:spacing w:before="120" w:after="120" w:line="240" w:lineRule="auto"/>
              <w:jc w:val="center"/>
              <w:rPr>
                <w:b/>
                <w:color w:val="auto"/>
              </w:rPr>
            </w:pPr>
          </w:p>
        </w:tc>
        <w:tc>
          <w:tcPr>
            <w:tcW w:w="1699" w:type="dxa"/>
            <w:shd w:val="clear" w:color="auto" w:fill="auto"/>
            <w:vAlign w:val="center"/>
          </w:tcPr>
          <w:p w14:paraId="19007BE9" w14:textId="77777777" w:rsidR="004F07DF" w:rsidRPr="00C44D66" w:rsidRDefault="004F07DF" w:rsidP="009F6F46">
            <w:pPr>
              <w:spacing w:before="120" w:after="120" w:line="240" w:lineRule="auto"/>
              <w:jc w:val="center"/>
              <w:rPr>
                <w:b/>
                <w:color w:val="auto"/>
              </w:rPr>
            </w:pPr>
            <w:r w:rsidRPr="00C44D66">
              <w:rPr>
                <w:b/>
                <w:color w:val="auto"/>
              </w:rPr>
              <w:t>Unit</w:t>
            </w:r>
          </w:p>
        </w:tc>
        <w:tc>
          <w:tcPr>
            <w:tcW w:w="1699" w:type="dxa"/>
            <w:shd w:val="clear" w:color="auto" w:fill="auto"/>
            <w:vAlign w:val="center"/>
          </w:tcPr>
          <w:p w14:paraId="429E6399" w14:textId="77777777" w:rsidR="004F07DF" w:rsidRPr="00C44D66" w:rsidRDefault="004F07DF" w:rsidP="009F6F46">
            <w:pPr>
              <w:spacing w:before="120" w:after="120" w:line="240" w:lineRule="auto"/>
              <w:jc w:val="center"/>
              <w:rPr>
                <w:b/>
                <w:color w:val="auto"/>
              </w:rPr>
            </w:pPr>
            <w:r w:rsidRPr="00C44D66">
              <w:rPr>
                <w:b/>
                <w:color w:val="auto"/>
              </w:rPr>
              <w:t>Unit price*</w:t>
            </w:r>
            <w:r w:rsidRPr="00C44D66">
              <w:rPr>
                <w:color w:val="auto"/>
              </w:rPr>
              <w:t xml:space="preserve"> </w:t>
            </w:r>
            <w:r w:rsidRPr="00C44D66">
              <w:rPr>
                <w:b/>
                <w:color w:val="auto"/>
              </w:rPr>
              <w:t>incl. WHT and VAT</w:t>
            </w:r>
          </w:p>
        </w:tc>
        <w:tc>
          <w:tcPr>
            <w:tcW w:w="1699" w:type="dxa"/>
            <w:shd w:val="clear" w:color="auto" w:fill="auto"/>
            <w:vAlign w:val="center"/>
          </w:tcPr>
          <w:p w14:paraId="515FC923" w14:textId="77777777" w:rsidR="004F07DF" w:rsidRPr="00C44D66" w:rsidRDefault="004F07DF" w:rsidP="009F6F46">
            <w:pPr>
              <w:spacing w:before="120" w:after="120" w:line="240" w:lineRule="auto"/>
              <w:jc w:val="center"/>
              <w:rPr>
                <w:b/>
                <w:color w:val="auto"/>
              </w:rPr>
            </w:pPr>
            <w:r w:rsidRPr="00C44D66">
              <w:rPr>
                <w:b/>
                <w:color w:val="auto"/>
              </w:rPr>
              <w:t>Quantity</w:t>
            </w:r>
          </w:p>
        </w:tc>
        <w:tc>
          <w:tcPr>
            <w:tcW w:w="1699" w:type="dxa"/>
            <w:shd w:val="clear" w:color="auto" w:fill="auto"/>
            <w:vAlign w:val="center"/>
          </w:tcPr>
          <w:p w14:paraId="62B41469" w14:textId="77777777" w:rsidR="004F07DF" w:rsidRPr="00C44D66" w:rsidRDefault="18348483" w:rsidP="009F6F46">
            <w:pPr>
              <w:spacing w:before="120" w:after="120" w:line="240" w:lineRule="auto"/>
              <w:jc w:val="center"/>
              <w:rPr>
                <w:b/>
                <w:color w:val="auto"/>
              </w:rPr>
            </w:pPr>
            <w:r w:rsidRPr="20F9238C">
              <w:rPr>
                <w:b/>
                <w:bCs/>
                <w:color w:val="auto"/>
              </w:rPr>
              <w:t>Total incl. WHT</w:t>
            </w:r>
            <w:r w:rsidR="004F07DF" w:rsidRPr="20F9238C">
              <w:rPr>
                <w:rStyle w:val="FootnoteReference"/>
                <w:b/>
                <w:bCs/>
                <w:color w:val="auto"/>
              </w:rPr>
              <w:footnoteReference w:id="16"/>
            </w:r>
            <w:r w:rsidRPr="20F9238C">
              <w:rPr>
                <w:b/>
                <w:bCs/>
                <w:color w:val="auto"/>
              </w:rPr>
              <w:t xml:space="preserve"> and VAT</w:t>
            </w:r>
          </w:p>
        </w:tc>
      </w:tr>
      <w:tr w:rsidR="004F07DF" w:rsidRPr="006A3DE4" w14:paraId="35A36D54" w14:textId="77777777" w:rsidTr="20F9238C">
        <w:tc>
          <w:tcPr>
            <w:tcW w:w="2263" w:type="dxa"/>
            <w:shd w:val="clear" w:color="auto" w:fill="auto"/>
            <w:vAlign w:val="center"/>
          </w:tcPr>
          <w:p w14:paraId="147520B5" w14:textId="77777777" w:rsidR="004F07DF" w:rsidRPr="00C44D66" w:rsidRDefault="004F07DF" w:rsidP="009F6F46">
            <w:pPr>
              <w:spacing w:before="120" w:after="120" w:line="240" w:lineRule="auto"/>
              <w:rPr>
                <w:color w:val="auto"/>
              </w:rPr>
            </w:pPr>
            <w:r w:rsidRPr="00C44D66">
              <w:rPr>
                <w:color w:val="auto"/>
              </w:rPr>
              <w:t>Expert 1 (Team leader)</w:t>
            </w:r>
          </w:p>
        </w:tc>
        <w:tc>
          <w:tcPr>
            <w:tcW w:w="1699" w:type="dxa"/>
            <w:shd w:val="clear" w:color="auto" w:fill="auto"/>
            <w:vAlign w:val="center"/>
          </w:tcPr>
          <w:p w14:paraId="6C7486A2" w14:textId="77777777" w:rsidR="004F07DF" w:rsidRPr="00C44D66" w:rsidRDefault="004F07DF" w:rsidP="009F6F46">
            <w:pPr>
              <w:spacing w:before="120" w:after="120" w:line="240" w:lineRule="auto"/>
              <w:jc w:val="center"/>
              <w:rPr>
                <w:color w:val="auto"/>
              </w:rPr>
            </w:pPr>
            <w:r w:rsidRPr="00C44D66">
              <w:rPr>
                <w:color w:val="auto"/>
              </w:rPr>
              <w:t>Man-day</w:t>
            </w:r>
          </w:p>
        </w:tc>
        <w:tc>
          <w:tcPr>
            <w:tcW w:w="1699" w:type="dxa"/>
            <w:shd w:val="clear" w:color="auto" w:fill="auto"/>
            <w:vAlign w:val="center"/>
          </w:tcPr>
          <w:p w14:paraId="4D5DEE9C" w14:textId="77777777" w:rsidR="004F07DF" w:rsidRPr="00C44D66" w:rsidRDefault="004F07DF" w:rsidP="009F6F46">
            <w:pPr>
              <w:spacing w:before="120" w:after="120" w:line="240" w:lineRule="auto"/>
              <w:jc w:val="right"/>
              <w:rPr>
                <w:color w:val="auto"/>
              </w:rPr>
            </w:pPr>
            <w:r w:rsidRPr="00C44D66">
              <w:rPr>
                <w:color w:val="auto"/>
              </w:rPr>
              <w:t>€</w:t>
            </w:r>
          </w:p>
        </w:tc>
        <w:tc>
          <w:tcPr>
            <w:tcW w:w="1699" w:type="dxa"/>
            <w:shd w:val="clear" w:color="auto" w:fill="auto"/>
            <w:vAlign w:val="center"/>
          </w:tcPr>
          <w:p w14:paraId="2797B6F5" w14:textId="77777777" w:rsidR="004F07DF" w:rsidRPr="00C44D66" w:rsidRDefault="004F07DF" w:rsidP="009F6F46">
            <w:pPr>
              <w:spacing w:before="120" w:after="120" w:line="240" w:lineRule="auto"/>
              <w:jc w:val="center"/>
              <w:rPr>
                <w:color w:val="auto"/>
              </w:rPr>
            </w:pPr>
          </w:p>
        </w:tc>
        <w:tc>
          <w:tcPr>
            <w:tcW w:w="1699" w:type="dxa"/>
            <w:shd w:val="clear" w:color="auto" w:fill="auto"/>
            <w:vAlign w:val="center"/>
          </w:tcPr>
          <w:p w14:paraId="02529825" w14:textId="77777777" w:rsidR="004F07DF" w:rsidRPr="00C44D66" w:rsidRDefault="004F07DF" w:rsidP="009F6F46">
            <w:pPr>
              <w:spacing w:before="120" w:after="120" w:line="240" w:lineRule="auto"/>
              <w:jc w:val="right"/>
              <w:rPr>
                <w:color w:val="auto"/>
              </w:rPr>
            </w:pPr>
            <w:r w:rsidRPr="00C44D66">
              <w:rPr>
                <w:color w:val="auto"/>
              </w:rPr>
              <w:t>€</w:t>
            </w:r>
          </w:p>
        </w:tc>
      </w:tr>
      <w:tr w:rsidR="004F07DF" w:rsidRPr="006A3DE4" w14:paraId="2E078786" w14:textId="77777777" w:rsidTr="20F9238C">
        <w:tc>
          <w:tcPr>
            <w:tcW w:w="2263" w:type="dxa"/>
            <w:shd w:val="clear" w:color="auto" w:fill="auto"/>
          </w:tcPr>
          <w:p w14:paraId="59A5F799" w14:textId="77777777" w:rsidR="004F07DF" w:rsidRPr="00C44D66" w:rsidRDefault="004F07DF" w:rsidP="009F6F46">
            <w:pPr>
              <w:spacing w:before="120" w:after="120" w:line="240" w:lineRule="auto"/>
              <w:rPr>
                <w:color w:val="auto"/>
              </w:rPr>
            </w:pPr>
            <w:r w:rsidRPr="00C44D66">
              <w:rPr>
                <w:color w:val="auto"/>
              </w:rPr>
              <w:t>Expert 2 (</w:t>
            </w:r>
            <w:r w:rsidRPr="008B008F">
              <w:rPr>
                <w:color w:val="auto"/>
              </w:rPr>
              <w:t>specialized in maternal, neonatal sexual and reproductive health</w:t>
            </w:r>
            <w:r w:rsidRPr="00C44D66">
              <w:rPr>
                <w:color w:val="auto"/>
              </w:rPr>
              <w:t>)</w:t>
            </w:r>
          </w:p>
        </w:tc>
        <w:tc>
          <w:tcPr>
            <w:tcW w:w="1699" w:type="dxa"/>
            <w:shd w:val="clear" w:color="auto" w:fill="auto"/>
            <w:vAlign w:val="center"/>
          </w:tcPr>
          <w:p w14:paraId="4F188F62" w14:textId="77777777" w:rsidR="004F07DF" w:rsidRPr="00C44D66" w:rsidRDefault="004F07DF" w:rsidP="009F6F46">
            <w:pPr>
              <w:spacing w:before="120" w:after="120" w:line="240" w:lineRule="auto"/>
              <w:jc w:val="center"/>
              <w:rPr>
                <w:color w:val="auto"/>
              </w:rPr>
            </w:pPr>
            <w:r w:rsidRPr="00C44D66">
              <w:rPr>
                <w:color w:val="auto"/>
              </w:rPr>
              <w:t>Man-day</w:t>
            </w:r>
          </w:p>
        </w:tc>
        <w:tc>
          <w:tcPr>
            <w:tcW w:w="1699" w:type="dxa"/>
            <w:shd w:val="clear" w:color="auto" w:fill="auto"/>
            <w:vAlign w:val="center"/>
          </w:tcPr>
          <w:p w14:paraId="7C418488" w14:textId="77777777" w:rsidR="004F07DF" w:rsidRPr="00C44D66" w:rsidRDefault="004F07DF" w:rsidP="009F6F46">
            <w:pPr>
              <w:spacing w:before="120" w:after="120" w:line="240" w:lineRule="auto"/>
              <w:jc w:val="right"/>
              <w:rPr>
                <w:color w:val="auto"/>
              </w:rPr>
            </w:pPr>
            <w:r w:rsidRPr="00C44D66">
              <w:rPr>
                <w:color w:val="auto"/>
              </w:rPr>
              <w:t>€</w:t>
            </w:r>
          </w:p>
        </w:tc>
        <w:tc>
          <w:tcPr>
            <w:tcW w:w="1699" w:type="dxa"/>
            <w:shd w:val="clear" w:color="auto" w:fill="auto"/>
            <w:vAlign w:val="center"/>
          </w:tcPr>
          <w:p w14:paraId="78863EC1" w14:textId="77777777" w:rsidR="004F07DF" w:rsidRPr="00C44D66" w:rsidRDefault="004F07DF" w:rsidP="009F6F46">
            <w:pPr>
              <w:spacing w:before="120" w:after="120" w:line="240" w:lineRule="auto"/>
              <w:jc w:val="center"/>
              <w:rPr>
                <w:color w:val="auto"/>
              </w:rPr>
            </w:pPr>
          </w:p>
        </w:tc>
        <w:tc>
          <w:tcPr>
            <w:tcW w:w="1699" w:type="dxa"/>
            <w:shd w:val="clear" w:color="auto" w:fill="auto"/>
          </w:tcPr>
          <w:p w14:paraId="51225AF0" w14:textId="77777777" w:rsidR="004F07DF" w:rsidRPr="00C44D66" w:rsidRDefault="004F07DF" w:rsidP="009F6F46">
            <w:pPr>
              <w:spacing w:before="120" w:after="120" w:line="240" w:lineRule="auto"/>
              <w:jc w:val="right"/>
              <w:rPr>
                <w:color w:val="auto"/>
              </w:rPr>
            </w:pPr>
            <w:r w:rsidRPr="00C44D66">
              <w:rPr>
                <w:color w:val="auto"/>
              </w:rPr>
              <w:t>€</w:t>
            </w:r>
          </w:p>
        </w:tc>
      </w:tr>
      <w:tr w:rsidR="004F07DF" w:rsidRPr="006A3DE4" w14:paraId="47D0DD66" w14:textId="77777777" w:rsidTr="20F9238C">
        <w:trPr>
          <w:trHeight w:val="506"/>
        </w:trPr>
        <w:tc>
          <w:tcPr>
            <w:tcW w:w="2263" w:type="dxa"/>
            <w:shd w:val="clear" w:color="auto" w:fill="auto"/>
          </w:tcPr>
          <w:p w14:paraId="71E6ED74" w14:textId="77777777" w:rsidR="004F07DF" w:rsidRPr="00C44D66" w:rsidRDefault="004F07DF" w:rsidP="009F6F46">
            <w:pPr>
              <w:spacing w:before="120" w:after="120" w:line="240" w:lineRule="auto"/>
              <w:rPr>
                <w:color w:val="auto"/>
              </w:rPr>
            </w:pPr>
            <w:r w:rsidRPr="00C44D66">
              <w:rPr>
                <w:color w:val="auto"/>
              </w:rPr>
              <w:t>Expert 3 (</w:t>
            </w:r>
            <w:r>
              <w:rPr>
                <w:color w:val="auto"/>
              </w:rPr>
              <w:t>Social scientist)</w:t>
            </w:r>
          </w:p>
        </w:tc>
        <w:tc>
          <w:tcPr>
            <w:tcW w:w="1699" w:type="dxa"/>
            <w:shd w:val="clear" w:color="auto" w:fill="auto"/>
            <w:vAlign w:val="center"/>
          </w:tcPr>
          <w:p w14:paraId="433069CF" w14:textId="77777777" w:rsidR="004F07DF" w:rsidRPr="00C44D66" w:rsidRDefault="004F07DF" w:rsidP="009F6F46">
            <w:pPr>
              <w:spacing w:before="120" w:after="120" w:line="240" w:lineRule="auto"/>
              <w:jc w:val="center"/>
              <w:rPr>
                <w:color w:val="auto"/>
              </w:rPr>
            </w:pPr>
            <w:r w:rsidRPr="00C44D66">
              <w:rPr>
                <w:color w:val="auto"/>
              </w:rPr>
              <w:t>Man-day</w:t>
            </w:r>
          </w:p>
        </w:tc>
        <w:tc>
          <w:tcPr>
            <w:tcW w:w="1699" w:type="dxa"/>
            <w:shd w:val="clear" w:color="auto" w:fill="auto"/>
            <w:vAlign w:val="center"/>
          </w:tcPr>
          <w:p w14:paraId="33580EFB" w14:textId="77777777" w:rsidR="004F07DF" w:rsidRPr="00C44D66" w:rsidRDefault="004F07DF" w:rsidP="009F6F46">
            <w:pPr>
              <w:spacing w:before="120" w:after="120" w:line="240" w:lineRule="auto"/>
              <w:jc w:val="right"/>
              <w:rPr>
                <w:color w:val="auto"/>
              </w:rPr>
            </w:pPr>
            <w:r w:rsidRPr="00C44D66">
              <w:rPr>
                <w:color w:val="auto"/>
              </w:rPr>
              <w:t>€</w:t>
            </w:r>
          </w:p>
        </w:tc>
        <w:tc>
          <w:tcPr>
            <w:tcW w:w="1699" w:type="dxa"/>
            <w:shd w:val="clear" w:color="auto" w:fill="auto"/>
            <w:vAlign w:val="center"/>
          </w:tcPr>
          <w:p w14:paraId="5443726C" w14:textId="77777777" w:rsidR="004F07DF" w:rsidRPr="00C44D66" w:rsidRDefault="004F07DF" w:rsidP="009F6F46">
            <w:pPr>
              <w:spacing w:before="120" w:after="120" w:line="240" w:lineRule="auto"/>
              <w:jc w:val="center"/>
              <w:rPr>
                <w:color w:val="auto"/>
              </w:rPr>
            </w:pPr>
          </w:p>
        </w:tc>
        <w:tc>
          <w:tcPr>
            <w:tcW w:w="1699" w:type="dxa"/>
            <w:shd w:val="clear" w:color="auto" w:fill="auto"/>
          </w:tcPr>
          <w:p w14:paraId="3A897EC3" w14:textId="77777777" w:rsidR="004F07DF" w:rsidRPr="00C44D66" w:rsidRDefault="004F07DF" w:rsidP="009F6F46">
            <w:pPr>
              <w:spacing w:before="120" w:after="120" w:line="240" w:lineRule="auto"/>
              <w:jc w:val="right"/>
              <w:rPr>
                <w:color w:val="auto"/>
              </w:rPr>
            </w:pPr>
            <w:r w:rsidRPr="00C44D66">
              <w:rPr>
                <w:color w:val="auto"/>
              </w:rPr>
              <w:t>€</w:t>
            </w:r>
          </w:p>
        </w:tc>
      </w:tr>
      <w:tr w:rsidR="004F07DF" w:rsidRPr="006A3DE4" w14:paraId="27583700" w14:textId="77777777" w:rsidTr="20F9238C">
        <w:trPr>
          <w:trHeight w:val="361"/>
        </w:trPr>
        <w:tc>
          <w:tcPr>
            <w:tcW w:w="5662" w:type="dxa"/>
            <w:gridSpan w:val="3"/>
            <w:shd w:val="clear" w:color="auto" w:fill="auto"/>
            <w:vAlign w:val="center"/>
          </w:tcPr>
          <w:p w14:paraId="32CA74BD" w14:textId="77777777" w:rsidR="004F07DF" w:rsidRPr="00C44D66" w:rsidRDefault="18348483" w:rsidP="009F6F46">
            <w:pPr>
              <w:spacing w:before="120" w:after="120" w:line="240" w:lineRule="auto"/>
              <w:rPr>
                <w:b/>
                <w:color w:val="auto"/>
              </w:rPr>
            </w:pPr>
            <w:r w:rsidRPr="20F9238C">
              <w:rPr>
                <w:b/>
                <w:bCs/>
                <w:color w:val="auto"/>
              </w:rPr>
              <w:t>VAT</w:t>
            </w:r>
            <w:r w:rsidR="004F07DF" w:rsidRPr="20F9238C">
              <w:rPr>
                <w:rStyle w:val="FootnoteReference"/>
                <w:b/>
                <w:bCs/>
                <w:color w:val="auto"/>
              </w:rPr>
              <w:footnoteReference w:id="17"/>
            </w:r>
          </w:p>
        </w:tc>
        <w:tc>
          <w:tcPr>
            <w:tcW w:w="1699" w:type="dxa"/>
            <w:shd w:val="clear" w:color="auto" w:fill="auto"/>
            <w:vAlign w:val="center"/>
          </w:tcPr>
          <w:p w14:paraId="1BED329B" w14:textId="77777777" w:rsidR="004F07DF" w:rsidRPr="00C44D66" w:rsidRDefault="004F07DF" w:rsidP="009F6F46">
            <w:pPr>
              <w:spacing w:before="120" w:after="120" w:line="240" w:lineRule="auto"/>
              <w:rPr>
                <w:b/>
                <w:color w:val="auto"/>
              </w:rPr>
            </w:pPr>
            <w:r w:rsidRPr="00C44D66">
              <w:rPr>
                <w:b/>
                <w:color w:val="auto"/>
              </w:rPr>
              <w:t>18%</w:t>
            </w:r>
          </w:p>
        </w:tc>
        <w:tc>
          <w:tcPr>
            <w:tcW w:w="1699" w:type="dxa"/>
            <w:shd w:val="clear" w:color="auto" w:fill="auto"/>
            <w:vAlign w:val="center"/>
          </w:tcPr>
          <w:p w14:paraId="75BB23C5" w14:textId="77777777" w:rsidR="004F07DF" w:rsidRPr="00C44D66" w:rsidRDefault="004F07DF" w:rsidP="009F6F46">
            <w:pPr>
              <w:spacing w:before="120" w:after="120" w:line="240" w:lineRule="auto"/>
              <w:jc w:val="right"/>
              <w:rPr>
                <w:b/>
                <w:color w:val="auto"/>
              </w:rPr>
            </w:pPr>
          </w:p>
        </w:tc>
      </w:tr>
      <w:tr w:rsidR="004F07DF" w:rsidRPr="006A3DE4" w14:paraId="3B5807C4" w14:textId="77777777" w:rsidTr="20F9238C">
        <w:trPr>
          <w:trHeight w:val="283"/>
        </w:trPr>
        <w:tc>
          <w:tcPr>
            <w:tcW w:w="7361" w:type="dxa"/>
            <w:gridSpan w:val="4"/>
            <w:shd w:val="clear" w:color="auto" w:fill="auto"/>
            <w:vAlign w:val="center"/>
          </w:tcPr>
          <w:p w14:paraId="7E42CD58" w14:textId="77777777" w:rsidR="004F07DF" w:rsidRPr="00C44D66" w:rsidRDefault="004F07DF" w:rsidP="009F6F46">
            <w:pPr>
              <w:spacing w:before="120" w:after="120" w:line="240" w:lineRule="auto"/>
              <w:rPr>
                <w:b/>
                <w:color w:val="auto"/>
              </w:rPr>
            </w:pPr>
            <w:r w:rsidRPr="00C44D66">
              <w:rPr>
                <w:b/>
                <w:color w:val="auto"/>
              </w:rPr>
              <w:t>Sub-total</w:t>
            </w:r>
            <w:r w:rsidRPr="00C44D66">
              <w:rPr>
                <w:b/>
                <w:color w:val="auto"/>
              </w:rPr>
              <w:tab/>
            </w:r>
          </w:p>
        </w:tc>
        <w:tc>
          <w:tcPr>
            <w:tcW w:w="1699" w:type="dxa"/>
            <w:shd w:val="clear" w:color="auto" w:fill="auto"/>
            <w:vAlign w:val="center"/>
          </w:tcPr>
          <w:p w14:paraId="63CC9AB5" w14:textId="77777777" w:rsidR="004F07DF" w:rsidRPr="00C44D66" w:rsidRDefault="004F07DF" w:rsidP="009F6F46">
            <w:pPr>
              <w:spacing w:before="120" w:after="120" w:line="240" w:lineRule="auto"/>
              <w:jc w:val="right"/>
              <w:rPr>
                <w:b/>
                <w:color w:val="auto"/>
              </w:rPr>
            </w:pPr>
            <w:r w:rsidRPr="00C44D66">
              <w:rPr>
                <w:b/>
                <w:color w:val="auto"/>
              </w:rPr>
              <w:t>€</w:t>
            </w:r>
          </w:p>
        </w:tc>
      </w:tr>
      <w:tr w:rsidR="004F07DF" w:rsidRPr="006A3DE4" w14:paraId="0C9F461C" w14:textId="77777777" w:rsidTr="20F9238C">
        <w:tc>
          <w:tcPr>
            <w:tcW w:w="9060" w:type="dxa"/>
            <w:gridSpan w:val="5"/>
            <w:shd w:val="clear" w:color="auto" w:fill="auto"/>
            <w:vAlign w:val="center"/>
          </w:tcPr>
          <w:p w14:paraId="3B2EC744" w14:textId="77777777" w:rsidR="004F07DF" w:rsidRPr="00C44D66" w:rsidRDefault="004F07DF" w:rsidP="009F6F46">
            <w:pPr>
              <w:numPr>
                <w:ilvl w:val="0"/>
                <w:numId w:val="53"/>
              </w:numPr>
              <w:spacing w:before="120" w:after="120" w:line="240" w:lineRule="auto"/>
              <w:contextualSpacing/>
              <w:jc w:val="both"/>
              <w:rPr>
                <w:b/>
                <w:color w:val="auto"/>
                <w:highlight w:val="yellow"/>
              </w:rPr>
            </w:pPr>
            <w:r w:rsidRPr="00C44D66">
              <w:rPr>
                <w:b/>
                <w:color w:val="auto"/>
              </w:rPr>
              <w:t>Reimbursable Fees (</w:t>
            </w:r>
            <w:r w:rsidRPr="00C44D66">
              <w:rPr>
                <w:b/>
                <w:color w:val="FF0000"/>
              </w:rPr>
              <w:t>if applicable</w:t>
            </w:r>
            <w:r w:rsidRPr="00C44D66">
              <w:rPr>
                <w:b/>
                <w:color w:val="auto"/>
              </w:rPr>
              <w:t>)</w:t>
            </w:r>
          </w:p>
        </w:tc>
      </w:tr>
      <w:tr w:rsidR="004F07DF" w:rsidRPr="006A3DE4" w14:paraId="3CE06409" w14:textId="77777777" w:rsidTr="20F9238C">
        <w:tc>
          <w:tcPr>
            <w:tcW w:w="3963" w:type="dxa"/>
            <w:gridSpan w:val="2"/>
            <w:shd w:val="clear" w:color="auto" w:fill="auto"/>
            <w:vAlign w:val="center"/>
          </w:tcPr>
          <w:p w14:paraId="555161CF" w14:textId="77777777" w:rsidR="004F07DF" w:rsidRPr="00C44D66" w:rsidRDefault="004F07DF" w:rsidP="009F6F46">
            <w:pPr>
              <w:spacing w:before="120" w:after="120" w:line="240" w:lineRule="auto"/>
              <w:rPr>
                <w:color w:val="auto"/>
              </w:rPr>
            </w:pPr>
            <w:r w:rsidRPr="00C44D66">
              <w:rPr>
                <w:color w:val="auto"/>
              </w:rPr>
              <w:t>International travel costs</w:t>
            </w:r>
          </w:p>
        </w:tc>
        <w:tc>
          <w:tcPr>
            <w:tcW w:w="1699" w:type="dxa"/>
            <w:shd w:val="clear" w:color="auto" w:fill="auto"/>
            <w:vAlign w:val="center"/>
          </w:tcPr>
          <w:p w14:paraId="2E222089" w14:textId="77777777" w:rsidR="004F07DF" w:rsidRPr="00C44D66" w:rsidRDefault="004F07DF" w:rsidP="009F6F46">
            <w:pPr>
              <w:spacing w:before="120" w:after="120" w:line="240" w:lineRule="auto"/>
              <w:jc w:val="right"/>
              <w:rPr>
                <w:color w:val="auto"/>
              </w:rPr>
            </w:pPr>
            <w:r w:rsidRPr="00C44D66">
              <w:rPr>
                <w:color w:val="auto"/>
              </w:rPr>
              <w:t>€</w:t>
            </w:r>
          </w:p>
        </w:tc>
        <w:tc>
          <w:tcPr>
            <w:tcW w:w="1699" w:type="dxa"/>
            <w:shd w:val="clear" w:color="auto" w:fill="auto"/>
            <w:vAlign w:val="center"/>
          </w:tcPr>
          <w:p w14:paraId="6E46F58B" w14:textId="77777777" w:rsidR="004F07DF" w:rsidRPr="00C44D66" w:rsidRDefault="004F07DF" w:rsidP="009F6F46">
            <w:pPr>
              <w:spacing w:before="120" w:after="120" w:line="240" w:lineRule="auto"/>
              <w:jc w:val="center"/>
              <w:rPr>
                <w:color w:val="auto"/>
              </w:rPr>
            </w:pPr>
          </w:p>
        </w:tc>
        <w:tc>
          <w:tcPr>
            <w:tcW w:w="1699" w:type="dxa"/>
            <w:shd w:val="clear" w:color="auto" w:fill="auto"/>
            <w:vAlign w:val="center"/>
          </w:tcPr>
          <w:p w14:paraId="3346C42B" w14:textId="77777777" w:rsidR="004F07DF" w:rsidRPr="00C44D66" w:rsidRDefault="004F07DF" w:rsidP="009F6F46">
            <w:pPr>
              <w:spacing w:before="120" w:after="120" w:line="240" w:lineRule="auto"/>
              <w:jc w:val="right"/>
              <w:rPr>
                <w:color w:val="auto"/>
              </w:rPr>
            </w:pPr>
            <w:r w:rsidRPr="00C44D66">
              <w:rPr>
                <w:color w:val="auto"/>
              </w:rPr>
              <w:t>€</w:t>
            </w:r>
          </w:p>
        </w:tc>
      </w:tr>
      <w:tr w:rsidR="004F07DF" w:rsidRPr="006A3DE4" w14:paraId="2CCCF57E" w14:textId="77777777" w:rsidTr="20F9238C">
        <w:trPr>
          <w:trHeight w:val="247"/>
        </w:trPr>
        <w:tc>
          <w:tcPr>
            <w:tcW w:w="3963" w:type="dxa"/>
            <w:gridSpan w:val="2"/>
            <w:shd w:val="clear" w:color="auto" w:fill="auto"/>
            <w:vAlign w:val="center"/>
          </w:tcPr>
          <w:p w14:paraId="076A92E0" w14:textId="77777777" w:rsidR="004F07DF" w:rsidRPr="00C44D66" w:rsidRDefault="004F07DF" w:rsidP="009F6F46">
            <w:pPr>
              <w:spacing w:before="120" w:after="120" w:line="240" w:lineRule="auto"/>
              <w:rPr>
                <w:color w:val="auto"/>
              </w:rPr>
            </w:pPr>
            <w:r w:rsidRPr="00C44D66">
              <w:rPr>
                <w:color w:val="auto"/>
              </w:rPr>
              <w:t>Visa costs</w:t>
            </w:r>
          </w:p>
        </w:tc>
        <w:tc>
          <w:tcPr>
            <w:tcW w:w="1699" w:type="dxa"/>
            <w:shd w:val="clear" w:color="auto" w:fill="auto"/>
            <w:vAlign w:val="center"/>
          </w:tcPr>
          <w:p w14:paraId="1E915A8B" w14:textId="77777777" w:rsidR="004F07DF" w:rsidRPr="00C44D66" w:rsidRDefault="004F07DF" w:rsidP="009F6F46">
            <w:pPr>
              <w:spacing w:before="120" w:after="120" w:line="240" w:lineRule="auto"/>
              <w:jc w:val="right"/>
              <w:rPr>
                <w:color w:val="auto"/>
              </w:rPr>
            </w:pPr>
            <w:r w:rsidRPr="00C44D66">
              <w:rPr>
                <w:color w:val="auto"/>
              </w:rPr>
              <w:t>€</w:t>
            </w:r>
          </w:p>
        </w:tc>
        <w:tc>
          <w:tcPr>
            <w:tcW w:w="1699" w:type="dxa"/>
            <w:shd w:val="clear" w:color="auto" w:fill="auto"/>
            <w:vAlign w:val="center"/>
          </w:tcPr>
          <w:p w14:paraId="494B3EB1" w14:textId="77777777" w:rsidR="004F07DF" w:rsidRPr="00C44D66" w:rsidRDefault="004F07DF" w:rsidP="009F6F46">
            <w:pPr>
              <w:spacing w:before="120" w:after="120" w:line="240" w:lineRule="auto"/>
              <w:jc w:val="center"/>
              <w:rPr>
                <w:color w:val="auto"/>
              </w:rPr>
            </w:pPr>
          </w:p>
        </w:tc>
        <w:tc>
          <w:tcPr>
            <w:tcW w:w="1699" w:type="dxa"/>
            <w:shd w:val="clear" w:color="auto" w:fill="auto"/>
            <w:vAlign w:val="center"/>
          </w:tcPr>
          <w:p w14:paraId="66B0EEFB" w14:textId="77777777" w:rsidR="004F07DF" w:rsidRPr="00C44D66" w:rsidRDefault="004F07DF" w:rsidP="009F6F46">
            <w:pPr>
              <w:spacing w:before="120" w:after="120" w:line="240" w:lineRule="auto"/>
              <w:jc w:val="right"/>
              <w:rPr>
                <w:color w:val="auto"/>
              </w:rPr>
            </w:pPr>
            <w:r w:rsidRPr="00C44D66">
              <w:rPr>
                <w:color w:val="auto"/>
              </w:rPr>
              <w:t>€</w:t>
            </w:r>
          </w:p>
        </w:tc>
      </w:tr>
      <w:tr w:rsidR="004F07DF" w:rsidRPr="006A3DE4" w14:paraId="67FBF3A1" w14:textId="77777777" w:rsidTr="20F9238C">
        <w:tc>
          <w:tcPr>
            <w:tcW w:w="7361" w:type="dxa"/>
            <w:gridSpan w:val="4"/>
            <w:shd w:val="clear" w:color="auto" w:fill="auto"/>
            <w:vAlign w:val="center"/>
          </w:tcPr>
          <w:p w14:paraId="4DF2A23D" w14:textId="77777777" w:rsidR="004F07DF" w:rsidRPr="00C44D66" w:rsidRDefault="004F07DF" w:rsidP="009F6F46">
            <w:pPr>
              <w:spacing w:before="120" w:after="120" w:line="240" w:lineRule="auto"/>
              <w:jc w:val="both"/>
              <w:rPr>
                <w:b/>
                <w:color w:val="auto"/>
              </w:rPr>
            </w:pPr>
            <w:r w:rsidRPr="00C44D66">
              <w:rPr>
                <w:b/>
                <w:color w:val="auto"/>
              </w:rPr>
              <w:t xml:space="preserve">GRAND TOTAL </w:t>
            </w:r>
          </w:p>
        </w:tc>
        <w:tc>
          <w:tcPr>
            <w:tcW w:w="1699" w:type="dxa"/>
            <w:shd w:val="clear" w:color="auto" w:fill="auto"/>
            <w:vAlign w:val="center"/>
          </w:tcPr>
          <w:p w14:paraId="7046D23A" w14:textId="77777777" w:rsidR="004F07DF" w:rsidRPr="00C44D66" w:rsidRDefault="004F07DF" w:rsidP="009F6F46">
            <w:pPr>
              <w:spacing w:before="120" w:after="120" w:line="240" w:lineRule="auto"/>
              <w:jc w:val="right"/>
              <w:rPr>
                <w:color w:val="auto"/>
              </w:rPr>
            </w:pPr>
            <w:r w:rsidRPr="00C44D66">
              <w:rPr>
                <w:color w:val="auto"/>
              </w:rPr>
              <w:t>€</w:t>
            </w:r>
          </w:p>
        </w:tc>
      </w:tr>
    </w:tbl>
    <w:p w14:paraId="47BE4B5E" w14:textId="77777777" w:rsidR="004F07DF" w:rsidRPr="00A608B2" w:rsidRDefault="004F07DF" w:rsidP="004F07DF">
      <w:pPr>
        <w:autoSpaceDE w:val="0"/>
        <w:autoSpaceDN w:val="0"/>
        <w:adjustRightInd w:val="0"/>
        <w:spacing w:after="0"/>
        <w:rPr>
          <w:rFonts w:cs="Calibri"/>
          <w:color w:val="333333"/>
          <w:szCs w:val="21"/>
        </w:rPr>
      </w:pPr>
    </w:p>
    <w:p w14:paraId="6A5E33DB" w14:textId="77777777" w:rsidR="004F07DF" w:rsidRDefault="004F07DF" w:rsidP="004F07DF">
      <w:pPr>
        <w:autoSpaceDE w:val="0"/>
        <w:autoSpaceDN w:val="0"/>
        <w:adjustRightInd w:val="0"/>
        <w:spacing w:after="0"/>
        <w:rPr>
          <w:rFonts w:cs="Calibri"/>
          <w:color w:val="333333"/>
          <w:szCs w:val="21"/>
        </w:rPr>
      </w:pPr>
      <w:r w:rsidRPr="00A608B2">
        <w:rPr>
          <w:rFonts w:cs="Calibri"/>
          <w:color w:val="333333"/>
          <w:szCs w:val="21"/>
        </w:rPr>
        <w:t xml:space="preserve">The confidential information and/or the information relating to </w:t>
      </w:r>
      <w:proofErr w:type="gramStart"/>
      <w:r w:rsidRPr="00A608B2">
        <w:rPr>
          <w:rFonts w:cs="Calibri"/>
          <w:color w:val="333333"/>
          <w:szCs w:val="21"/>
        </w:rPr>
        <w:t>technical</w:t>
      </w:r>
      <w:proofErr w:type="gramEnd"/>
      <w:r w:rsidRPr="00A608B2">
        <w:rPr>
          <w:rFonts w:cs="Calibri"/>
          <w:color w:val="333333"/>
          <w:szCs w:val="21"/>
        </w:rPr>
        <w:t xml:space="preserve"> or business secrets is indicated clearly in the tender.</w:t>
      </w:r>
    </w:p>
    <w:p w14:paraId="3AF8492D" w14:textId="77777777" w:rsidR="004F07DF" w:rsidRPr="00C44D66" w:rsidRDefault="004F07DF" w:rsidP="004F07DF">
      <w:pPr>
        <w:spacing w:before="360" w:after="240" w:line="259" w:lineRule="auto"/>
        <w:jc w:val="both"/>
        <w:rPr>
          <w:rFonts w:cs="Arial"/>
        </w:rPr>
      </w:pPr>
      <w:r w:rsidRPr="00C44D66">
        <w:rPr>
          <w:rFonts w:cs="Arial"/>
        </w:rPr>
        <w:t>Name and first name: ………………………………………………</w:t>
      </w:r>
    </w:p>
    <w:p w14:paraId="621C1D69" w14:textId="77777777" w:rsidR="004F07DF" w:rsidRPr="00C44D66" w:rsidRDefault="004F07DF" w:rsidP="004F07DF">
      <w:pPr>
        <w:spacing w:before="240" w:after="240" w:line="259" w:lineRule="auto"/>
        <w:jc w:val="both"/>
        <w:rPr>
          <w:rFonts w:cs="Arial"/>
        </w:rPr>
      </w:pPr>
      <w:r w:rsidRPr="00C44D66">
        <w:rPr>
          <w:rFonts w:cs="Arial"/>
        </w:rPr>
        <w:t>Place and date: ………………………………………………</w:t>
      </w:r>
    </w:p>
    <w:p w14:paraId="6BA12BB8" w14:textId="77777777" w:rsidR="004F07DF" w:rsidRPr="00A608B2" w:rsidRDefault="004F07DF" w:rsidP="004F07DF">
      <w:pPr>
        <w:autoSpaceDE w:val="0"/>
        <w:autoSpaceDN w:val="0"/>
        <w:adjustRightInd w:val="0"/>
        <w:spacing w:after="0"/>
        <w:rPr>
          <w:rFonts w:cs="Calibri"/>
          <w:color w:val="333333"/>
          <w:szCs w:val="21"/>
        </w:rPr>
      </w:pPr>
      <w:r w:rsidRPr="00A608B2">
        <w:rPr>
          <w:rFonts w:cs="Calibri"/>
          <w:color w:val="333333"/>
          <w:szCs w:val="21"/>
        </w:rPr>
        <w:t>Certified true and sincere,</w:t>
      </w:r>
    </w:p>
    <w:p w14:paraId="2117253C" w14:textId="77777777" w:rsidR="004F07DF" w:rsidRDefault="004F07DF" w:rsidP="004F07DF">
      <w:pPr>
        <w:autoSpaceDE w:val="0"/>
        <w:autoSpaceDN w:val="0"/>
        <w:adjustRightInd w:val="0"/>
        <w:spacing w:after="0"/>
        <w:rPr>
          <w:rFonts w:cs="Calibri"/>
          <w:color w:val="333333"/>
          <w:szCs w:val="21"/>
        </w:rPr>
      </w:pPr>
      <w:r w:rsidRPr="00A608B2">
        <w:rPr>
          <w:rFonts w:cs="Calibri"/>
          <w:color w:val="333333"/>
          <w:szCs w:val="21"/>
        </w:rPr>
        <w:t>Handwritten original signature (s):</w:t>
      </w:r>
      <w:r>
        <w:rPr>
          <w:rFonts w:cs="Calibri"/>
          <w:color w:val="333333"/>
          <w:szCs w:val="21"/>
        </w:rPr>
        <w:t xml:space="preserve"> …………………………………….</w:t>
      </w:r>
    </w:p>
    <w:p w14:paraId="0FFC3E26" w14:textId="77777777" w:rsidR="004F07DF" w:rsidRDefault="004F07DF" w:rsidP="004F07DF">
      <w:pPr>
        <w:autoSpaceDE w:val="0"/>
        <w:autoSpaceDN w:val="0"/>
        <w:adjustRightInd w:val="0"/>
        <w:spacing w:after="0"/>
        <w:rPr>
          <w:rFonts w:cs="Calibri"/>
          <w:color w:val="333333"/>
          <w:szCs w:val="21"/>
        </w:rPr>
      </w:pPr>
    </w:p>
    <w:p w14:paraId="5AE8F8FE" w14:textId="77777777" w:rsidR="004F07DF" w:rsidRPr="005E17D7" w:rsidRDefault="004F07DF" w:rsidP="004F07DF">
      <w:pPr>
        <w:keepNext/>
        <w:keepLines/>
        <w:numPr>
          <w:ilvl w:val="1"/>
          <w:numId w:val="46"/>
        </w:numPr>
        <w:spacing w:before="120" w:after="120" w:line="240" w:lineRule="auto"/>
        <w:outlineLvl w:val="1"/>
        <w:rPr>
          <w:rFonts w:ascii="Calibri" w:eastAsia="Times New Roman" w:hAnsi="Calibri"/>
          <w:b/>
          <w:color w:val="D81A1A"/>
          <w:sz w:val="28"/>
          <w:szCs w:val="26"/>
        </w:rPr>
      </w:pPr>
      <w:bookmarkStart w:id="186" w:name="_Toc57977284"/>
      <w:bookmarkStart w:id="187" w:name="_Toc63746312"/>
      <w:bookmarkStart w:id="188" w:name="_Toc64881236"/>
      <w:bookmarkStart w:id="189" w:name="_Toc65088284"/>
      <w:bookmarkStart w:id="190" w:name="_Toc117027535"/>
      <w:r w:rsidRPr="005E17D7">
        <w:rPr>
          <w:rFonts w:ascii="Calibri" w:eastAsia="Times New Roman" w:hAnsi="Calibri"/>
          <w:b/>
          <w:color w:val="D81A1A"/>
          <w:sz w:val="28"/>
          <w:szCs w:val="26"/>
        </w:rPr>
        <w:lastRenderedPageBreak/>
        <w:t>Financial identification</w:t>
      </w:r>
      <w:bookmarkEnd w:id="186"/>
      <w:bookmarkEnd w:id="187"/>
      <w:bookmarkEnd w:id="188"/>
      <w:bookmarkEnd w:id="189"/>
      <w:bookmarkEnd w:id="190"/>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1158"/>
        <w:gridCol w:w="2835"/>
        <w:gridCol w:w="1770"/>
      </w:tblGrid>
      <w:tr w:rsidR="004F07DF" w:rsidRPr="00AA4E27" w14:paraId="73772265" w14:textId="77777777" w:rsidTr="20F9238C">
        <w:trPr>
          <w:trHeight w:val="530"/>
        </w:trPr>
        <w:tc>
          <w:tcPr>
            <w:tcW w:w="8644" w:type="dxa"/>
            <w:gridSpan w:val="4"/>
            <w:shd w:val="clear" w:color="auto" w:fill="auto"/>
            <w:vAlign w:val="center"/>
          </w:tcPr>
          <w:p w14:paraId="36A5032A" w14:textId="77777777" w:rsidR="004F07DF" w:rsidRPr="005E17D7" w:rsidRDefault="004F07DF" w:rsidP="009F6F46">
            <w:pPr>
              <w:spacing w:after="0"/>
              <w:jc w:val="center"/>
              <w:rPr>
                <w:rFonts w:eastAsia="MS Mincho"/>
                <w:b/>
                <w:szCs w:val="24"/>
                <w:u w:val="single"/>
              </w:rPr>
            </w:pPr>
            <w:r w:rsidRPr="005E17D7">
              <w:rPr>
                <w:rFonts w:eastAsia="MS Mincho"/>
                <w:b/>
                <w:szCs w:val="24"/>
                <w:u w:val="single"/>
              </w:rPr>
              <w:t>BANKING DETAILS</w:t>
            </w:r>
          </w:p>
        </w:tc>
      </w:tr>
      <w:tr w:rsidR="004F07DF" w:rsidRPr="00AA4E27" w14:paraId="07D35A6A" w14:textId="77777777" w:rsidTr="20F9238C">
        <w:trPr>
          <w:trHeight w:val="567"/>
        </w:trPr>
        <w:tc>
          <w:tcPr>
            <w:tcW w:w="2881" w:type="dxa"/>
            <w:shd w:val="clear" w:color="auto" w:fill="auto"/>
            <w:vAlign w:val="center"/>
          </w:tcPr>
          <w:p w14:paraId="3C6F691D" w14:textId="77777777" w:rsidR="004F07DF" w:rsidRPr="005E17D7" w:rsidRDefault="18348483" w:rsidP="009F6F46">
            <w:pPr>
              <w:spacing w:after="0"/>
              <w:rPr>
                <w:rFonts w:eastAsia="MS Mincho"/>
                <w:szCs w:val="24"/>
              </w:rPr>
            </w:pPr>
            <w:r w:rsidRPr="20F9238C">
              <w:rPr>
                <w:rFonts w:eastAsia="MS Mincho"/>
              </w:rPr>
              <w:t xml:space="preserve">ACCOUNT NAME </w:t>
            </w:r>
            <w:r w:rsidR="004F07DF" w:rsidRPr="20F9238C">
              <w:rPr>
                <w:rFonts w:eastAsia="MS Mincho"/>
                <w:vertAlign w:val="superscript"/>
              </w:rPr>
              <w:footnoteReference w:id="18"/>
            </w:r>
          </w:p>
        </w:tc>
        <w:tc>
          <w:tcPr>
            <w:tcW w:w="5763" w:type="dxa"/>
            <w:gridSpan w:val="3"/>
            <w:shd w:val="clear" w:color="auto" w:fill="auto"/>
            <w:vAlign w:val="center"/>
          </w:tcPr>
          <w:p w14:paraId="19205115" w14:textId="77777777" w:rsidR="004F07DF" w:rsidRPr="005E17D7" w:rsidRDefault="004F07DF" w:rsidP="009F6F46">
            <w:pPr>
              <w:spacing w:after="0"/>
              <w:rPr>
                <w:rFonts w:eastAsia="MS Mincho"/>
                <w:szCs w:val="24"/>
              </w:rPr>
            </w:pPr>
          </w:p>
        </w:tc>
      </w:tr>
      <w:tr w:rsidR="004F07DF" w:rsidRPr="00AA4E27" w14:paraId="161C9914" w14:textId="77777777" w:rsidTr="20F9238C">
        <w:trPr>
          <w:trHeight w:val="567"/>
        </w:trPr>
        <w:tc>
          <w:tcPr>
            <w:tcW w:w="2881" w:type="dxa"/>
            <w:shd w:val="clear" w:color="auto" w:fill="auto"/>
            <w:vAlign w:val="center"/>
          </w:tcPr>
          <w:p w14:paraId="5240486F" w14:textId="77777777" w:rsidR="004F07DF" w:rsidRPr="005E17D7" w:rsidRDefault="18348483" w:rsidP="009F6F46">
            <w:pPr>
              <w:spacing w:after="0"/>
              <w:rPr>
                <w:rFonts w:eastAsia="MS Mincho"/>
                <w:szCs w:val="24"/>
              </w:rPr>
            </w:pPr>
            <w:r w:rsidRPr="20F9238C">
              <w:rPr>
                <w:rFonts w:eastAsia="MS Mincho"/>
              </w:rPr>
              <w:t>IBAN/ACCOUNT NUMBER</w:t>
            </w:r>
            <w:r w:rsidR="004F07DF" w:rsidRPr="20F9238C">
              <w:rPr>
                <w:rFonts w:eastAsia="MS Mincho"/>
                <w:vertAlign w:val="superscript"/>
              </w:rPr>
              <w:footnoteReference w:id="19"/>
            </w:r>
          </w:p>
        </w:tc>
        <w:tc>
          <w:tcPr>
            <w:tcW w:w="5763" w:type="dxa"/>
            <w:gridSpan w:val="3"/>
            <w:shd w:val="clear" w:color="auto" w:fill="auto"/>
            <w:vAlign w:val="center"/>
          </w:tcPr>
          <w:p w14:paraId="07279F72" w14:textId="77777777" w:rsidR="004F07DF" w:rsidRPr="005E17D7" w:rsidRDefault="004F07DF" w:rsidP="009F6F46">
            <w:pPr>
              <w:spacing w:after="0"/>
              <w:rPr>
                <w:rFonts w:eastAsia="MS Mincho"/>
                <w:szCs w:val="24"/>
              </w:rPr>
            </w:pPr>
          </w:p>
        </w:tc>
      </w:tr>
      <w:tr w:rsidR="004F07DF" w:rsidRPr="00AA4E27" w14:paraId="53693ABD" w14:textId="77777777" w:rsidTr="20F9238C">
        <w:trPr>
          <w:trHeight w:val="567"/>
        </w:trPr>
        <w:tc>
          <w:tcPr>
            <w:tcW w:w="2881" w:type="dxa"/>
            <w:shd w:val="clear" w:color="auto" w:fill="auto"/>
            <w:vAlign w:val="center"/>
          </w:tcPr>
          <w:p w14:paraId="622964BD" w14:textId="77777777" w:rsidR="004F07DF" w:rsidRPr="005E17D7" w:rsidRDefault="004F07DF" w:rsidP="009F6F46">
            <w:pPr>
              <w:spacing w:after="0"/>
              <w:rPr>
                <w:rFonts w:eastAsia="MS Mincho"/>
                <w:szCs w:val="24"/>
              </w:rPr>
            </w:pPr>
            <w:r w:rsidRPr="005E17D7">
              <w:rPr>
                <w:rFonts w:eastAsia="MS Mincho"/>
                <w:szCs w:val="24"/>
              </w:rPr>
              <w:t>CURRENCY</w:t>
            </w:r>
          </w:p>
        </w:tc>
        <w:tc>
          <w:tcPr>
            <w:tcW w:w="5763" w:type="dxa"/>
            <w:gridSpan w:val="3"/>
            <w:shd w:val="clear" w:color="auto" w:fill="auto"/>
            <w:vAlign w:val="center"/>
          </w:tcPr>
          <w:p w14:paraId="690A83A5" w14:textId="77777777" w:rsidR="004F07DF" w:rsidRPr="005E17D7" w:rsidRDefault="004F07DF" w:rsidP="009F6F46">
            <w:pPr>
              <w:spacing w:after="0"/>
              <w:rPr>
                <w:rFonts w:eastAsia="MS Mincho"/>
                <w:szCs w:val="24"/>
              </w:rPr>
            </w:pPr>
          </w:p>
        </w:tc>
      </w:tr>
      <w:tr w:rsidR="004F07DF" w:rsidRPr="00AA4E27" w14:paraId="01FE0CB3" w14:textId="77777777" w:rsidTr="20F9238C">
        <w:trPr>
          <w:trHeight w:val="567"/>
        </w:trPr>
        <w:tc>
          <w:tcPr>
            <w:tcW w:w="2881" w:type="dxa"/>
            <w:shd w:val="clear" w:color="auto" w:fill="auto"/>
            <w:vAlign w:val="center"/>
          </w:tcPr>
          <w:p w14:paraId="06FF50C9" w14:textId="77777777" w:rsidR="004F07DF" w:rsidRPr="005E17D7" w:rsidRDefault="004F07DF" w:rsidP="009F6F46">
            <w:pPr>
              <w:spacing w:after="0"/>
              <w:rPr>
                <w:rFonts w:eastAsia="MS Mincho"/>
                <w:szCs w:val="24"/>
              </w:rPr>
            </w:pPr>
            <w:r w:rsidRPr="005E17D7">
              <w:rPr>
                <w:rFonts w:eastAsia="MS Mincho"/>
                <w:szCs w:val="24"/>
              </w:rPr>
              <w:t>BIC/SWIFT CODE</w:t>
            </w:r>
          </w:p>
        </w:tc>
        <w:tc>
          <w:tcPr>
            <w:tcW w:w="5763" w:type="dxa"/>
            <w:gridSpan w:val="3"/>
            <w:shd w:val="clear" w:color="auto" w:fill="auto"/>
            <w:vAlign w:val="center"/>
          </w:tcPr>
          <w:p w14:paraId="0BCAE69F" w14:textId="77777777" w:rsidR="004F07DF" w:rsidRPr="005E17D7" w:rsidRDefault="004F07DF" w:rsidP="009F6F46">
            <w:pPr>
              <w:spacing w:after="0"/>
              <w:rPr>
                <w:rFonts w:eastAsia="MS Mincho"/>
                <w:szCs w:val="24"/>
              </w:rPr>
            </w:pPr>
          </w:p>
        </w:tc>
      </w:tr>
      <w:tr w:rsidR="004F07DF" w:rsidRPr="00AA4E27" w14:paraId="4606ADAB" w14:textId="77777777" w:rsidTr="20F9238C">
        <w:trPr>
          <w:trHeight w:val="567"/>
        </w:trPr>
        <w:tc>
          <w:tcPr>
            <w:tcW w:w="2881" w:type="dxa"/>
            <w:tcBorders>
              <w:bottom w:val="single" w:sz="4" w:space="0" w:color="auto"/>
            </w:tcBorders>
            <w:shd w:val="clear" w:color="auto" w:fill="auto"/>
            <w:vAlign w:val="center"/>
          </w:tcPr>
          <w:p w14:paraId="0A39E594" w14:textId="77777777" w:rsidR="004F07DF" w:rsidRPr="005E17D7" w:rsidRDefault="004F07DF" w:rsidP="009F6F46">
            <w:pPr>
              <w:spacing w:after="0"/>
              <w:rPr>
                <w:rFonts w:eastAsia="MS Mincho"/>
                <w:szCs w:val="24"/>
              </w:rPr>
            </w:pPr>
            <w:r w:rsidRPr="005E17D7">
              <w:rPr>
                <w:rFonts w:eastAsia="MS Mincho"/>
                <w:szCs w:val="24"/>
              </w:rPr>
              <w:t>BANK NAME</w:t>
            </w:r>
          </w:p>
        </w:tc>
        <w:tc>
          <w:tcPr>
            <w:tcW w:w="5763" w:type="dxa"/>
            <w:gridSpan w:val="3"/>
            <w:tcBorders>
              <w:bottom w:val="single" w:sz="4" w:space="0" w:color="auto"/>
            </w:tcBorders>
            <w:shd w:val="clear" w:color="auto" w:fill="auto"/>
            <w:vAlign w:val="center"/>
          </w:tcPr>
          <w:p w14:paraId="6A291B3C" w14:textId="77777777" w:rsidR="004F07DF" w:rsidRPr="005E17D7" w:rsidRDefault="004F07DF" w:rsidP="009F6F46">
            <w:pPr>
              <w:spacing w:after="0"/>
              <w:rPr>
                <w:rFonts w:eastAsia="MS Mincho"/>
                <w:szCs w:val="24"/>
              </w:rPr>
            </w:pPr>
          </w:p>
        </w:tc>
      </w:tr>
      <w:tr w:rsidR="004F07DF" w:rsidRPr="00AA4E27" w14:paraId="2CC1BA64" w14:textId="77777777" w:rsidTr="20F9238C">
        <w:trPr>
          <w:trHeight w:val="209"/>
        </w:trPr>
        <w:tc>
          <w:tcPr>
            <w:tcW w:w="8644" w:type="dxa"/>
            <w:gridSpan w:val="4"/>
            <w:tcBorders>
              <w:left w:val="nil"/>
              <w:right w:val="nil"/>
            </w:tcBorders>
            <w:shd w:val="clear" w:color="auto" w:fill="auto"/>
            <w:vAlign w:val="center"/>
          </w:tcPr>
          <w:p w14:paraId="094164B9" w14:textId="77777777" w:rsidR="004F07DF" w:rsidRPr="005E17D7" w:rsidRDefault="004F07DF" w:rsidP="009F6F46">
            <w:pPr>
              <w:spacing w:after="0"/>
              <w:rPr>
                <w:rFonts w:eastAsia="MS Mincho"/>
                <w:szCs w:val="24"/>
              </w:rPr>
            </w:pPr>
          </w:p>
        </w:tc>
      </w:tr>
      <w:tr w:rsidR="004F07DF" w:rsidRPr="00AA4E27" w14:paraId="03AC4A77" w14:textId="77777777" w:rsidTr="20F9238C">
        <w:trPr>
          <w:trHeight w:val="567"/>
        </w:trPr>
        <w:tc>
          <w:tcPr>
            <w:tcW w:w="8644" w:type="dxa"/>
            <w:gridSpan w:val="4"/>
            <w:shd w:val="clear" w:color="auto" w:fill="auto"/>
            <w:vAlign w:val="center"/>
          </w:tcPr>
          <w:p w14:paraId="1F18561D" w14:textId="77777777" w:rsidR="004F07DF" w:rsidRPr="005E17D7" w:rsidRDefault="004F07DF" w:rsidP="009F6F46">
            <w:pPr>
              <w:spacing w:after="0"/>
              <w:jc w:val="center"/>
              <w:rPr>
                <w:rFonts w:eastAsia="MS Mincho"/>
                <w:b/>
                <w:szCs w:val="24"/>
              </w:rPr>
            </w:pPr>
            <w:r w:rsidRPr="005E17D7">
              <w:rPr>
                <w:rFonts w:eastAsia="MS Mincho"/>
                <w:b/>
                <w:szCs w:val="24"/>
              </w:rPr>
              <w:t>ADDRESS Of BANK BRANCH</w:t>
            </w:r>
          </w:p>
        </w:tc>
      </w:tr>
      <w:tr w:rsidR="004F07DF" w:rsidRPr="00AA4E27" w14:paraId="2368FC5D" w14:textId="77777777" w:rsidTr="20F9238C">
        <w:trPr>
          <w:trHeight w:val="567"/>
        </w:trPr>
        <w:tc>
          <w:tcPr>
            <w:tcW w:w="2881" w:type="dxa"/>
            <w:shd w:val="clear" w:color="auto" w:fill="auto"/>
            <w:vAlign w:val="center"/>
          </w:tcPr>
          <w:p w14:paraId="03B165FD" w14:textId="77777777" w:rsidR="004F07DF" w:rsidRPr="005E17D7" w:rsidRDefault="004F07DF" w:rsidP="009F6F46">
            <w:pPr>
              <w:spacing w:after="0"/>
              <w:rPr>
                <w:rFonts w:eastAsia="MS Mincho"/>
                <w:szCs w:val="24"/>
              </w:rPr>
            </w:pPr>
            <w:r w:rsidRPr="005E17D7">
              <w:rPr>
                <w:rFonts w:eastAsia="MS Mincho"/>
                <w:szCs w:val="24"/>
              </w:rPr>
              <w:t>STREET &amp; NUMBER</w:t>
            </w:r>
          </w:p>
        </w:tc>
        <w:tc>
          <w:tcPr>
            <w:tcW w:w="3993" w:type="dxa"/>
            <w:gridSpan w:val="2"/>
            <w:shd w:val="clear" w:color="auto" w:fill="auto"/>
            <w:vAlign w:val="center"/>
          </w:tcPr>
          <w:p w14:paraId="47A25B93" w14:textId="77777777" w:rsidR="004F07DF" w:rsidRPr="005E17D7" w:rsidRDefault="004F07DF" w:rsidP="009F6F46">
            <w:pPr>
              <w:spacing w:after="0"/>
              <w:rPr>
                <w:rFonts w:eastAsia="MS Mincho"/>
                <w:szCs w:val="24"/>
              </w:rPr>
            </w:pPr>
          </w:p>
        </w:tc>
        <w:tc>
          <w:tcPr>
            <w:tcW w:w="1770" w:type="dxa"/>
            <w:shd w:val="clear" w:color="auto" w:fill="auto"/>
            <w:vAlign w:val="center"/>
          </w:tcPr>
          <w:p w14:paraId="3A9FE6E0" w14:textId="77777777" w:rsidR="004F07DF" w:rsidRPr="005E17D7" w:rsidRDefault="004F07DF" w:rsidP="009F6F46">
            <w:pPr>
              <w:spacing w:after="0"/>
              <w:rPr>
                <w:rFonts w:eastAsia="MS Mincho"/>
                <w:szCs w:val="24"/>
              </w:rPr>
            </w:pPr>
          </w:p>
        </w:tc>
      </w:tr>
      <w:tr w:rsidR="004F07DF" w:rsidRPr="00AA4E27" w14:paraId="10C73A32" w14:textId="77777777" w:rsidTr="20F9238C">
        <w:trPr>
          <w:trHeight w:val="567"/>
        </w:trPr>
        <w:tc>
          <w:tcPr>
            <w:tcW w:w="4039" w:type="dxa"/>
            <w:gridSpan w:val="2"/>
            <w:shd w:val="clear" w:color="auto" w:fill="auto"/>
            <w:vAlign w:val="center"/>
          </w:tcPr>
          <w:p w14:paraId="0DA63F39" w14:textId="77777777" w:rsidR="004F07DF" w:rsidRPr="005E17D7" w:rsidRDefault="004F07DF" w:rsidP="009F6F46">
            <w:pPr>
              <w:spacing w:after="0"/>
              <w:rPr>
                <w:rFonts w:eastAsia="MS Mincho"/>
                <w:szCs w:val="24"/>
              </w:rPr>
            </w:pPr>
            <w:r w:rsidRPr="005E17D7">
              <w:rPr>
                <w:rFonts w:eastAsia="MS Mincho"/>
                <w:szCs w:val="24"/>
              </w:rPr>
              <w:t>TOWN/CITY</w:t>
            </w:r>
          </w:p>
        </w:tc>
        <w:tc>
          <w:tcPr>
            <w:tcW w:w="4605" w:type="dxa"/>
            <w:gridSpan w:val="2"/>
            <w:shd w:val="clear" w:color="auto" w:fill="auto"/>
            <w:vAlign w:val="center"/>
          </w:tcPr>
          <w:p w14:paraId="3DD43377" w14:textId="77777777" w:rsidR="004F07DF" w:rsidRPr="005E17D7" w:rsidRDefault="004F07DF" w:rsidP="009F6F46">
            <w:pPr>
              <w:spacing w:after="0"/>
              <w:rPr>
                <w:rFonts w:eastAsia="MS Mincho"/>
                <w:szCs w:val="24"/>
              </w:rPr>
            </w:pPr>
            <w:r w:rsidRPr="005E17D7">
              <w:rPr>
                <w:rFonts w:eastAsia="MS Mincho"/>
                <w:szCs w:val="24"/>
              </w:rPr>
              <w:t>POST CODE</w:t>
            </w:r>
          </w:p>
        </w:tc>
      </w:tr>
      <w:tr w:rsidR="004F07DF" w:rsidRPr="00AA4E27" w14:paraId="6A8A951A" w14:textId="77777777" w:rsidTr="20F9238C">
        <w:trPr>
          <w:trHeight w:val="567"/>
        </w:trPr>
        <w:tc>
          <w:tcPr>
            <w:tcW w:w="2881" w:type="dxa"/>
            <w:shd w:val="clear" w:color="auto" w:fill="auto"/>
            <w:vAlign w:val="center"/>
          </w:tcPr>
          <w:p w14:paraId="46103B19" w14:textId="77777777" w:rsidR="004F07DF" w:rsidRPr="005E17D7" w:rsidRDefault="004F07DF" w:rsidP="009F6F46">
            <w:pPr>
              <w:spacing w:after="0"/>
              <w:rPr>
                <w:rFonts w:eastAsia="MS Mincho"/>
                <w:szCs w:val="24"/>
              </w:rPr>
            </w:pPr>
            <w:r w:rsidRPr="005E17D7">
              <w:rPr>
                <w:rFonts w:eastAsia="MS Mincho"/>
                <w:szCs w:val="24"/>
              </w:rPr>
              <w:t>COUNTRY</w:t>
            </w:r>
          </w:p>
        </w:tc>
        <w:tc>
          <w:tcPr>
            <w:tcW w:w="5763" w:type="dxa"/>
            <w:gridSpan w:val="3"/>
            <w:shd w:val="clear" w:color="auto" w:fill="auto"/>
            <w:vAlign w:val="center"/>
          </w:tcPr>
          <w:p w14:paraId="77B80AFD" w14:textId="77777777" w:rsidR="004F07DF" w:rsidRPr="005E17D7" w:rsidRDefault="004F07DF" w:rsidP="009F6F46">
            <w:pPr>
              <w:spacing w:after="0"/>
              <w:rPr>
                <w:rFonts w:eastAsia="MS Mincho"/>
                <w:szCs w:val="24"/>
              </w:rPr>
            </w:pPr>
          </w:p>
        </w:tc>
      </w:tr>
    </w:tbl>
    <w:p w14:paraId="6186F6C3" w14:textId="77777777" w:rsidR="004F07DF" w:rsidRPr="005E17D7" w:rsidRDefault="004F07DF" w:rsidP="004F07DF">
      <w:pPr>
        <w:spacing w:after="0"/>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1158"/>
        <w:gridCol w:w="2835"/>
        <w:gridCol w:w="1770"/>
      </w:tblGrid>
      <w:tr w:rsidR="004F07DF" w:rsidRPr="00AA4E27" w14:paraId="42A1A1DB" w14:textId="77777777" w:rsidTr="009F6F46">
        <w:trPr>
          <w:trHeight w:val="567"/>
        </w:trPr>
        <w:tc>
          <w:tcPr>
            <w:tcW w:w="8644" w:type="dxa"/>
            <w:gridSpan w:val="4"/>
            <w:shd w:val="clear" w:color="auto" w:fill="auto"/>
            <w:vAlign w:val="center"/>
          </w:tcPr>
          <w:p w14:paraId="11B57B66" w14:textId="77777777" w:rsidR="004F07DF" w:rsidRPr="005E17D7" w:rsidRDefault="004F07DF" w:rsidP="009F6F46">
            <w:pPr>
              <w:spacing w:after="0"/>
              <w:jc w:val="center"/>
              <w:rPr>
                <w:rFonts w:eastAsia="MS Mincho"/>
                <w:b/>
                <w:szCs w:val="24"/>
                <w:u w:val="single"/>
              </w:rPr>
            </w:pPr>
            <w:r w:rsidRPr="005E17D7">
              <w:rPr>
                <w:rFonts w:eastAsia="MS Mincho"/>
                <w:b/>
                <w:szCs w:val="24"/>
                <w:u w:val="single"/>
              </w:rPr>
              <w:t xml:space="preserve">ACCOUNT HOLDER’S DATA </w:t>
            </w:r>
          </w:p>
          <w:p w14:paraId="7A4BA263" w14:textId="77777777" w:rsidR="004F07DF" w:rsidRPr="005E17D7" w:rsidRDefault="004F07DF" w:rsidP="009F6F46">
            <w:pPr>
              <w:spacing w:after="0"/>
              <w:jc w:val="center"/>
              <w:rPr>
                <w:rFonts w:eastAsia="MS Mincho"/>
                <w:sz w:val="16"/>
                <w:szCs w:val="16"/>
              </w:rPr>
            </w:pPr>
            <w:r w:rsidRPr="005E17D7">
              <w:rPr>
                <w:rFonts w:eastAsia="MS Mincho"/>
                <w:sz w:val="16"/>
                <w:szCs w:val="16"/>
              </w:rPr>
              <w:t>AS DECLARED TO THE BANK</w:t>
            </w:r>
          </w:p>
        </w:tc>
      </w:tr>
      <w:tr w:rsidR="004F07DF" w:rsidRPr="00AA4E27" w14:paraId="36786DB6" w14:textId="77777777" w:rsidTr="009F6F46">
        <w:trPr>
          <w:trHeight w:val="567"/>
        </w:trPr>
        <w:tc>
          <w:tcPr>
            <w:tcW w:w="2881" w:type="dxa"/>
            <w:shd w:val="clear" w:color="auto" w:fill="auto"/>
            <w:vAlign w:val="center"/>
          </w:tcPr>
          <w:p w14:paraId="4DCB2BFE" w14:textId="77777777" w:rsidR="004F07DF" w:rsidRPr="005E17D7" w:rsidRDefault="004F07DF" w:rsidP="009F6F46">
            <w:pPr>
              <w:spacing w:after="0"/>
              <w:rPr>
                <w:rFonts w:eastAsia="MS Mincho"/>
                <w:szCs w:val="24"/>
              </w:rPr>
            </w:pPr>
            <w:r w:rsidRPr="005E17D7">
              <w:rPr>
                <w:rFonts w:eastAsia="MS Mincho"/>
                <w:szCs w:val="24"/>
              </w:rPr>
              <w:t>ACCOUNT HOLDER</w:t>
            </w:r>
          </w:p>
        </w:tc>
        <w:tc>
          <w:tcPr>
            <w:tcW w:w="5763" w:type="dxa"/>
            <w:gridSpan w:val="3"/>
            <w:shd w:val="clear" w:color="auto" w:fill="auto"/>
            <w:vAlign w:val="center"/>
          </w:tcPr>
          <w:p w14:paraId="06639C86" w14:textId="77777777" w:rsidR="004F07DF" w:rsidRPr="005E17D7" w:rsidRDefault="004F07DF" w:rsidP="009F6F46">
            <w:pPr>
              <w:spacing w:after="0"/>
              <w:rPr>
                <w:rFonts w:eastAsia="MS Mincho"/>
                <w:szCs w:val="24"/>
              </w:rPr>
            </w:pPr>
          </w:p>
        </w:tc>
      </w:tr>
      <w:tr w:rsidR="004F07DF" w:rsidRPr="00AA4E27" w14:paraId="2E5EE1C6" w14:textId="77777777" w:rsidTr="009F6F46">
        <w:trPr>
          <w:trHeight w:val="567"/>
        </w:trPr>
        <w:tc>
          <w:tcPr>
            <w:tcW w:w="2881" w:type="dxa"/>
            <w:shd w:val="clear" w:color="auto" w:fill="auto"/>
            <w:vAlign w:val="center"/>
          </w:tcPr>
          <w:p w14:paraId="4515BF53" w14:textId="77777777" w:rsidR="004F07DF" w:rsidRPr="005E17D7" w:rsidRDefault="004F07DF" w:rsidP="009F6F46">
            <w:pPr>
              <w:spacing w:after="0"/>
              <w:rPr>
                <w:rFonts w:eastAsia="MS Mincho"/>
                <w:szCs w:val="24"/>
              </w:rPr>
            </w:pPr>
            <w:r w:rsidRPr="005E17D7">
              <w:rPr>
                <w:rFonts w:eastAsia="MS Mincho"/>
                <w:szCs w:val="24"/>
              </w:rPr>
              <w:t>STREET &amp; NUMBER</w:t>
            </w:r>
          </w:p>
        </w:tc>
        <w:tc>
          <w:tcPr>
            <w:tcW w:w="3993" w:type="dxa"/>
            <w:gridSpan w:val="2"/>
            <w:shd w:val="clear" w:color="auto" w:fill="auto"/>
            <w:vAlign w:val="center"/>
          </w:tcPr>
          <w:p w14:paraId="6E59B5AE" w14:textId="77777777" w:rsidR="004F07DF" w:rsidRPr="005E17D7" w:rsidRDefault="004F07DF" w:rsidP="009F6F46">
            <w:pPr>
              <w:spacing w:after="0"/>
              <w:rPr>
                <w:rFonts w:eastAsia="MS Mincho"/>
                <w:szCs w:val="24"/>
              </w:rPr>
            </w:pPr>
          </w:p>
        </w:tc>
        <w:tc>
          <w:tcPr>
            <w:tcW w:w="1770" w:type="dxa"/>
            <w:shd w:val="clear" w:color="auto" w:fill="auto"/>
            <w:vAlign w:val="center"/>
          </w:tcPr>
          <w:p w14:paraId="029BCEF3" w14:textId="77777777" w:rsidR="004F07DF" w:rsidRPr="005E17D7" w:rsidRDefault="004F07DF" w:rsidP="009F6F46">
            <w:pPr>
              <w:spacing w:after="0"/>
              <w:rPr>
                <w:rFonts w:eastAsia="MS Mincho"/>
                <w:szCs w:val="24"/>
              </w:rPr>
            </w:pPr>
          </w:p>
        </w:tc>
      </w:tr>
      <w:tr w:rsidR="004F07DF" w:rsidRPr="00AA4E27" w14:paraId="4C710E01" w14:textId="77777777" w:rsidTr="009F6F46">
        <w:trPr>
          <w:trHeight w:val="567"/>
        </w:trPr>
        <w:tc>
          <w:tcPr>
            <w:tcW w:w="4039" w:type="dxa"/>
            <w:gridSpan w:val="2"/>
            <w:shd w:val="clear" w:color="auto" w:fill="auto"/>
            <w:vAlign w:val="center"/>
          </w:tcPr>
          <w:p w14:paraId="090823D4" w14:textId="77777777" w:rsidR="004F07DF" w:rsidRPr="005E17D7" w:rsidRDefault="004F07DF" w:rsidP="009F6F46">
            <w:pPr>
              <w:spacing w:after="0"/>
              <w:rPr>
                <w:rFonts w:eastAsia="MS Mincho"/>
                <w:szCs w:val="24"/>
              </w:rPr>
            </w:pPr>
            <w:r w:rsidRPr="005E17D7">
              <w:rPr>
                <w:rFonts w:eastAsia="MS Mincho"/>
                <w:szCs w:val="24"/>
              </w:rPr>
              <w:t>TOWN/CITY</w:t>
            </w:r>
          </w:p>
        </w:tc>
        <w:tc>
          <w:tcPr>
            <w:tcW w:w="4605" w:type="dxa"/>
            <w:gridSpan w:val="2"/>
            <w:shd w:val="clear" w:color="auto" w:fill="auto"/>
            <w:vAlign w:val="center"/>
          </w:tcPr>
          <w:p w14:paraId="18533DA8" w14:textId="77777777" w:rsidR="004F07DF" w:rsidRPr="005E17D7" w:rsidRDefault="004F07DF" w:rsidP="009F6F46">
            <w:pPr>
              <w:spacing w:after="0"/>
              <w:rPr>
                <w:rFonts w:eastAsia="MS Mincho"/>
                <w:szCs w:val="24"/>
              </w:rPr>
            </w:pPr>
            <w:r w:rsidRPr="005E17D7">
              <w:rPr>
                <w:rFonts w:eastAsia="MS Mincho"/>
                <w:szCs w:val="24"/>
              </w:rPr>
              <w:t>POST CODE</w:t>
            </w:r>
          </w:p>
        </w:tc>
      </w:tr>
      <w:tr w:rsidR="004F07DF" w:rsidRPr="00AA4E27" w14:paraId="57D8C74E" w14:textId="77777777" w:rsidTr="009F6F46">
        <w:trPr>
          <w:trHeight w:val="567"/>
        </w:trPr>
        <w:tc>
          <w:tcPr>
            <w:tcW w:w="2881" w:type="dxa"/>
            <w:shd w:val="clear" w:color="auto" w:fill="auto"/>
            <w:vAlign w:val="center"/>
          </w:tcPr>
          <w:p w14:paraId="28330A24" w14:textId="77777777" w:rsidR="004F07DF" w:rsidRPr="005E17D7" w:rsidRDefault="004F07DF" w:rsidP="009F6F46">
            <w:pPr>
              <w:spacing w:after="0"/>
              <w:rPr>
                <w:rFonts w:eastAsia="MS Mincho"/>
                <w:szCs w:val="24"/>
              </w:rPr>
            </w:pPr>
            <w:r w:rsidRPr="005E17D7">
              <w:rPr>
                <w:rFonts w:eastAsia="MS Mincho"/>
                <w:szCs w:val="24"/>
              </w:rPr>
              <w:t>COUNTRY</w:t>
            </w:r>
          </w:p>
        </w:tc>
        <w:tc>
          <w:tcPr>
            <w:tcW w:w="5763" w:type="dxa"/>
            <w:gridSpan w:val="3"/>
            <w:shd w:val="clear" w:color="auto" w:fill="auto"/>
            <w:vAlign w:val="center"/>
          </w:tcPr>
          <w:p w14:paraId="4918CF62" w14:textId="77777777" w:rsidR="004F07DF" w:rsidRPr="005E17D7" w:rsidRDefault="004F07DF" w:rsidP="009F6F46">
            <w:pPr>
              <w:spacing w:after="0"/>
              <w:rPr>
                <w:rFonts w:eastAsia="MS Mincho"/>
                <w:szCs w:val="24"/>
              </w:rPr>
            </w:pPr>
          </w:p>
        </w:tc>
      </w:tr>
    </w:tbl>
    <w:p w14:paraId="3262D9F9" w14:textId="77777777" w:rsidR="004F07DF" w:rsidRPr="005E17D7" w:rsidRDefault="004F07DF" w:rsidP="004F07DF">
      <w:pPr>
        <w:spacing w:after="0"/>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3329"/>
      </w:tblGrid>
      <w:tr w:rsidR="004F07DF" w:rsidRPr="00AA4E27" w14:paraId="2BD19A75" w14:textId="77777777" w:rsidTr="009F6F46">
        <w:trPr>
          <w:trHeight w:val="1788"/>
        </w:trPr>
        <w:tc>
          <w:tcPr>
            <w:tcW w:w="5315" w:type="dxa"/>
            <w:shd w:val="clear" w:color="auto" w:fill="auto"/>
          </w:tcPr>
          <w:p w14:paraId="1550E8BF" w14:textId="77777777" w:rsidR="004F07DF" w:rsidRPr="005E17D7" w:rsidRDefault="004F07DF" w:rsidP="009F6F46">
            <w:pPr>
              <w:spacing w:after="0"/>
              <w:rPr>
                <w:rFonts w:eastAsia="MS Mincho"/>
                <w:szCs w:val="24"/>
              </w:rPr>
            </w:pPr>
            <w:r w:rsidRPr="005E17D7">
              <w:rPr>
                <w:rFonts w:eastAsia="MS Mincho"/>
                <w:szCs w:val="24"/>
              </w:rPr>
              <w:t>SIGNATURE OF ACCOUNT HOLDER (Obligatory)</w:t>
            </w:r>
          </w:p>
        </w:tc>
        <w:tc>
          <w:tcPr>
            <w:tcW w:w="3329" w:type="dxa"/>
            <w:shd w:val="clear" w:color="auto" w:fill="auto"/>
          </w:tcPr>
          <w:p w14:paraId="5BFD9F35" w14:textId="77777777" w:rsidR="004F07DF" w:rsidRPr="005E17D7" w:rsidRDefault="004F07DF" w:rsidP="009F6F46">
            <w:pPr>
              <w:spacing w:after="0"/>
              <w:rPr>
                <w:rFonts w:eastAsia="MS Mincho"/>
                <w:szCs w:val="24"/>
              </w:rPr>
            </w:pPr>
            <w:r w:rsidRPr="005E17D7">
              <w:rPr>
                <w:rFonts w:eastAsia="MS Mincho"/>
                <w:szCs w:val="24"/>
              </w:rPr>
              <w:t>DATE (Obligatory)</w:t>
            </w:r>
          </w:p>
        </w:tc>
      </w:tr>
    </w:tbl>
    <w:p w14:paraId="231F4B0E" w14:textId="77777777" w:rsidR="004F07DF" w:rsidRPr="005E17D7" w:rsidRDefault="004F07DF" w:rsidP="004F07DF">
      <w:pPr>
        <w:spacing w:line="259" w:lineRule="auto"/>
        <w:rPr>
          <w:rFonts w:ascii="Calibri" w:hAnsi="Calibri"/>
          <w:color w:val="auto"/>
          <w:sz w:val="22"/>
          <w:lang w:val="fr-BE"/>
        </w:rPr>
      </w:pPr>
    </w:p>
    <w:p w14:paraId="028F15AE" w14:textId="77777777" w:rsidR="004F07DF" w:rsidRDefault="004F07DF" w:rsidP="004F07DF">
      <w:pPr>
        <w:autoSpaceDE w:val="0"/>
        <w:autoSpaceDN w:val="0"/>
        <w:adjustRightInd w:val="0"/>
        <w:spacing w:after="0"/>
        <w:rPr>
          <w:rFonts w:cs="Calibri"/>
          <w:color w:val="333333"/>
          <w:szCs w:val="21"/>
        </w:rPr>
      </w:pPr>
    </w:p>
    <w:p w14:paraId="463F7386" w14:textId="77777777" w:rsidR="004F07DF" w:rsidRDefault="004F07DF" w:rsidP="004F07DF">
      <w:pPr>
        <w:autoSpaceDE w:val="0"/>
        <w:autoSpaceDN w:val="0"/>
        <w:adjustRightInd w:val="0"/>
        <w:spacing w:after="0"/>
        <w:rPr>
          <w:rFonts w:cs="Calibri"/>
          <w:color w:val="333333"/>
          <w:szCs w:val="21"/>
        </w:rPr>
      </w:pPr>
      <w:r w:rsidRPr="005E17D7">
        <w:rPr>
          <w:rFonts w:cs="Calibri"/>
          <w:szCs w:val="21"/>
        </w:rPr>
        <w:br w:type="page"/>
      </w:r>
    </w:p>
    <w:p w14:paraId="0B3FC82F" w14:textId="77777777" w:rsidR="004F07DF" w:rsidRPr="005E17D7" w:rsidRDefault="004F07DF" w:rsidP="004F07DF">
      <w:pPr>
        <w:keepNext/>
        <w:keepLines/>
        <w:numPr>
          <w:ilvl w:val="1"/>
          <w:numId w:val="46"/>
        </w:numPr>
        <w:spacing w:before="120" w:after="120" w:line="240" w:lineRule="auto"/>
        <w:outlineLvl w:val="1"/>
        <w:rPr>
          <w:rFonts w:ascii="Calibri" w:eastAsia="Times New Roman" w:hAnsi="Calibri"/>
          <w:b/>
          <w:color w:val="D81A1A"/>
          <w:sz w:val="28"/>
          <w:szCs w:val="26"/>
        </w:rPr>
      </w:pPr>
      <w:bookmarkStart w:id="191" w:name="_Toc51601710"/>
      <w:bookmarkStart w:id="192" w:name="_Toc117027536"/>
      <w:r w:rsidRPr="005E17D7">
        <w:rPr>
          <w:rFonts w:ascii="Calibri" w:eastAsia="Times New Roman" w:hAnsi="Calibri"/>
          <w:b/>
          <w:color w:val="D81A1A"/>
          <w:sz w:val="28"/>
          <w:szCs w:val="26"/>
        </w:rPr>
        <w:lastRenderedPageBreak/>
        <w:t>Declaration on honour – exclusion criteria</w:t>
      </w:r>
      <w:bookmarkEnd w:id="191"/>
      <w:bookmarkEnd w:id="192"/>
      <w:r w:rsidRPr="005E17D7">
        <w:rPr>
          <w:rFonts w:ascii="Calibri" w:eastAsia="Times New Roman" w:hAnsi="Calibri"/>
          <w:b/>
          <w:color w:val="D81A1A"/>
          <w:sz w:val="28"/>
          <w:szCs w:val="26"/>
        </w:rPr>
        <w:t xml:space="preserve"> </w:t>
      </w:r>
    </w:p>
    <w:p w14:paraId="28EF57CA" w14:textId="77777777" w:rsidR="004F07DF" w:rsidRDefault="004F07DF" w:rsidP="004F07DF">
      <w:pPr>
        <w:rPr>
          <w:color w:val="auto"/>
        </w:rPr>
      </w:pPr>
    </w:p>
    <w:p w14:paraId="0107BA60" w14:textId="77777777" w:rsidR="004F07DF" w:rsidRPr="000825D4" w:rsidRDefault="004F07DF" w:rsidP="004F07DF">
      <w:pPr>
        <w:rPr>
          <w:color w:val="auto"/>
        </w:rPr>
      </w:pPr>
      <w:r w:rsidRPr="000825D4">
        <w:rPr>
          <w:color w:val="auto"/>
        </w:rPr>
        <w:t xml:space="preserve">Hereby, I / we, acting as legal representative(s) of above-mentioned tenderer, declare that the tenderer does not find himself in one of the following situations: </w:t>
      </w:r>
    </w:p>
    <w:p w14:paraId="2085AE1F" w14:textId="77777777" w:rsidR="004F07DF" w:rsidRPr="000825D4" w:rsidRDefault="004F07DF" w:rsidP="004F07DF">
      <w:pPr>
        <w:pStyle w:val="ListParagraph"/>
        <w:numPr>
          <w:ilvl w:val="0"/>
          <w:numId w:val="11"/>
        </w:numPr>
        <w:rPr>
          <w:color w:val="auto"/>
        </w:rPr>
      </w:pPr>
      <w:r w:rsidRPr="000825D4">
        <w:rPr>
          <w:color w:val="auto"/>
        </w:rPr>
        <w:t>The tenderer or one of its ‘directors [1]’ was found guilty following a conviction by final judgement for one of the following offences:</w:t>
      </w:r>
    </w:p>
    <w:p w14:paraId="4375AC69" w14:textId="77777777" w:rsidR="004F07DF" w:rsidRPr="000825D4" w:rsidRDefault="004F07DF" w:rsidP="004F07DF">
      <w:pPr>
        <w:ind w:firstLine="708"/>
        <w:rPr>
          <w:color w:val="auto"/>
        </w:rPr>
      </w:pPr>
      <w:r w:rsidRPr="000825D4">
        <w:rPr>
          <w:color w:val="auto"/>
        </w:rPr>
        <w:t>1° involvement in a criminal organisation</w:t>
      </w:r>
    </w:p>
    <w:p w14:paraId="146412A0" w14:textId="77777777" w:rsidR="004F07DF" w:rsidRPr="000825D4" w:rsidRDefault="004F07DF" w:rsidP="004F07DF">
      <w:pPr>
        <w:ind w:firstLine="708"/>
        <w:rPr>
          <w:color w:val="auto"/>
        </w:rPr>
      </w:pPr>
      <w:r w:rsidRPr="000825D4">
        <w:rPr>
          <w:color w:val="auto"/>
        </w:rPr>
        <w:t>2° corruption</w:t>
      </w:r>
    </w:p>
    <w:p w14:paraId="5E2B3115" w14:textId="77777777" w:rsidR="004F07DF" w:rsidRPr="000825D4" w:rsidRDefault="004F07DF" w:rsidP="004F07DF">
      <w:pPr>
        <w:ind w:firstLine="708"/>
        <w:rPr>
          <w:color w:val="auto"/>
        </w:rPr>
      </w:pPr>
      <w:r w:rsidRPr="000825D4">
        <w:rPr>
          <w:color w:val="auto"/>
        </w:rPr>
        <w:t>3° fraud</w:t>
      </w:r>
    </w:p>
    <w:p w14:paraId="3A06CBDF" w14:textId="77777777" w:rsidR="004F07DF" w:rsidRPr="000825D4" w:rsidRDefault="004F07DF" w:rsidP="004F07DF">
      <w:pPr>
        <w:ind w:left="708"/>
        <w:rPr>
          <w:color w:val="auto"/>
        </w:rPr>
      </w:pPr>
      <w:r w:rsidRPr="000825D4">
        <w:rPr>
          <w:color w:val="auto"/>
        </w:rPr>
        <w:t>4° terrorist offences, offences linked related to terrorist activities or incitement to commit such offence, collusion or attempt to commit such an offence</w:t>
      </w:r>
    </w:p>
    <w:p w14:paraId="31C7EA4D" w14:textId="77777777" w:rsidR="004F07DF" w:rsidRPr="000825D4" w:rsidRDefault="004F07DF" w:rsidP="004F07DF">
      <w:pPr>
        <w:ind w:firstLine="708"/>
        <w:rPr>
          <w:color w:val="auto"/>
        </w:rPr>
      </w:pPr>
      <w:r w:rsidRPr="000825D4">
        <w:rPr>
          <w:color w:val="auto"/>
        </w:rPr>
        <w:t>5° money laundering or terrorist financing</w:t>
      </w:r>
    </w:p>
    <w:p w14:paraId="5D745FF7" w14:textId="77777777" w:rsidR="004F07DF" w:rsidRPr="000825D4" w:rsidRDefault="004F07DF" w:rsidP="004F07DF">
      <w:pPr>
        <w:ind w:firstLine="708"/>
        <w:rPr>
          <w:color w:val="auto"/>
        </w:rPr>
      </w:pPr>
      <w:r w:rsidRPr="000825D4">
        <w:rPr>
          <w:color w:val="auto"/>
        </w:rPr>
        <w:t>6° child labour and other trafficking in human beings</w:t>
      </w:r>
    </w:p>
    <w:p w14:paraId="54927852" w14:textId="77777777" w:rsidR="004F07DF" w:rsidRPr="000825D4" w:rsidRDefault="004F07DF" w:rsidP="004F07DF">
      <w:pPr>
        <w:ind w:firstLine="708"/>
        <w:rPr>
          <w:color w:val="auto"/>
        </w:rPr>
      </w:pPr>
      <w:r w:rsidRPr="000825D4">
        <w:rPr>
          <w:color w:val="auto"/>
        </w:rPr>
        <w:t>7° employment of foreign citizens under illegal status</w:t>
      </w:r>
    </w:p>
    <w:p w14:paraId="121EC9B8" w14:textId="77777777" w:rsidR="004F07DF" w:rsidRPr="000825D4" w:rsidRDefault="004F07DF" w:rsidP="004F07DF">
      <w:pPr>
        <w:ind w:firstLine="708"/>
        <w:rPr>
          <w:color w:val="auto"/>
        </w:rPr>
      </w:pPr>
      <w:r w:rsidRPr="000825D4">
        <w:rPr>
          <w:color w:val="auto"/>
        </w:rPr>
        <w:t>8° creating a shell company.</w:t>
      </w:r>
    </w:p>
    <w:p w14:paraId="422D48D9" w14:textId="77777777" w:rsidR="004F07DF" w:rsidRPr="000825D4" w:rsidRDefault="004F07DF" w:rsidP="004F07DF">
      <w:pPr>
        <w:pStyle w:val="ListParagraph"/>
        <w:numPr>
          <w:ilvl w:val="0"/>
          <w:numId w:val="11"/>
        </w:numPr>
        <w:rPr>
          <w:color w:val="auto"/>
        </w:rPr>
      </w:pPr>
      <w:r w:rsidRPr="000825D4">
        <w:rPr>
          <w:color w:val="auto"/>
        </w:rPr>
        <w:t xml:space="preserve">The counterparty which fails to fulfil his obligations relating to the payment of taxes or social security contributions for an amount </w:t>
      </w:r>
      <w:proofErr w:type="gramStart"/>
      <w:r w:rsidRPr="000825D4">
        <w:rPr>
          <w:color w:val="auto"/>
        </w:rPr>
        <w:t>in excess of</w:t>
      </w:r>
      <w:proofErr w:type="gramEnd"/>
      <w:r w:rsidRPr="000825D4">
        <w:rPr>
          <w:color w:val="auto"/>
        </w:rPr>
        <w:t xml:space="preserve">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p w14:paraId="5E507EBA" w14:textId="77777777" w:rsidR="004F07DF" w:rsidRPr="000825D4" w:rsidRDefault="004F07DF" w:rsidP="004F07DF">
      <w:pPr>
        <w:pStyle w:val="ListParagraph"/>
        <w:numPr>
          <w:ilvl w:val="0"/>
          <w:numId w:val="11"/>
        </w:numPr>
        <w:rPr>
          <w:color w:val="auto"/>
        </w:rPr>
      </w:pPr>
      <w:r w:rsidRPr="000825D4">
        <w:rPr>
          <w:color w:val="auto"/>
        </w:rPr>
        <w:t xml:space="preserve">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w:t>
      </w:r>
      <w:proofErr w:type="gramStart"/>
      <w:r w:rsidRPr="000825D4">
        <w:rPr>
          <w:color w:val="auto"/>
        </w:rPr>
        <w:t>regulations;</w:t>
      </w:r>
      <w:proofErr w:type="gramEnd"/>
    </w:p>
    <w:p w14:paraId="511A93DD" w14:textId="77777777" w:rsidR="004F07DF" w:rsidRPr="000825D4" w:rsidRDefault="004F07DF" w:rsidP="004F07DF">
      <w:pPr>
        <w:pStyle w:val="ListParagraph"/>
        <w:numPr>
          <w:ilvl w:val="0"/>
          <w:numId w:val="11"/>
        </w:numPr>
        <w:rPr>
          <w:color w:val="auto"/>
        </w:rPr>
      </w:pPr>
      <w:r w:rsidRPr="000825D4">
        <w:rPr>
          <w:color w:val="auto"/>
        </w:rPr>
        <w:t>When Enabel can demonstrate by any appropriate means that the counterparty or any of its directors has committed serious professional misconduct which calls into question his integrity.</w:t>
      </w:r>
    </w:p>
    <w:p w14:paraId="03A76D84" w14:textId="77777777" w:rsidR="004F07DF" w:rsidRPr="000825D4" w:rsidRDefault="004F07DF" w:rsidP="004F07DF">
      <w:pPr>
        <w:ind w:firstLine="708"/>
        <w:rPr>
          <w:color w:val="auto"/>
        </w:rPr>
      </w:pPr>
      <w:r w:rsidRPr="000825D4">
        <w:rPr>
          <w:color w:val="auto"/>
        </w:rPr>
        <w:t>Are also considered such serious professional misconduct:</w:t>
      </w:r>
    </w:p>
    <w:p w14:paraId="49210777" w14:textId="77777777" w:rsidR="004F07DF" w:rsidRPr="000825D4" w:rsidRDefault="004F07DF" w:rsidP="004F07DF">
      <w:pPr>
        <w:pStyle w:val="ListParagraph"/>
        <w:numPr>
          <w:ilvl w:val="0"/>
          <w:numId w:val="54"/>
        </w:numPr>
        <w:ind w:left="993"/>
        <w:rPr>
          <w:color w:val="auto"/>
        </w:rPr>
      </w:pPr>
      <w:r w:rsidRPr="000825D4">
        <w:rPr>
          <w:color w:val="auto"/>
        </w:rPr>
        <w:t>A breach of Enabel’s Policy regarding sexual exploitation and abuse – June 2019</w:t>
      </w:r>
    </w:p>
    <w:p w14:paraId="13284802" w14:textId="77777777" w:rsidR="004F07DF" w:rsidRPr="000825D4" w:rsidRDefault="004F07DF" w:rsidP="004F07DF">
      <w:pPr>
        <w:pStyle w:val="ListParagraph"/>
        <w:numPr>
          <w:ilvl w:val="0"/>
          <w:numId w:val="54"/>
        </w:numPr>
        <w:ind w:left="993"/>
        <w:rPr>
          <w:color w:val="auto"/>
        </w:rPr>
      </w:pPr>
      <w:r w:rsidRPr="000825D4">
        <w:rPr>
          <w:color w:val="auto"/>
        </w:rPr>
        <w:t>A breach of Enabel’s Policy regarding fraud and corruption risk management – June 2019</w:t>
      </w:r>
    </w:p>
    <w:p w14:paraId="0B5F3E29" w14:textId="77777777" w:rsidR="004F07DF" w:rsidRPr="000825D4" w:rsidRDefault="004F07DF" w:rsidP="004F07DF">
      <w:pPr>
        <w:pStyle w:val="ListParagraph"/>
        <w:numPr>
          <w:ilvl w:val="0"/>
          <w:numId w:val="54"/>
        </w:numPr>
        <w:ind w:left="993"/>
        <w:rPr>
          <w:color w:val="auto"/>
        </w:rPr>
      </w:pPr>
      <w:r w:rsidRPr="000825D4">
        <w:rPr>
          <w:color w:val="auto"/>
        </w:rPr>
        <w:t>A breach of a regulatory provision in applicable local legislation regarding sexual harassment in the workplace</w:t>
      </w:r>
    </w:p>
    <w:p w14:paraId="5FE05EAB" w14:textId="77777777" w:rsidR="004F07DF" w:rsidRPr="000825D4" w:rsidRDefault="004F07DF" w:rsidP="004F07DF">
      <w:pPr>
        <w:pStyle w:val="ListParagraph"/>
        <w:numPr>
          <w:ilvl w:val="0"/>
          <w:numId w:val="54"/>
        </w:numPr>
        <w:ind w:left="993"/>
        <w:rPr>
          <w:color w:val="auto"/>
        </w:rPr>
      </w:pPr>
      <w:r w:rsidRPr="000825D4">
        <w:rPr>
          <w:color w:val="auto"/>
        </w:rPr>
        <w:t>The counterparty was seriously guilty of misrepresentation or false documents when providing the information required for verification of the absence of grounds for exclusion or the satisfaction of the selection criteria, or concealed this information</w:t>
      </w:r>
    </w:p>
    <w:p w14:paraId="3D9CB3AB" w14:textId="77777777" w:rsidR="004F07DF" w:rsidRPr="000825D4" w:rsidRDefault="004F07DF" w:rsidP="004F07DF">
      <w:pPr>
        <w:pStyle w:val="ListParagraph"/>
        <w:numPr>
          <w:ilvl w:val="0"/>
          <w:numId w:val="54"/>
        </w:numPr>
        <w:ind w:left="993"/>
        <w:rPr>
          <w:color w:val="auto"/>
        </w:rPr>
      </w:pPr>
      <w:r w:rsidRPr="000825D4">
        <w:rPr>
          <w:color w:val="auto"/>
        </w:rPr>
        <w:t xml:space="preserve">Where Enabel has sufficient plausible evidence to conclude that the counterparty has committed acts, entered into </w:t>
      </w:r>
      <w:proofErr w:type="gramStart"/>
      <w:r w:rsidRPr="000825D4">
        <w:rPr>
          <w:color w:val="auto"/>
        </w:rPr>
        <w:t>agreements</w:t>
      </w:r>
      <w:proofErr w:type="gramEnd"/>
      <w:r w:rsidRPr="000825D4">
        <w:rPr>
          <w:color w:val="auto"/>
        </w:rPr>
        <w:t xml:space="preserve"> or entered into arrangements to distort competition</w:t>
      </w:r>
    </w:p>
    <w:p w14:paraId="3FA57007" w14:textId="77777777" w:rsidR="004F07DF" w:rsidRPr="000825D4" w:rsidRDefault="004F07DF" w:rsidP="004F07DF">
      <w:pPr>
        <w:rPr>
          <w:color w:val="auto"/>
        </w:rPr>
      </w:pPr>
      <w:r w:rsidRPr="000825D4">
        <w:rPr>
          <w:color w:val="auto"/>
        </w:rPr>
        <w:t xml:space="preserve">The presence of this counterparty on one of Enabel’s exclusion lists </w:t>
      </w:r>
      <w:proofErr w:type="gramStart"/>
      <w:r w:rsidRPr="000825D4">
        <w:rPr>
          <w:color w:val="auto"/>
        </w:rPr>
        <w:t>as a result of</w:t>
      </w:r>
      <w:proofErr w:type="gramEnd"/>
      <w:r w:rsidRPr="000825D4">
        <w:rPr>
          <w:color w:val="auto"/>
        </w:rPr>
        <w:t xml:space="preserve"> such an act/agreement/arrangement is considered to be sufficiently plausible an element. </w:t>
      </w:r>
    </w:p>
    <w:p w14:paraId="48C78C44" w14:textId="77777777" w:rsidR="004F07DF" w:rsidRPr="000825D4" w:rsidRDefault="004F07DF" w:rsidP="004F07DF">
      <w:pPr>
        <w:pStyle w:val="ListParagraph"/>
        <w:numPr>
          <w:ilvl w:val="0"/>
          <w:numId w:val="11"/>
        </w:numPr>
        <w:rPr>
          <w:color w:val="auto"/>
        </w:rPr>
      </w:pPr>
      <w:r w:rsidRPr="000825D4">
        <w:rPr>
          <w:color w:val="auto"/>
        </w:rPr>
        <w:lastRenderedPageBreak/>
        <w:t xml:space="preserve">When a conflict of interest cannot be remedied by other, less intrusive </w:t>
      </w:r>
      <w:proofErr w:type="gramStart"/>
      <w:r w:rsidRPr="000825D4">
        <w:rPr>
          <w:color w:val="auto"/>
        </w:rPr>
        <w:t>measures;</w:t>
      </w:r>
      <w:proofErr w:type="gramEnd"/>
      <w:r w:rsidRPr="000825D4">
        <w:rPr>
          <w:color w:val="auto"/>
        </w:rPr>
        <w:t xml:space="preserve"> </w:t>
      </w:r>
    </w:p>
    <w:p w14:paraId="2A5CF0BC" w14:textId="77777777" w:rsidR="004F07DF" w:rsidRPr="000825D4" w:rsidRDefault="004F07DF" w:rsidP="004F07DF">
      <w:pPr>
        <w:pStyle w:val="ListParagraph"/>
        <w:numPr>
          <w:ilvl w:val="0"/>
          <w:numId w:val="11"/>
        </w:numPr>
        <w:rPr>
          <w:color w:val="auto"/>
        </w:rPr>
      </w:pPr>
      <w:r w:rsidRPr="000825D4">
        <w:rPr>
          <w:color w:val="auto"/>
        </w:rPr>
        <w:t xml:space="preserve">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w:t>
      </w:r>
      <w:proofErr w:type="gramStart"/>
      <w:r w:rsidRPr="000825D4">
        <w:rPr>
          <w:color w:val="auto"/>
        </w:rPr>
        <w:t>damages</w:t>
      </w:r>
      <w:proofErr w:type="gramEnd"/>
      <w:r w:rsidRPr="000825D4">
        <w:rPr>
          <w:color w:val="auto"/>
        </w:rPr>
        <w:t xml:space="preserve"> or another comparable sanction.</w:t>
      </w:r>
    </w:p>
    <w:p w14:paraId="4A8C2294" w14:textId="77777777" w:rsidR="004F07DF" w:rsidRPr="000825D4" w:rsidRDefault="004F07DF" w:rsidP="004F07DF">
      <w:pPr>
        <w:ind w:left="708"/>
        <w:rPr>
          <w:color w:val="auto"/>
        </w:rPr>
      </w:pPr>
      <w:proofErr w:type="gramStart"/>
      <w:r w:rsidRPr="000825D4">
        <w:rPr>
          <w:color w:val="auto"/>
        </w:rPr>
        <w:t>Also</w:t>
      </w:r>
      <w:proofErr w:type="gramEnd"/>
      <w:r w:rsidRPr="000825D4">
        <w:rPr>
          <w:color w:val="auto"/>
        </w:rPr>
        <w:t xml:space="preserve"> failures to respect applicable obligations regarding environmental, social and labour rights, national law, labour agreements or international provisions on environmental, social and labour rights are considered ‘significant’. </w:t>
      </w:r>
    </w:p>
    <w:p w14:paraId="7D177023" w14:textId="77777777" w:rsidR="004F07DF" w:rsidRPr="000825D4" w:rsidRDefault="004F07DF" w:rsidP="004F07DF">
      <w:pPr>
        <w:ind w:left="708"/>
        <w:rPr>
          <w:color w:val="auto"/>
        </w:rPr>
      </w:pPr>
      <w:r w:rsidRPr="000825D4">
        <w:rPr>
          <w:color w:val="auto"/>
        </w:rPr>
        <w:t xml:space="preserve">The presence of the counterparty on the exclusion list of Enabel because of such a failure serves as evidence. </w:t>
      </w:r>
    </w:p>
    <w:p w14:paraId="0735EFE5" w14:textId="77777777" w:rsidR="004F07DF" w:rsidRPr="000825D4" w:rsidRDefault="004F07DF" w:rsidP="004F07DF">
      <w:pPr>
        <w:pStyle w:val="ListParagraph"/>
        <w:numPr>
          <w:ilvl w:val="0"/>
          <w:numId w:val="11"/>
        </w:numPr>
        <w:rPr>
          <w:color w:val="auto"/>
        </w:rPr>
      </w:pPr>
      <w:r w:rsidRPr="000825D4">
        <w:rPr>
          <w:color w:val="auto"/>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3B40DD5D" w14:textId="77777777" w:rsidR="004F07DF" w:rsidRPr="000825D4" w:rsidRDefault="004F07DF" w:rsidP="004F07DF">
      <w:pPr>
        <w:ind w:left="708"/>
        <w:rPr>
          <w:color w:val="auto"/>
        </w:rPr>
      </w:pPr>
      <w:r w:rsidRPr="000825D4">
        <w:rPr>
          <w:color w:val="auto"/>
        </w:rPr>
        <w:t>The counterparty or one of its directors are on the lists of persons, groups or entities submitted by the United Nations, the European Union and Belgium for financial sanctions:</w:t>
      </w:r>
    </w:p>
    <w:p w14:paraId="427902F7" w14:textId="77777777" w:rsidR="004F07DF" w:rsidRPr="000825D4" w:rsidRDefault="004F07DF" w:rsidP="004F07DF">
      <w:pPr>
        <w:ind w:left="708"/>
        <w:rPr>
          <w:color w:val="auto"/>
        </w:rPr>
      </w:pPr>
      <w:r w:rsidRPr="000825D4">
        <w:rPr>
          <w:color w:val="auto"/>
        </w:rPr>
        <w:t>For the United Nations, the lists can be consulted at the following address:</w:t>
      </w:r>
    </w:p>
    <w:p w14:paraId="377390D4" w14:textId="77777777" w:rsidR="004F07DF" w:rsidRDefault="00000000" w:rsidP="004F07DF">
      <w:pPr>
        <w:ind w:left="708"/>
      </w:pPr>
      <w:hyperlink r:id="rId30" w:history="1">
        <w:r w:rsidR="004F07DF" w:rsidRPr="00434D73">
          <w:rPr>
            <w:rStyle w:val="Hyperlink"/>
          </w:rPr>
          <w:t>https://finances.belgium.be/fr/tresorerie/sanctions-financieres/sanctions-internationales-nations-unies</w:t>
        </w:r>
      </w:hyperlink>
      <w:r w:rsidR="004F07DF">
        <w:t xml:space="preserve">  </w:t>
      </w:r>
    </w:p>
    <w:p w14:paraId="6787D959" w14:textId="77777777" w:rsidR="004F07DF" w:rsidRDefault="004F07DF" w:rsidP="004F07DF">
      <w:pPr>
        <w:ind w:firstLine="708"/>
      </w:pPr>
      <w:r>
        <w:t>For the European Union, the lists can be consulted at the following address:</w:t>
      </w:r>
    </w:p>
    <w:p w14:paraId="61AA1E58" w14:textId="77777777" w:rsidR="004F07DF" w:rsidRDefault="00000000" w:rsidP="004F07DF">
      <w:pPr>
        <w:ind w:left="708"/>
      </w:pPr>
      <w:hyperlink r:id="rId31" w:history="1">
        <w:r w:rsidR="004F07DF" w:rsidRPr="00434D73">
          <w:rPr>
            <w:rStyle w:val="Hyperlink"/>
          </w:rPr>
          <w:t>https://finances.belgium.be/fr/tresorerie/sanctions-financieres/sanctions-europ%C3%A9ennes-ue</w:t>
        </w:r>
      </w:hyperlink>
      <w:r w:rsidR="004F07DF">
        <w:t xml:space="preserve">  </w:t>
      </w:r>
    </w:p>
    <w:p w14:paraId="565B0F34" w14:textId="77777777" w:rsidR="004F07DF" w:rsidRDefault="00000000" w:rsidP="004F07DF">
      <w:pPr>
        <w:ind w:left="708"/>
      </w:pPr>
      <w:hyperlink r:id="rId32" w:history="1">
        <w:r w:rsidR="004F07DF" w:rsidRPr="00434D73">
          <w:rPr>
            <w:rStyle w:val="Hyperlink"/>
          </w:rPr>
          <w:t>https://eeas.europa.eu/headquarters/headquarters-homepage/8442/consolidated-list-sanctions_en</w:t>
        </w:r>
      </w:hyperlink>
      <w:r w:rsidR="004F07DF">
        <w:t xml:space="preserve"> </w:t>
      </w:r>
    </w:p>
    <w:p w14:paraId="7E6313AE" w14:textId="77777777" w:rsidR="004F07DF" w:rsidRDefault="00000000" w:rsidP="004F07DF">
      <w:pPr>
        <w:ind w:firstLine="708"/>
      </w:pPr>
      <w:hyperlink r:id="rId33" w:history="1">
        <w:r w:rsidR="004F07DF" w:rsidRPr="00434D73">
          <w:rPr>
            <w:rStyle w:val="Hyperlink"/>
          </w:rPr>
          <w:t>https://eeas.europa.eu/sites/eeas/files/restrictive_measures-2017-01-17-clean.pdf</w:t>
        </w:r>
      </w:hyperlink>
      <w:r w:rsidR="004F07DF">
        <w:t xml:space="preserve">  </w:t>
      </w:r>
    </w:p>
    <w:p w14:paraId="39F6F997" w14:textId="77777777" w:rsidR="004F07DF" w:rsidRDefault="004F07DF" w:rsidP="004F07DF">
      <w:pPr>
        <w:ind w:firstLine="708"/>
      </w:pPr>
      <w:r>
        <w:t>For Belgium:</w:t>
      </w:r>
    </w:p>
    <w:p w14:paraId="52D1E79A" w14:textId="77777777" w:rsidR="004F07DF" w:rsidRDefault="00000000" w:rsidP="004F07DF">
      <w:pPr>
        <w:ind w:left="708"/>
      </w:pPr>
      <w:hyperlink r:id="rId34" w:history="1">
        <w:r w:rsidR="004F07DF" w:rsidRPr="00434D73">
          <w:rPr>
            <w:rStyle w:val="Hyperlink"/>
          </w:rPr>
          <w:t>https://finances.belgium.be/fr/sur_le_spf/structure_et_services/administrations_generales/tr%C3%A9sorerie/contr%C3%B4le-des-instruments-1-2</w:t>
        </w:r>
      </w:hyperlink>
      <w:r w:rsidR="004F07DF">
        <w:t xml:space="preserve"> </w:t>
      </w:r>
      <w:r w:rsidR="004F07DF">
        <w:tab/>
      </w:r>
    </w:p>
    <w:p w14:paraId="59AEDF4D" w14:textId="77777777" w:rsidR="004F07DF" w:rsidRDefault="004F07DF" w:rsidP="004F07DF"/>
    <w:p w14:paraId="24B97D71" w14:textId="77777777" w:rsidR="004F07DF" w:rsidRPr="00B62ECF" w:rsidRDefault="004F07DF" w:rsidP="004F07DF">
      <w:pPr>
        <w:spacing w:after="120" w:line="480" w:lineRule="auto"/>
        <w:rPr>
          <w:kern w:val="18"/>
          <w:szCs w:val="21"/>
        </w:rPr>
      </w:pPr>
      <w:r>
        <w:t>S</w:t>
      </w:r>
      <w:r w:rsidRPr="00B62ECF">
        <w:t>ignature preceded by ‘read and approved’, in writing, and indication of name and function of the person signing:</w:t>
      </w:r>
    </w:p>
    <w:p w14:paraId="7B0E242D" w14:textId="77777777" w:rsidR="004F07DF" w:rsidRPr="00B62ECF" w:rsidRDefault="004F07DF" w:rsidP="004F07DF">
      <w:pPr>
        <w:spacing w:after="120" w:line="480" w:lineRule="auto"/>
        <w:rPr>
          <w:kern w:val="18"/>
          <w:szCs w:val="21"/>
        </w:rPr>
      </w:pPr>
      <w:r w:rsidRPr="00B62ECF">
        <w:t>……………………………..</w:t>
      </w:r>
    </w:p>
    <w:p w14:paraId="688EC12A" w14:textId="77777777" w:rsidR="004F07DF" w:rsidRPr="00B62ECF" w:rsidRDefault="004F07DF" w:rsidP="004F07DF">
      <w:pPr>
        <w:spacing w:after="120" w:line="480" w:lineRule="auto"/>
        <w:rPr>
          <w:kern w:val="18"/>
          <w:szCs w:val="21"/>
        </w:rPr>
      </w:pPr>
      <w:r w:rsidRPr="00B62ECF">
        <w:t>Place, date</w:t>
      </w:r>
    </w:p>
    <w:p w14:paraId="47955AF9" w14:textId="77777777" w:rsidR="004F07DF" w:rsidRDefault="004F07DF" w:rsidP="004F07DF">
      <w:pPr>
        <w:sectPr w:rsidR="004F07DF" w:rsidSect="004223E4">
          <w:pgSz w:w="11906" w:h="16838"/>
          <w:pgMar w:top="993" w:right="1133" w:bottom="851" w:left="1871" w:header="709" w:footer="709" w:gutter="0"/>
          <w:cols w:space="708"/>
          <w:titlePg/>
          <w:docGrid w:linePitch="360"/>
        </w:sectPr>
      </w:pPr>
    </w:p>
    <w:p w14:paraId="47CFDFD1" w14:textId="77777777" w:rsidR="004F07DF" w:rsidRDefault="004F07DF" w:rsidP="004F07DF">
      <w:pPr>
        <w:pStyle w:val="Heading2"/>
        <w:numPr>
          <w:ilvl w:val="1"/>
          <w:numId w:val="46"/>
        </w:numPr>
      </w:pPr>
      <w:bookmarkStart w:id="193" w:name="_Toc117027537"/>
      <w:bookmarkStart w:id="194" w:name="_Toc51601711"/>
      <w:r>
        <w:lastRenderedPageBreak/>
        <w:t>Integrity statement for the tenderers</w:t>
      </w:r>
      <w:bookmarkEnd w:id="193"/>
      <w:r>
        <w:t xml:space="preserve"> </w:t>
      </w:r>
      <w:bookmarkEnd w:id="194"/>
    </w:p>
    <w:p w14:paraId="0CCA3B35" w14:textId="77777777" w:rsidR="004F07DF" w:rsidRPr="000825D4" w:rsidRDefault="004F07DF" w:rsidP="004F07DF">
      <w:pPr>
        <w:widowControl w:val="0"/>
        <w:suppressAutoHyphens/>
        <w:spacing w:before="60" w:after="60" w:line="288" w:lineRule="auto"/>
        <w:jc w:val="both"/>
        <w:rPr>
          <w:color w:val="auto"/>
          <w:kern w:val="18"/>
          <w:sz w:val="20"/>
        </w:rPr>
      </w:pPr>
      <w:r w:rsidRPr="000825D4">
        <w:rPr>
          <w:rFonts w:eastAsia="DejaVu Sans" w:cs="Tahoma"/>
          <w:color w:val="auto"/>
          <w:kern w:val="18"/>
          <w:sz w:val="20"/>
        </w:rPr>
        <w:t xml:space="preserve">Hereby, I / we, acting as legal representative(s) of above-mentioned tenderer, declare the following: </w:t>
      </w:r>
    </w:p>
    <w:p w14:paraId="454E1168" w14:textId="77777777" w:rsidR="004F07DF" w:rsidRPr="000825D4" w:rsidRDefault="004F07DF" w:rsidP="004F07DF">
      <w:pPr>
        <w:numPr>
          <w:ilvl w:val="0"/>
          <w:numId w:val="9"/>
        </w:numPr>
        <w:spacing w:after="0" w:line="280" w:lineRule="auto"/>
        <w:jc w:val="both"/>
        <w:rPr>
          <w:color w:val="auto"/>
        </w:rPr>
      </w:pPr>
      <w:r w:rsidRPr="000825D4">
        <w:rPr>
          <w:color w:val="auto"/>
        </w:rPr>
        <w:t>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w:t>
      </w:r>
    </w:p>
    <w:p w14:paraId="5EFEA29D" w14:textId="77777777" w:rsidR="004F07DF" w:rsidRPr="000825D4" w:rsidRDefault="004F07DF" w:rsidP="004F07DF">
      <w:pPr>
        <w:numPr>
          <w:ilvl w:val="0"/>
          <w:numId w:val="9"/>
        </w:numPr>
        <w:spacing w:after="0" w:line="280" w:lineRule="auto"/>
        <w:jc w:val="both"/>
        <w:rPr>
          <w:color w:val="auto"/>
        </w:rPr>
      </w:pPr>
      <w:r w:rsidRPr="000825D4">
        <w:rPr>
          <w:color w:val="auto"/>
        </w:rPr>
        <w:t xml:space="preserve">The board members, staff members or their partners have no financial or other interests in the businesses, organisations, etc. that have a direct or indirect link with Enabel (which could, for instance, bring about a conflict of interests). </w:t>
      </w:r>
    </w:p>
    <w:p w14:paraId="69B14716" w14:textId="77777777" w:rsidR="004F07DF" w:rsidRPr="000825D4" w:rsidRDefault="004F07DF" w:rsidP="004F07DF">
      <w:pPr>
        <w:numPr>
          <w:ilvl w:val="0"/>
          <w:numId w:val="9"/>
        </w:numPr>
        <w:spacing w:after="0" w:line="280" w:lineRule="auto"/>
        <w:jc w:val="both"/>
        <w:rPr>
          <w:color w:val="auto"/>
        </w:rPr>
      </w:pPr>
      <w:r w:rsidRPr="000825D4">
        <w:rPr>
          <w:color w:val="auto"/>
        </w:rPr>
        <w:t xml:space="preserve">I have / we have read and understood the articles about deontology and anti-corruption included in the Tender Documents (see 1.7.), as well as </w:t>
      </w:r>
      <w:r w:rsidRPr="000825D4">
        <w:rPr>
          <w:i/>
          <w:iCs/>
          <w:color w:val="auto"/>
        </w:rPr>
        <w:t>Enabel’s Policy regarding sexual exploitation and abuse</w:t>
      </w:r>
      <w:r w:rsidRPr="000825D4">
        <w:rPr>
          <w:color w:val="auto"/>
        </w:rPr>
        <w:t xml:space="preserve"> of June 2019 and </w:t>
      </w:r>
      <w:r w:rsidRPr="000825D4">
        <w:rPr>
          <w:i/>
          <w:iCs/>
          <w:color w:val="auto"/>
        </w:rPr>
        <w:t>Enabel’s Policy regarding fraud and corruption risk management</w:t>
      </w:r>
      <w:r w:rsidRPr="000825D4">
        <w:rPr>
          <w:color w:val="auto"/>
        </w:rPr>
        <w:t xml:space="preserve"> of June 2019 and I / we declare fully endorsing and respecting these articles.</w:t>
      </w:r>
    </w:p>
    <w:p w14:paraId="5100FFF7" w14:textId="77777777" w:rsidR="004F07DF" w:rsidRPr="000825D4" w:rsidRDefault="004F07DF" w:rsidP="004F07DF">
      <w:pPr>
        <w:widowControl w:val="0"/>
        <w:suppressAutoHyphens/>
        <w:spacing w:before="60" w:after="60" w:line="288" w:lineRule="auto"/>
        <w:jc w:val="both"/>
        <w:rPr>
          <w:color w:val="auto"/>
          <w:kern w:val="18"/>
          <w:sz w:val="20"/>
        </w:rPr>
      </w:pPr>
      <w:r w:rsidRPr="000825D4">
        <w:rPr>
          <w:rFonts w:eastAsia="DejaVu Sans" w:cs="Tahoma"/>
          <w:color w:val="auto"/>
          <w:kern w:val="18"/>
          <w:sz w:val="20"/>
        </w:rPr>
        <w:t xml:space="preserve">If above-mentioned public contract is awarded to the tenderer, I/we declare, moreover, agreeing with the following provisions: </w:t>
      </w:r>
    </w:p>
    <w:p w14:paraId="2E6892EE" w14:textId="77777777" w:rsidR="004F07DF" w:rsidRPr="000825D4" w:rsidRDefault="004F07DF" w:rsidP="004F07DF">
      <w:pPr>
        <w:numPr>
          <w:ilvl w:val="0"/>
          <w:numId w:val="10"/>
        </w:numPr>
        <w:spacing w:after="0" w:line="280" w:lineRule="auto"/>
        <w:jc w:val="both"/>
        <w:rPr>
          <w:color w:val="auto"/>
        </w:rPr>
      </w:pPr>
      <w:r w:rsidRPr="000825D4">
        <w:rPr>
          <w:color w:val="auto"/>
        </w:rPr>
        <w:t>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w:t>
      </w:r>
    </w:p>
    <w:p w14:paraId="7CD97306" w14:textId="77777777" w:rsidR="004F07DF" w:rsidRPr="000825D4" w:rsidRDefault="004F07DF" w:rsidP="004F07DF">
      <w:pPr>
        <w:numPr>
          <w:ilvl w:val="0"/>
          <w:numId w:val="10"/>
        </w:numPr>
        <w:spacing w:after="0" w:line="280" w:lineRule="auto"/>
        <w:jc w:val="both"/>
        <w:rPr>
          <w:color w:val="auto"/>
        </w:rPr>
      </w:pPr>
      <w:r w:rsidRPr="000825D4">
        <w:rPr>
          <w:color w:val="auto"/>
        </w:rPr>
        <w:t xml:space="preserve">Any (public) contract will be terminated, once it appears that contract </w:t>
      </w:r>
      <w:proofErr w:type="gramStart"/>
      <w:r w:rsidRPr="000825D4">
        <w:rPr>
          <w:color w:val="auto"/>
        </w:rPr>
        <w:t>awarding</w:t>
      </w:r>
      <w:proofErr w:type="gramEnd"/>
      <w:r w:rsidRPr="000825D4">
        <w:rPr>
          <w:color w:val="auto"/>
        </w:rPr>
        <w:t xml:space="preserve"> or contract performance would have involved the obtaining or the offering of the above-mentioned advantages appreciable in cash.</w:t>
      </w:r>
    </w:p>
    <w:p w14:paraId="3D1EA0B8" w14:textId="77777777" w:rsidR="004F07DF" w:rsidRPr="000825D4" w:rsidRDefault="004F07DF" w:rsidP="004F07DF">
      <w:pPr>
        <w:numPr>
          <w:ilvl w:val="0"/>
          <w:numId w:val="10"/>
        </w:numPr>
        <w:spacing w:after="0" w:line="280" w:lineRule="auto"/>
        <w:jc w:val="both"/>
        <w:rPr>
          <w:color w:val="auto"/>
        </w:rPr>
      </w:pPr>
      <w:r w:rsidRPr="000825D4">
        <w:rPr>
          <w:color w:val="auto"/>
        </w:rPr>
        <w:t>Any failure to comply with one or more of the deontological clauses will be considered as a serious professional misconduct which will lead to the exclusion of the contractor from this and other public contracts for Enabel.</w:t>
      </w:r>
    </w:p>
    <w:p w14:paraId="5B089047" w14:textId="77777777" w:rsidR="004F07DF" w:rsidRPr="000825D4" w:rsidRDefault="004F07DF" w:rsidP="004F07DF">
      <w:pPr>
        <w:numPr>
          <w:ilvl w:val="0"/>
          <w:numId w:val="10"/>
        </w:numPr>
        <w:spacing w:after="0" w:line="280" w:lineRule="auto"/>
        <w:jc w:val="both"/>
        <w:rPr>
          <w:color w:val="auto"/>
        </w:rPr>
      </w:pPr>
      <w:r w:rsidRPr="000825D4">
        <w:rPr>
          <w:color w:val="auto"/>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7293E109" w14:textId="77777777" w:rsidR="004F07DF" w:rsidRPr="000825D4" w:rsidRDefault="004F07DF" w:rsidP="004F07DF">
      <w:pPr>
        <w:spacing w:after="0" w:line="280" w:lineRule="auto"/>
        <w:ind w:left="720"/>
        <w:jc w:val="both"/>
        <w:rPr>
          <w:color w:val="auto"/>
        </w:rPr>
      </w:pPr>
    </w:p>
    <w:p w14:paraId="2E2D1008" w14:textId="77777777" w:rsidR="004F07DF" w:rsidRPr="000825D4" w:rsidRDefault="004F07DF" w:rsidP="004F07DF">
      <w:pPr>
        <w:widowControl w:val="0"/>
        <w:suppressAutoHyphens/>
        <w:spacing w:before="60" w:after="60" w:line="288" w:lineRule="auto"/>
        <w:jc w:val="both"/>
        <w:rPr>
          <w:color w:val="auto"/>
          <w:kern w:val="18"/>
          <w:szCs w:val="21"/>
        </w:rPr>
      </w:pPr>
      <w:r w:rsidRPr="000825D4">
        <w:rPr>
          <w:rFonts w:eastAsia="DejaVu Sans" w:cs="Tahoma"/>
          <w:color w:val="auto"/>
          <w:kern w:val="18"/>
          <w:szCs w:val="21"/>
        </w:rPr>
        <w:t>Finally, the tenderer takes cognisance of the fact that Enabel reserves the right to lodge a complaint with the competent legal instances for all facts going against this statement and that all administrative and other costs resulting are borne by the tenderer.</w:t>
      </w:r>
    </w:p>
    <w:p w14:paraId="11CCBCD4" w14:textId="77777777" w:rsidR="004F07DF" w:rsidRPr="000825D4" w:rsidRDefault="004F07DF" w:rsidP="004F07DF">
      <w:pPr>
        <w:spacing w:after="120" w:line="480" w:lineRule="auto"/>
        <w:rPr>
          <w:color w:val="auto"/>
          <w:kern w:val="18"/>
          <w:szCs w:val="21"/>
        </w:rPr>
      </w:pPr>
      <w:r w:rsidRPr="000825D4">
        <w:rPr>
          <w:color w:val="auto"/>
        </w:rPr>
        <w:t>Signature preceded by ‘read and approved’, in writing, and indication of name and function of the person signing:</w:t>
      </w:r>
    </w:p>
    <w:p w14:paraId="7674D426" w14:textId="77777777" w:rsidR="004F07DF" w:rsidRPr="000825D4" w:rsidRDefault="004F07DF" w:rsidP="004F07DF">
      <w:pPr>
        <w:spacing w:after="120" w:line="480" w:lineRule="auto"/>
        <w:rPr>
          <w:color w:val="auto"/>
          <w:kern w:val="18"/>
          <w:szCs w:val="21"/>
        </w:rPr>
      </w:pPr>
      <w:r w:rsidRPr="000825D4">
        <w:rPr>
          <w:color w:val="auto"/>
        </w:rPr>
        <w:t>……………………………..</w:t>
      </w:r>
    </w:p>
    <w:p w14:paraId="7AFBAC6A" w14:textId="77777777" w:rsidR="004F07DF" w:rsidRPr="000825D4" w:rsidRDefault="004F07DF" w:rsidP="004F07DF">
      <w:pPr>
        <w:spacing w:after="120" w:line="480" w:lineRule="auto"/>
        <w:rPr>
          <w:color w:val="auto"/>
          <w:kern w:val="18"/>
          <w:szCs w:val="21"/>
        </w:rPr>
      </w:pPr>
      <w:r w:rsidRPr="000825D4">
        <w:rPr>
          <w:color w:val="auto"/>
        </w:rPr>
        <w:t>Place, date</w:t>
      </w:r>
    </w:p>
    <w:p w14:paraId="24124D07" w14:textId="77777777" w:rsidR="004F07DF" w:rsidRDefault="004F07DF" w:rsidP="004F07DF">
      <w:pPr>
        <w:pStyle w:val="Heading2"/>
        <w:numPr>
          <w:ilvl w:val="1"/>
          <w:numId w:val="46"/>
        </w:numPr>
      </w:pPr>
      <w:bookmarkStart w:id="195" w:name="_Toc51601712"/>
      <w:bookmarkStart w:id="196" w:name="_Toc117027538"/>
      <w:r>
        <w:lastRenderedPageBreak/>
        <w:t>Selection file – economic and financial capacity</w:t>
      </w:r>
      <w:bookmarkEnd w:id="195"/>
      <w:bookmarkEnd w:id="196"/>
      <w:r>
        <w:t xml:space="preserve"> </w:t>
      </w:r>
    </w:p>
    <w:tbl>
      <w:tblPr>
        <w:tblW w:w="90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2438"/>
      </w:tblGrid>
      <w:tr w:rsidR="004F07DF" w:rsidRPr="00A86E4B" w14:paraId="47108972" w14:textId="77777777" w:rsidTr="009F6F46">
        <w:trPr>
          <w:cantSplit/>
          <w:trHeight w:val="373"/>
        </w:trPr>
        <w:tc>
          <w:tcPr>
            <w:tcW w:w="9072" w:type="dxa"/>
            <w:gridSpan w:val="2"/>
            <w:tcBorders>
              <w:top w:val="single" w:sz="4" w:space="0" w:color="auto"/>
              <w:left w:val="single" w:sz="4" w:space="0" w:color="auto"/>
              <w:bottom w:val="single" w:sz="4" w:space="0" w:color="auto"/>
              <w:right w:val="single" w:sz="4" w:space="0" w:color="auto"/>
            </w:tcBorders>
            <w:hideMark/>
          </w:tcPr>
          <w:p w14:paraId="6D21DC62" w14:textId="77777777" w:rsidR="004F07DF" w:rsidRPr="00A86E4B" w:rsidRDefault="004F07DF" w:rsidP="009F6F46">
            <w:pPr>
              <w:spacing w:after="200"/>
              <w:rPr>
                <w:rFonts w:ascii="Arial" w:hAnsi="Arial" w:cs="Arial"/>
                <w:b/>
                <w:bCs/>
                <w:sz w:val="20"/>
              </w:rPr>
            </w:pPr>
            <w:r w:rsidRPr="00A86E4B">
              <w:rPr>
                <w:b/>
                <w:bCs/>
                <w:sz w:val="20"/>
                <w:szCs w:val="20"/>
              </w:rPr>
              <w:t>Economic and financial capacity – See Art. 67 of the Royal Decree of 18 April 2017</w:t>
            </w:r>
          </w:p>
        </w:tc>
      </w:tr>
      <w:tr w:rsidR="004F07DF" w:rsidRPr="00A86E4B" w14:paraId="32FDE6E1" w14:textId="77777777" w:rsidTr="009F6F46">
        <w:trPr>
          <w:cantSplit/>
          <w:trHeight w:val="373"/>
        </w:trPr>
        <w:tc>
          <w:tcPr>
            <w:tcW w:w="6634" w:type="dxa"/>
            <w:tcBorders>
              <w:top w:val="single" w:sz="4" w:space="0" w:color="auto"/>
              <w:left w:val="single" w:sz="4" w:space="0" w:color="auto"/>
              <w:bottom w:val="single" w:sz="4" w:space="0" w:color="auto"/>
              <w:right w:val="single" w:sz="4" w:space="0" w:color="auto"/>
            </w:tcBorders>
          </w:tcPr>
          <w:p w14:paraId="6075BF57" w14:textId="77777777" w:rsidR="004F07DF" w:rsidRPr="00291839" w:rsidRDefault="004F07DF" w:rsidP="009F6F46">
            <w:pPr>
              <w:spacing w:before="120" w:after="120" w:line="240" w:lineRule="auto"/>
              <w:jc w:val="both"/>
              <w:rPr>
                <w:kern w:val="18"/>
                <w:szCs w:val="21"/>
              </w:rPr>
            </w:pPr>
            <w:r w:rsidRPr="00A86E4B">
              <w:rPr>
                <w:rFonts w:eastAsia="Times New Roman"/>
                <w:szCs w:val="21"/>
              </w:rPr>
              <w:t xml:space="preserve">In one of the past three financial years the tenderer must have achieved a </w:t>
            </w:r>
            <w:r>
              <w:rPr>
                <w:rFonts w:eastAsia="Times New Roman"/>
                <w:szCs w:val="21"/>
              </w:rPr>
              <w:t>total turnover of at least</w:t>
            </w:r>
            <w:r>
              <w:rPr>
                <w:b/>
                <w:szCs w:val="21"/>
              </w:rPr>
              <w:t xml:space="preserve"> twice the amount of the</w:t>
            </w:r>
            <w:r w:rsidRPr="00225DB3">
              <w:rPr>
                <w:b/>
                <w:szCs w:val="21"/>
              </w:rPr>
              <w:t xml:space="preserve"> tender</w:t>
            </w:r>
            <w:r w:rsidRPr="00A86E4B">
              <w:rPr>
                <w:rFonts w:eastAsia="Times New Roman"/>
                <w:szCs w:val="21"/>
              </w:rPr>
              <w:t>. He shall include in his tender a statement on turnover during the three past financial years, unless total turnover is mentioned in the approved Financial Statements that can be consulted via the digital portal (</w:t>
            </w:r>
            <w:proofErr w:type="gramStart"/>
            <w:r w:rsidRPr="00A86E4B">
              <w:rPr>
                <w:rFonts w:eastAsia="Times New Roman"/>
                <w:szCs w:val="21"/>
              </w:rPr>
              <w:t>i.e.</w:t>
            </w:r>
            <w:proofErr w:type="gramEnd"/>
            <w:r w:rsidRPr="00A86E4B">
              <w:rPr>
                <w:rFonts w:eastAsia="Times New Roman"/>
                <w:szCs w:val="21"/>
              </w:rPr>
              <w:t xml:space="preserve"> Financial Statements deposited with the National Bank of Belgium, in a full or shortened accounting scheme in which the option of turnover achieved has been filled out).</w:t>
            </w:r>
          </w:p>
        </w:tc>
        <w:tc>
          <w:tcPr>
            <w:tcW w:w="2438" w:type="dxa"/>
            <w:tcBorders>
              <w:top w:val="single" w:sz="4" w:space="0" w:color="auto"/>
              <w:left w:val="single" w:sz="4" w:space="0" w:color="auto"/>
              <w:bottom w:val="single" w:sz="4" w:space="0" w:color="auto"/>
              <w:right w:val="single" w:sz="4" w:space="0" w:color="auto"/>
            </w:tcBorders>
          </w:tcPr>
          <w:p w14:paraId="203A6026" w14:textId="77777777" w:rsidR="004F07DF" w:rsidRPr="009A5EF9" w:rsidRDefault="004F07DF" w:rsidP="009F6F46">
            <w:pPr>
              <w:pStyle w:val="BTCtextCTB"/>
              <w:jc w:val="left"/>
              <w:rPr>
                <w:rFonts w:ascii="Georgia" w:hAnsi="Georgia" w:cs="Arial"/>
                <w:b/>
                <w:bCs/>
                <w:sz w:val="20"/>
              </w:rPr>
            </w:pPr>
            <w:r w:rsidRPr="009A5EF9">
              <w:rPr>
                <w:rFonts w:ascii="Georgia" w:hAnsi="Georgia" w:cs="Arial"/>
                <w:b/>
                <w:bCs/>
                <w:sz w:val="20"/>
              </w:rPr>
              <w:t xml:space="preserve">The statement on the total turnovers achieved during the past three financial years </w:t>
            </w:r>
          </w:p>
          <w:p w14:paraId="7A8748B9" w14:textId="77777777" w:rsidR="004F07DF" w:rsidRPr="00A86E4B" w:rsidRDefault="004F07DF" w:rsidP="009F6F46">
            <w:pPr>
              <w:spacing w:before="120" w:after="120" w:line="240" w:lineRule="auto"/>
              <w:jc w:val="both"/>
              <w:rPr>
                <w:rFonts w:ascii="Arial" w:eastAsia="Times New Roman" w:hAnsi="Arial" w:cs="Arial"/>
                <w:color w:val="auto"/>
                <w:sz w:val="20"/>
                <w:szCs w:val="20"/>
              </w:rPr>
            </w:pPr>
          </w:p>
        </w:tc>
      </w:tr>
      <w:tr w:rsidR="004F07DF" w:rsidRPr="00A86E4B" w14:paraId="43857E12" w14:textId="77777777" w:rsidTr="009F6F46">
        <w:trPr>
          <w:cantSplit/>
          <w:trHeight w:val="373"/>
        </w:trPr>
        <w:tc>
          <w:tcPr>
            <w:tcW w:w="6634" w:type="dxa"/>
            <w:tcBorders>
              <w:top w:val="single" w:sz="4" w:space="0" w:color="auto"/>
              <w:left w:val="single" w:sz="4" w:space="0" w:color="auto"/>
              <w:bottom w:val="single" w:sz="4" w:space="0" w:color="auto"/>
              <w:right w:val="single" w:sz="4" w:space="0" w:color="auto"/>
            </w:tcBorders>
          </w:tcPr>
          <w:p w14:paraId="518F2160" w14:textId="77777777" w:rsidR="004F07DF" w:rsidRPr="00A86E4B" w:rsidRDefault="004F07DF" w:rsidP="009F6F46">
            <w:pPr>
              <w:spacing w:before="120" w:after="120" w:line="240" w:lineRule="auto"/>
              <w:jc w:val="both"/>
              <w:rPr>
                <w:kern w:val="18"/>
                <w:szCs w:val="21"/>
              </w:rPr>
            </w:pPr>
            <w:r w:rsidRPr="00A86E4B">
              <w:rPr>
                <w:rFonts w:eastAsia="Times New Roman"/>
                <w:szCs w:val="21"/>
              </w:rPr>
              <w:t xml:space="preserve">The tenderer must also provide evidence of his financial solvability. </w:t>
            </w:r>
          </w:p>
          <w:p w14:paraId="7B003F55" w14:textId="77777777" w:rsidR="004F07DF" w:rsidRPr="00A86E4B" w:rsidRDefault="004F07DF" w:rsidP="009F6F46">
            <w:pPr>
              <w:spacing w:before="120" w:after="120" w:line="240" w:lineRule="auto"/>
              <w:jc w:val="both"/>
              <w:rPr>
                <w:kern w:val="18"/>
                <w:szCs w:val="21"/>
              </w:rPr>
            </w:pPr>
            <w:r w:rsidRPr="00A86E4B">
              <w:rPr>
                <w:rFonts w:eastAsia="Times New Roman"/>
                <w:szCs w:val="21"/>
              </w:rPr>
              <w:t xml:space="preserve">This financial capacity will be evaluated </w:t>
            </w:r>
            <w:proofErr w:type="gramStart"/>
            <w:r w:rsidRPr="00A86E4B">
              <w:rPr>
                <w:rFonts w:eastAsia="Times New Roman"/>
                <w:szCs w:val="21"/>
              </w:rPr>
              <w:t>on the basis of</w:t>
            </w:r>
            <w:proofErr w:type="gramEnd"/>
            <w:r w:rsidRPr="00A86E4B">
              <w:rPr>
                <w:rFonts w:eastAsia="Times New Roman"/>
                <w:szCs w:val="21"/>
              </w:rPr>
              <w:t xml:space="preserve"> the approved Financial Statements of the last three years deposited with the National Bank of Belgium. Tenderers who have deposited their approved Financial Statements with the National Bank of Belgium do not have to include them in their tender since the contracting authority can consult them via the digital portal of the federal authority. </w:t>
            </w:r>
          </w:p>
          <w:p w14:paraId="538A8974" w14:textId="77777777" w:rsidR="004F07DF" w:rsidRPr="00A86E4B" w:rsidRDefault="004F07DF" w:rsidP="009F6F46">
            <w:pPr>
              <w:spacing w:before="120" w:after="120" w:line="240" w:lineRule="auto"/>
              <w:jc w:val="both"/>
              <w:rPr>
                <w:kern w:val="18"/>
                <w:szCs w:val="21"/>
              </w:rPr>
            </w:pPr>
            <w:r w:rsidRPr="00A86E4B">
              <w:rPr>
                <w:rFonts w:eastAsia="Times New Roman"/>
                <w:szCs w:val="21"/>
              </w:rPr>
              <w:t>Tenderers who have not deposited their approved Financial Statements with the National Bank of Belgium for the last three financial years shall include them in their tender. This obligation also applies for recently approved Financial Statements that have not yet been deposited with the National Bank of Belgium because the legal deposit deadline has not yet expired. For individual undertakings it suffices to draw up a document that lists all assets and liabilities by an IEC/IAB accountant or a registered auditor. This document must be certified true by an IEC/IAB accountant or by the registered auditor, as appropriate. The document must present recent financial conditions (dated 6 months maximum from the tender opening date). In case the enterprise has not yet published its Financial Statements, an interim balance certified true by the IEC/IAB accountant or the registered auditor will do.</w:t>
            </w:r>
          </w:p>
          <w:p w14:paraId="04C7FE70" w14:textId="77777777" w:rsidR="004F07DF" w:rsidRPr="00A86E4B" w:rsidRDefault="004F07DF" w:rsidP="009F6F46">
            <w:pPr>
              <w:spacing w:before="120" w:after="120" w:line="240" w:lineRule="auto"/>
              <w:jc w:val="both"/>
              <w:rPr>
                <w:kern w:val="18"/>
                <w:szCs w:val="21"/>
              </w:rPr>
            </w:pPr>
            <w:r w:rsidRPr="00A86E4B">
              <w:rPr>
                <w:rFonts w:eastAsia="Times New Roman"/>
                <w:szCs w:val="21"/>
              </w:rPr>
              <w:t>Foreign enterprises must also attach to their tender their approved Financial Statements for the last three financial years or a document listing all assets and liabilities of the enterprise. In case the enterprise has not yet published its Financial Statements, an interim balance certified true by an accountant or by a registered auditor or by the person or body with this function in the country concerned will do.</w:t>
            </w:r>
          </w:p>
          <w:p w14:paraId="0778B342" w14:textId="77777777" w:rsidR="004F07DF" w:rsidRPr="00A86E4B" w:rsidRDefault="004F07DF" w:rsidP="009F6F46">
            <w:pPr>
              <w:spacing w:before="120" w:after="120" w:line="240" w:lineRule="auto"/>
              <w:jc w:val="both"/>
              <w:rPr>
                <w:kern w:val="18"/>
                <w:szCs w:val="21"/>
              </w:rPr>
            </w:pPr>
          </w:p>
        </w:tc>
        <w:tc>
          <w:tcPr>
            <w:tcW w:w="2438" w:type="dxa"/>
            <w:tcBorders>
              <w:top w:val="single" w:sz="4" w:space="0" w:color="auto"/>
              <w:left w:val="single" w:sz="4" w:space="0" w:color="auto"/>
              <w:bottom w:val="single" w:sz="4" w:space="0" w:color="auto"/>
              <w:right w:val="single" w:sz="4" w:space="0" w:color="auto"/>
            </w:tcBorders>
          </w:tcPr>
          <w:p w14:paraId="3C8190AB" w14:textId="77777777" w:rsidR="004F07DF" w:rsidRPr="009A5EF9" w:rsidRDefault="004F07DF" w:rsidP="009F6F46">
            <w:pPr>
              <w:pStyle w:val="BTCtextCTB"/>
              <w:jc w:val="left"/>
              <w:rPr>
                <w:rFonts w:ascii="Georgia" w:hAnsi="Georgia"/>
                <w:b/>
                <w:bCs/>
                <w:sz w:val="20"/>
              </w:rPr>
            </w:pPr>
            <w:r w:rsidRPr="00830CBB">
              <w:rPr>
                <w:rFonts w:ascii="Georgia" w:hAnsi="Georgia"/>
                <w:b/>
                <w:bCs/>
                <w:sz w:val="20"/>
                <w:u w:val="single"/>
              </w:rPr>
              <w:t>The approved Financial Statements</w:t>
            </w:r>
            <w:r w:rsidRPr="009A5EF9">
              <w:rPr>
                <w:rFonts w:ascii="Georgia" w:hAnsi="Georgia"/>
                <w:b/>
                <w:bCs/>
                <w:sz w:val="20"/>
              </w:rPr>
              <w:t xml:space="preserve"> documents of the last 3 years, to be attached</w:t>
            </w:r>
          </w:p>
          <w:p w14:paraId="5197B19C" w14:textId="77777777" w:rsidR="004F07DF" w:rsidRPr="00A86E4B" w:rsidRDefault="004F07DF" w:rsidP="009F6F46">
            <w:pPr>
              <w:spacing w:before="120" w:after="120" w:line="240" w:lineRule="auto"/>
              <w:jc w:val="both"/>
              <w:rPr>
                <w:rFonts w:ascii="Arial" w:eastAsia="Times New Roman" w:hAnsi="Arial" w:cs="Arial"/>
                <w:color w:val="auto"/>
                <w:sz w:val="20"/>
                <w:szCs w:val="20"/>
              </w:rPr>
            </w:pPr>
          </w:p>
        </w:tc>
      </w:tr>
      <w:tr w:rsidR="004F07DF" w:rsidRPr="00A86E4B" w14:paraId="5393AE44" w14:textId="77777777" w:rsidTr="009F6F46">
        <w:trPr>
          <w:cantSplit/>
          <w:trHeight w:val="2637"/>
        </w:trPr>
        <w:tc>
          <w:tcPr>
            <w:tcW w:w="6634" w:type="dxa"/>
            <w:tcBorders>
              <w:top w:val="single" w:sz="4" w:space="0" w:color="auto"/>
              <w:left w:val="single" w:sz="4" w:space="0" w:color="auto"/>
              <w:bottom w:val="single" w:sz="4" w:space="0" w:color="auto"/>
              <w:right w:val="single" w:sz="4" w:space="0" w:color="auto"/>
            </w:tcBorders>
          </w:tcPr>
          <w:p w14:paraId="73424E8E" w14:textId="77777777" w:rsidR="004F07DF" w:rsidRPr="00A86E4B" w:rsidRDefault="004F07DF" w:rsidP="009F6F46">
            <w:pPr>
              <w:spacing w:before="120" w:after="120" w:line="240" w:lineRule="auto"/>
              <w:jc w:val="both"/>
              <w:rPr>
                <w:kern w:val="18"/>
                <w:szCs w:val="21"/>
              </w:rPr>
            </w:pPr>
          </w:p>
          <w:p w14:paraId="51CC8B81" w14:textId="77777777" w:rsidR="004F07DF" w:rsidRPr="00A86E4B" w:rsidRDefault="004F07DF" w:rsidP="009F6F46">
            <w:pPr>
              <w:spacing w:before="120" w:after="120" w:line="240" w:lineRule="auto"/>
              <w:jc w:val="both"/>
              <w:rPr>
                <w:kern w:val="18"/>
                <w:szCs w:val="21"/>
              </w:rPr>
            </w:pPr>
            <w:r w:rsidRPr="00A86E4B">
              <w:rPr>
                <w:rFonts w:eastAsia="Times New Roman"/>
                <w:szCs w:val="21"/>
              </w:rPr>
              <w:t>A tenderer may, where appropriate and for a particular contract, rely on the capacities of other entities, regardless of the legal nature of the links which he has with these entities. In that case, the following rules apply:</w:t>
            </w:r>
          </w:p>
          <w:p w14:paraId="2F10BFB0" w14:textId="77777777" w:rsidR="004F07DF" w:rsidRPr="00A86E4B" w:rsidRDefault="004F07DF" w:rsidP="009F6F46">
            <w:pPr>
              <w:numPr>
                <w:ilvl w:val="0"/>
                <w:numId w:val="6"/>
              </w:numPr>
              <w:spacing w:before="120" w:after="120" w:line="240" w:lineRule="auto"/>
              <w:jc w:val="both"/>
              <w:rPr>
                <w:kern w:val="18"/>
                <w:szCs w:val="21"/>
              </w:rPr>
            </w:pPr>
            <w:r w:rsidRPr="00A86E4B">
              <w:rPr>
                <w:rFonts w:eastAsia="Times New Roman"/>
                <w:szCs w:val="21"/>
              </w:rPr>
              <w:t>Where an economic operator wants to rely on the capacities of other entities, it shall prove to the contracting authority that it will have at its disposal the resources necessary, for example, by producing a commitment by those entities to that effect.</w:t>
            </w:r>
          </w:p>
          <w:p w14:paraId="30968507" w14:textId="77777777" w:rsidR="004F07DF" w:rsidRPr="00A86E4B" w:rsidRDefault="004F07DF" w:rsidP="009F6F46">
            <w:pPr>
              <w:numPr>
                <w:ilvl w:val="0"/>
                <w:numId w:val="6"/>
              </w:numPr>
              <w:spacing w:before="120" w:after="120" w:line="240" w:lineRule="auto"/>
              <w:jc w:val="both"/>
              <w:rPr>
                <w:kern w:val="18"/>
                <w:szCs w:val="21"/>
              </w:rPr>
            </w:pPr>
            <w:r w:rsidRPr="00A86E4B">
              <w:rPr>
                <w:rFonts w:eastAsia="Times New Roman"/>
                <w:szCs w:val="21"/>
              </w:rPr>
              <w:t xml:space="preserve">The contracting authority shall verify whether the entities on whose capacity the economic operator intends to </w:t>
            </w:r>
            <w:proofErr w:type="gramStart"/>
            <w:r w:rsidRPr="00A86E4B">
              <w:rPr>
                <w:rFonts w:eastAsia="Times New Roman"/>
                <w:szCs w:val="21"/>
              </w:rPr>
              <w:t>rely</w:t>
            </w:r>
            <w:proofErr w:type="gramEnd"/>
            <w:r w:rsidRPr="00A86E4B">
              <w:rPr>
                <w:rFonts w:eastAsia="Times New Roman"/>
                <w:szCs w:val="21"/>
              </w:rPr>
              <w:t xml:space="preserve"> fulfil the relevant selection criteria and whether there are grounds for exclusion.</w:t>
            </w:r>
          </w:p>
          <w:p w14:paraId="197A18F7" w14:textId="77777777" w:rsidR="004F07DF" w:rsidRPr="00A86E4B" w:rsidRDefault="004F07DF" w:rsidP="009F6F46">
            <w:pPr>
              <w:spacing w:before="120" w:after="120" w:line="240" w:lineRule="auto"/>
              <w:jc w:val="both"/>
              <w:rPr>
                <w:kern w:val="18"/>
                <w:szCs w:val="21"/>
              </w:rPr>
            </w:pPr>
            <w:r w:rsidRPr="00A86E4B">
              <w:rPr>
                <w:rFonts w:eastAsia="Times New Roman"/>
                <w:szCs w:val="21"/>
              </w:rPr>
              <w:t>Under the same conditions, a group of candidates or tenderers may submit the capacities of the group’s participants or of other entities.</w:t>
            </w:r>
          </w:p>
          <w:p w14:paraId="7C1C70C7" w14:textId="77777777" w:rsidR="004F07DF" w:rsidRPr="00A86E4B" w:rsidRDefault="004F07DF" w:rsidP="009F6F46">
            <w:pPr>
              <w:spacing w:before="120" w:after="120" w:line="240" w:lineRule="auto"/>
              <w:jc w:val="both"/>
              <w:rPr>
                <w:kern w:val="18"/>
                <w:szCs w:val="21"/>
              </w:rPr>
            </w:pPr>
          </w:p>
        </w:tc>
        <w:tc>
          <w:tcPr>
            <w:tcW w:w="2438" w:type="dxa"/>
            <w:tcBorders>
              <w:top w:val="single" w:sz="4" w:space="0" w:color="auto"/>
              <w:left w:val="single" w:sz="4" w:space="0" w:color="auto"/>
              <w:bottom w:val="single" w:sz="4" w:space="0" w:color="auto"/>
              <w:right w:val="single" w:sz="4" w:space="0" w:color="auto"/>
            </w:tcBorders>
          </w:tcPr>
          <w:p w14:paraId="6A1F7335" w14:textId="77777777" w:rsidR="004F07DF" w:rsidRPr="00A86E4B" w:rsidRDefault="004F07DF" w:rsidP="009F6F46">
            <w:pPr>
              <w:spacing w:before="120" w:after="120" w:line="240" w:lineRule="auto"/>
              <w:jc w:val="both"/>
              <w:rPr>
                <w:rFonts w:ascii="Arial" w:eastAsia="Times New Roman" w:hAnsi="Arial" w:cs="Arial"/>
                <w:color w:val="auto"/>
                <w:sz w:val="20"/>
                <w:szCs w:val="20"/>
              </w:rPr>
            </w:pPr>
            <w:r w:rsidRPr="009A5EF9">
              <w:rPr>
                <w:rFonts w:cs="Arial"/>
                <w:color w:val="auto"/>
                <w:sz w:val="20"/>
              </w:rPr>
              <w:t>Supporting documents to be attached</w:t>
            </w:r>
            <w:r>
              <w:rPr>
                <w:rFonts w:cs="Arial"/>
                <w:color w:val="auto"/>
                <w:sz w:val="20"/>
              </w:rPr>
              <w:t xml:space="preserve"> (if any)</w:t>
            </w:r>
          </w:p>
        </w:tc>
      </w:tr>
    </w:tbl>
    <w:p w14:paraId="639143C3" w14:textId="77777777" w:rsidR="004F07DF" w:rsidRDefault="004F07DF" w:rsidP="004F07DF">
      <w:pPr>
        <w:spacing w:line="259" w:lineRule="auto"/>
      </w:pPr>
    </w:p>
    <w:p w14:paraId="56E1809B" w14:textId="77777777" w:rsidR="004F07DF" w:rsidRDefault="004F07DF" w:rsidP="004F07DF">
      <w:pPr>
        <w:spacing w:line="259" w:lineRule="auto"/>
      </w:pPr>
    </w:p>
    <w:p w14:paraId="240FA250" w14:textId="77777777" w:rsidR="004F07DF" w:rsidRPr="00020006" w:rsidRDefault="004F07DF" w:rsidP="004F07DF">
      <w:pPr>
        <w:spacing w:line="259" w:lineRule="auto"/>
        <w:rPr>
          <w:rFonts w:ascii="Calibri" w:hAnsi="Calibri" w:cs="Calibri"/>
          <w:b/>
          <w:color w:val="FFFFFF"/>
          <w:sz w:val="32"/>
          <w:szCs w:val="32"/>
        </w:rPr>
      </w:pPr>
      <w:r>
        <w:br w:type="page"/>
      </w:r>
    </w:p>
    <w:p w14:paraId="06D28F0A" w14:textId="77777777" w:rsidR="004F07DF" w:rsidRDefault="004F07DF" w:rsidP="004F07DF">
      <w:pPr>
        <w:pStyle w:val="Heading2"/>
        <w:numPr>
          <w:ilvl w:val="1"/>
          <w:numId w:val="46"/>
        </w:numPr>
      </w:pPr>
      <w:bookmarkStart w:id="197" w:name="_Toc51601713"/>
      <w:bookmarkStart w:id="198" w:name="_Toc117027539"/>
      <w:r>
        <w:lastRenderedPageBreak/>
        <w:t>Selection file – technical aptitude</w:t>
      </w:r>
      <w:bookmarkEnd w:id="197"/>
      <w:bookmarkEnd w:id="198"/>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4F07DF" w:rsidRPr="00A86E4B" w14:paraId="08E206AB" w14:textId="77777777" w:rsidTr="009F6F46">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56C61A0B" w14:textId="77777777" w:rsidR="004F07DF" w:rsidRPr="00A86E4B" w:rsidRDefault="004F07DF" w:rsidP="009F6F46">
            <w:pPr>
              <w:spacing w:before="120" w:after="120" w:line="240" w:lineRule="auto"/>
              <w:jc w:val="both"/>
              <w:rPr>
                <w:rFonts w:ascii="Arial" w:eastAsia="Times New Roman" w:hAnsi="Arial" w:cs="Arial"/>
                <w:color w:val="auto"/>
                <w:sz w:val="20"/>
                <w:szCs w:val="20"/>
              </w:rPr>
            </w:pPr>
            <w:r w:rsidRPr="00A86E4B">
              <w:rPr>
                <w:rFonts w:eastAsia="Times New Roman"/>
                <w:b/>
                <w:bCs/>
                <w:sz w:val="20"/>
                <w:szCs w:val="20"/>
              </w:rPr>
              <w:t>Technical aptitude: See Art. 68 of the Royal Decree of 18.04.2017</w:t>
            </w:r>
          </w:p>
        </w:tc>
      </w:tr>
      <w:tr w:rsidR="004F07DF" w:rsidRPr="00A86E4B" w14:paraId="4FA7E4BC" w14:textId="77777777" w:rsidTr="009F6F46">
        <w:trPr>
          <w:cantSplit/>
          <w:trHeight w:val="493"/>
        </w:trPr>
        <w:tc>
          <w:tcPr>
            <w:tcW w:w="5755" w:type="dxa"/>
            <w:tcBorders>
              <w:top w:val="single" w:sz="4" w:space="0" w:color="auto"/>
              <w:left w:val="single" w:sz="4" w:space="0" w:color="auto"/>
              <w:bottom w:val="single" w:sz="4" w:space="0" w:color="auto"/>
              <w:right w:val="single" w:sz="4" w:space="0" w:color="auto"/>
            </w:tcBorders>
          </w:tcPr>
          <w:p w14:paraId="62268C76" w14:textId="77777777" w:rsidR="004F07DF" w:rsidRPr="00A86E4B" w:rsidRDefault="004F07DF" w:rsidP="009F6F46">
            <w:pPr>
              <w:spacing w:before="120" w:after="120" w:line="240" w:lineRule="auto"/>
              <w:jc w:val="both"/>
              <w:rPr>
                <w:rFonts w:eastAsia="Times New Roman" w:cs="Arial"/>
                <w:color w:val="404040"/>
                <w:szCs w:val="21"/>
              </w:rPr>
            </w:pPr>
            <w:r w:rsidRPr="00A86E4B">
              <w:rPr>
                <w:rFonts w:eastAsia="Times New Roman"/>
                <w:color w:val="404040"/>
                <w:szCs w:val="21"/>
              </w:rPr>
              <w:t xml:space="preserve">The tenderer shall dispose or be able to dispose of </w:t>
            </w:r>
            <w:r w:rsidRPr="00A86E4B">
              <w:rPr>
                <w:rFonts w:eastAsia="Times New Roman"/>
                <w:b/>
                <w:color w:val="404040"/>
                <w:szCs w:val="21"/>
              </w:rPr>
              <w:t>sufficient technicians or technical bodies</w:t>
            </w:r>
            <w:r w:rsidRPr="00A86E4B">
              <w:rPr>
                <w:rFonts w:eastAsia="Times New Roman"/>
                <w:color w:val="404040"/>
                <w:szCs w:val="21"/>
              </w:rPr>
              <w:t xml:space="preserve">, </w:t>
            </w:r>
            <w:proofErr w:type="gramStart"/>
            <w:r w:rsidRPr="00A86E4B">
              <w:rPr>
                <w:rFonts w:eastAsia="Times New Roman"/>
                <w:color w:val="404040"/>
                <w:szCs w:val="21"/>
              </w:rPr>
              <w:t>in particular of</w:t>
            </w:r>
            <w:proofErr w:type="gramEnd"/>
            <w:r w:rsidRPr="00A86E4B">
              <w:rPr>
                <w:rFonts w:eastAsia="Times New Roman"/>
                <w:color w:val="404040"/>
                <w:szCs w:val="21"/>
              </w:rPr>
              <w:t xml:space="preserve"> sufficient quality assurance personnel or bodies. </w:t>
            </w:r>
          </w:p>
          <w:p w14:paraId="7BE76980" w14:textId="77777777" w:rsidR="004F07DF" w:rsidRPr="00A86E4B" w:rsidRDefault="004F07DF" w:rsidP="009F6F46">
            <w:pPr>
              <w:spacing w:before="120" w:after="120" w:line="240" w:lineRule="auto"/>
              <w:jc w:val="both"/>
              <w:rPr>
                <w:rFonts w:eastAsia="Times New Roman" w:cs="Arial"/>
                <w:color w:val="404040"/>
                <w:szCs w:val="21"/>
              </w:rPr>
            </w:pPr>
            <w:r w:rsidRPr="00A86E4B">
              <w:rPr>
                <w:rFonts w:eastAsia="Times New Roman"/>
                <w:color w:val="404040"/>
                <w:szCs w:val="21"/>
              </w:rPr>
              <w:t xml:space="preserve">When evaluating the technical capacity, only the technicians or technical bodies that constitute an added value for the procurement which is the subject-matter of these Tender Specifications will be </w:t>
            </w:r>
            <w:proofErr w:type="gramStart"/>
            <w:r w:rsidRPr="00A86E4B">
              <w:rPr>
                <w:rFonts w:eastAsia="Times New Roman"/>
                <w:color w:val="404040"/>
                <w:szCs w:val="21"/>
              </w:rPr>
              <w:t>taken into account</w:t>
            </w:r>
            <w:proofErr w:type="gramEnd"/>
            <w:r w:rsidRPr="00A86E4B">
              <w:rPr>
                <w:rFonts w:eastAsia="Times New Roman"/>
                <w:color w:val="404040"/>
                <w:szCs w:val="21"/>
              </w:rPr>
              <w:t>.</w:t>
            </w:r>
          </w:p>
          <w:p w14:paraId="77C73D25" w14:textId="77777777" w:rsidR="004F07DF" w:rsidRPr="00A86E4B" w:rsidRDefault="004F07DF" w:rsidP="009F6F46">
            <w:pPr>
              <w:spacing w:before="120" w:after="120" w:line="240" w:lineRule="auto"/>
              <w:jc w:val="both"/>
              <w:rPr>
                <w:rFonts w:eastAsia="Times New Roman" w:cs="Arial"/>
                <w:color w:val="404040"/>
                <w:szCs w:val="21"/>
              </w:rPr>
            </w:pPr>
            <w:r w:rsidRPr="00A86E4B">
              <w:rPr>
                <w:rFonts w:eastAsia="Times New Roman"/>
                <w:color w:val="404040"/>
                <w:szCs w:val="21"/>
              </w:rPr>
              <w:t xml:space="preserve">The tenderer includes in his tender an overview of the technicians or technical bodies involved, </w:t>
            </w:r>
            <w:proofErr w:type="gramStart"/>
            <w:r w:rsidRPr="00A86E4B">
              <w:rPr>
                <w:rFonts w:eastAsia="Times New Roman"/>
                <w:color w:val="404040"/>
                <w:szCs w:val="21"/>
              </w:rPr>
              <w:t>whether or not</w:t>
            </w:r>
            <w:proofErr w:type="gramEnd"/>
            <w:r w:rsidRPr="00A86E4B">
              <w:rPr>
                <w:rFonts w:eastAsia="Times New Roman"/>
                <w:color w:val="404040"/>
                <w:szCs w:val="21"/>
              </w:rPr>
              <w:t xml:space="preserve"> belonging directly to the undertaking, especially those responsible for quality control.</w:t>
            </w:r>
          </w:p>
          <w:p w14:paraId="3181B924" w14:textId="77777777" w:rsidR="004F07DF" w:rsidRPr="00A86E4B" w:rsidRDefault="004F07DF" w:rsidP="009F6F46">
            <w:pPr>
              <w:spacing w:before="120" w:after="120" w:line="240" w:lineRule="auto"/>
              <w:jc w:val="both"/>
              <w:rPr>
                <w:rFonts w:eastAsia="Times New Roman"/>
                <w:color w:val="404040"/>
                <w:szCs w:val="21"/>
                <w:highlight w:val="yellow"/>
              </w:rPr>
            </w:pPr>
          </w:p>
        </w:tc>
        <w:tc>
          <w:tcPr>
            <w:tcW w:w="2237" w:type="dxa"/>
            <w:tcBorders>
              <w:top w:val="single" w:sz="4" w:space="0" w:color="auto"/>
              <w:left w:val="single" w:sz="4" w:space="0" w:color="auto"/>
              <w:bottom w:val="single" w:sz="4" w:space="0" w:color="auto"/>
              <w:right w:val="single" w:sz="4" w:space="0" w:color="auto"/>
            </w:tcBorders>
          </w:tcPr>
          <w:p w14:paraId="58A867ED" w14:textId="77777777" w:rsidR="004F07DF" w:rsidRPr="00A86E4B" w:rsidRDefault="004F07DF" w:rsidP="009F6F46">
            <w:pPr>
              <w:spacing w:before="120" w:after="120" w:line="240" w:lineRule="auto"/>
              <w:jc w:val="both"/>
              <w:rPr>
                <w:rFonts w:ascii="Arial" w:eastAsia="Times New Roman" w:hAnsi="Arial" w:cs="Arial"/>
                <w:color w:val="auto"/>
                <w:sz w:val="20"/>
                <w:szCs w:val="20"/>
              </w:rPr>
            </w:pPr>
            <w:r w:rsidRPr="009A5EF9">
              <w:rPr>
                <w:b/>
                <w:bCs/>
                <w:color w:val="auto"/>
                <w:sz w:val="20"/>
              </w:rPr>
              <w:t>Names</w:t>
            </w:r>
            <w:r>
              <w:rPr>
                <w:b/>
                <w:bCs/>
                <w:color w:val="auto"/>
                <w:sz w:val="20"/>
              </w:rPr>
              <w:t xml:space="preserve"> and CVs</w:t>
            </w:r>
            <w:r w:rsidRPr="009A5EF9">
              <w:rPr>
                <w:b/>
                <w:bCs/>
                <w:color w:val="auto"/>
                <w:sz w:val="20"/>
              </w:rPr>
              <w:t xml:space="preserve"> of the technicians to be used</w:t>
            </w:r>
            <w:r w:rsidRPr="009A5EF9">
              <w:rPr>
                <w:color w:val="auto"/>
                <w:sz w:val="20"/>
              </w:rPr>
              <w:t xml:space="preserve"> or profile of</w:t>
            </w:r>
            <w:r w:rsidRPr="009A5EF9">
              <w:rPr>
                <w:color w:val="auto"/>
              </w:rPr>
              <w:t xml:space="preserve"> </w:t>
            </w:r>
            <w:r w:rsidRPr="009A5EF9">
              <w:rPr>
                <w:color w:val="auto"/>
                <w:sz w:val="20"/>
              </w:rPr>
              <w:t>technical bodies, to be provided</w:t>
            </w:r>
          </w:p>
        </w:tc>
      </w:tr>
      <w:tr w:rsidR="004F07DF" w:rsidRPr="00A86E4B" w14:paraId="4294317B" w14:textId="77777777" w:rsidTr="009F6F46">
        <w:trPr>
          <w:cantSplit/>
          <w:trHeight w:val="493"/>
        </w:trPr>
        <w:tc>
          <w:tcPr>
            <w:tcW w:w="5755" w:type="dxa"/>
            <w:tcBorders>
              <w:top w:val="single" w:sz="4" w:space="0" w:color="auto"/>
              <w:left w:val="single" w:sz="4" w:space="0" w:color="auto"/>
              <w:bottom w:val="single" w:sz="4" w:space="0" w:color="auto"/>
              <w:right w:val="single" w:sz="4" w:space="0" w:color="auto"/>
            </w:tcBorders>
          </w:tcPr>
          <w:p w14:paraId="76FEE0E0" w14:textId="77777777" w:rsidR="004F07DF" w:rsidRPr="00A86E4B" w:rsidRDefault="004F07DF" w:rsidP="009F6F46">
            <w:pPr>
              <w:spacing w:before="120" w:after="120" w:line="240" w:lineRule="auto"/>
              <w:jc w:val="both"/>
              <w:rPr>
                <w:rFonts w:eastAsia="Times New Roman" w:cs="Arial"/>
                <w:color w:val="404040"/>
                <w:szCs w:val="21"/>
              </w:rPr>
            </w:pPr>
            <w:r w:rsidRPr="00A86E4B">
              <w:rPr>
                <w:rFonts w:eastAsia="Times New Roman"/>
                <w:color w:val="404040"/>
                <w:szCs w:val="21"/>
              </w:rPr>
              <w:t xml:space="preserve">The tenderer shall dispose of his enterprise’s technical equipment and </w:t>
            </w:r>
            <w:r w:rsidRPr="00A86E4B">
              <w:rPr>
                <w:rFonts w:eastAsia="Times New Roman"/>
                <w:b/>
                <w:color w:val="404040"/>
                <w:szCs w:val="21"/>
              </w:rPr>
              <w:t>means of study and research</w:t>
            </w:r>
            <w:r w:rsidRPr="00A86E4B">
              <w:rPr>
                <w:rFonts w:eastAsia="Times New Roman"/>
                <w:color w:val="404040"/>
                <w:szCs w:val="21"/>
              </w:rPr>
              <w:t xml:space="preserve"> and operate </w:t>
            </w:r>
            <w:r w:rsidRPr="00A86E4B">
              <w:rPr>
                <w:rFonts w:eastAsia="Times New Roman"/>
                <w:b/>
                <w:color w:val="404040"/>
                <w:szCs w:val="21"/>
              </w:rPr>
              <w:t>quality assurance measures</w:t>
            </w:r>
            <w:r w:rsidRPr="00A86E4B">
              <w:rPr>
                <w:rFonts w:eastAsia="Times New Roman"/>
                <w:color w:val="404040"/>
                <w:szCs w:val="21"/>
              </w:rPr>
              <w:t>.</w:t>
            </w:r>
          </w:p>
          <w:p w14:paraId="2B05F6C0" w14:textId="77777777" w:rsidR="004F07DF" w:rsidRPr="00A86E4B" w:rsidRDefault="004F07DF" w:rsidP="009F6F46">
            <w:pPr>
              <w:spacing w:before="120" w:after="120" w:line="240" w:lineRule="auto"/>
              <w:jc w:val="both"/>
              <w:rPr>
                <w:rFonts w:eastAsia="Times New Roman" w:cs="Arial"/>
                <w:color w:val="404040"/>
                <w:szCs w:val="21"/>
              </w:rPr>
            </w:pPr>
            <w:r w:rsidRPr="00A86E4B">
              <w:rPr>
                <w:rFonts w:eastAsia="Times New Roman"/>
                <w:color w:val="404040"/>
                <w:szCs w:val="21"/>
              </w:rPr>
              <w:t xml:space="preserve">The tenderer attaches to his tender a description of the measures he will operate to ensure quality along with a description of the means of study and research. </w:t>
            </w:r>
          </w:p>
          <w:p w14:paraId="1ED7E384" w14:textId="77777777" w:rsidR="004F07DF" w:rsidRPr="00A86E4B" w:rsidRDefault="004F07DF" w:rsidP="009F6F46">
            <w:pPr>
              <w:spacing w:before="120" w:after="120" w:line="240" w:lineRule="auto"/>
              <w:jc w:val="both"/>
              <w:rPr>
                <w:rFonts w:eastAsia="Times New Roman" w:cs="Arial"/>
                <w:color w:val="404040"/>
                <w:szCs w:val="21"/>
                <w:highlight w:val="yellow"/>
              </w:rPr>
            </w:pPr>
          </w:p>
        </w:tc>
        <w:tc>
          <w:tcPr>
            <w:tcW w:w="2237" w:type="dxa"/>
            <w:tcBorders>
              <w:top w:val="single" w:sz="4" w:space="0" w:color="auto"/>
              <w:left w:val="single" w:sz="4" w:space="0" w:color="auto"/>
              <w:bottom w:val="single" w:sz="4" w:space="0" w:color="auto"/>
              <w:right w:val="single" w:sz="4" w:space="0" w:color="auto"/>
            </w:tcBorders>
          </w:tcPr>
          <w:p w14:paraId="5B400888" w14:textId="77777777" w:rsidR="004F07DF" w:rsidRPr="00A86E4B" w:rsidRDefault="004F07DF" w:rsidP="009F6F46">
            <w:pPr>
              <w:spacing w:before="120" w:after="120" w:line="240" w:lineRule="auto"/>
              <w:jc w:val="both"/>
              <w:rPr>
                <w:rFonts w:ascii="Arial" w:eastAsia="Times New Roman" w:hAnsi="Arial" w:cs="Arial"/>
                <w:color w:val="auto"/>
                <w:sz w:val="20"/>
                <w:szCs w:val="20"/>
              </w:rPr>
            </w:pPr>
          </w:p>
        </w:tc>
      </w:tr>
      <w:tr w:rsidR="004F07DF" w:rsidRPr="00A86E4B" w14:paraId="660F46BE" w14:textId="77777777" w:rsidTr="009F6F46">
        <w:trPr>
          <w:cantSplit/>
          <w:trHeight w:val="493"/>
        </w:trPr>
        <w:tc>
          <w:tcPr>
            <w:tcW w:w="5755" w:type="dxa"/>
            <w:tcBorders>
              <w:top w:val="single" w:sz="4" w:space="0" w:color="auto"/>
              <w:left w:val="single" w:sz="4" w:space="0" w:color="auto"/>
              <w:bottom w:val="single" w:sz="4" w:space="0" w:color="auto"/>
              <w:right w:val="single" w:sz="4" w:space="0" w:color="auto"/>
            </w:tcBorders>
          </w:tcPr>
          <w:p w14:paraId="4A3B20FD" w14:textId="77777777" w:rsidR="004F07DF" w:rsidRPr="00A86E4B" w:rsidRDefault="004F07DF" w:rsidP="009F6F46">
            <w:pPr>
              <w:spacing w:before="120" w:after="120" w:line="240" w:lineRule="auto"/>
              <w:jc w:val="both"/>
              <w:rPr>
                <w:rFonts w:eastAsia="Times New Roman" w:cs="Arial"/>
                <w:color w:val="404040"/>
                <w:szCs w:val="21"/>
              </w:rPr>
            </w:pPr>
          </w:p>
          <w:p w14:paraId="596D5390" w14:textId="77777777" w:rsidR="004F07DF" w:rsidRPr="00A86E4B" w:rsidRDefault="004F07DF" w:rsidP="009F6F46">
            <w:pPr>
              <w:spacing w:before="120" w:after="120" w:line="240" w:lineRule="auto"/>
              <w:jc w:val="both"/>
              <w:rPr>
                <w:rFonts w:eastAsia="Times New Roman" w:cs="Arial"/>
                <w:color w:val="404040"/>
                <w:szCs w:val="21"/>
              </w:rPr>
            </w:pPr>
            <w:r w:rsidRPr="00A86E4B">
              <w:rPr>
                <w:rFonts w:eastAsia="Times New Roman"/>
                <w:color w:val="404040"/>
                <w:szCs w:val="21"/>
              </w:rPr>
              <w:t>The tenderer shall dispose of staff that can perform the contract properly.</w:t>
            </w:r>
          </w:p>
          <w:p w14:paraId="522BAA5B" w14:textId="77777777" w:rsidR="004F07DF" w:rsidRPr="00A86E4B" w:rsidRDefault="004F07DF" w:rsidP="009F6F46">
            <w:pPr>
              <w:spacing w:before="120" w:after="120" w:line="240" w:lineRule="auto"/>
              <w:jc w:val="both"/>
              <w:rPr>
                <w:rFonts w:eastAsia="Times New Roman" w:cs="Arial"/>
                <w:color w:val="404040"/>
                <w:szCs w:val="21"/>
              </w:rPr>
            </w:pPr>
            <w:r w:rsidRPr="00A86E4B">
              <w:rPr>
                <w:rFonts w:eastAsia="Times New Roman"/>
                <w:color w:val="404040"/>
                <w:szCs w:val="21"/>
              </w:rPr>
              <w:t xml:space="preserve">The tenderer shall include in his tender an overview of staff that will be used for the performance of the contract. In this document the tenderer lists the staff members' </w:t>
            </w:r>
            <w:r w:rsidRPr="00A86E4B">
              <w:rPr>
                <w:rFonts w:eastAsia="Times New Roman"/>
                <w:b/>
                <w:color w:val="404040"/>
                <w:szCs w:val="21"/>
              </w:rPr>
              <w:t>degrees</w:t>
            </w:r>
            <w:r w:rsidRPr="00A86E4B">
              <w:rPr>
                <w:rFonts w:eastAsia="Times New Roman"/>
                <w:color w:val="404040"/>
                <w:szCs w:val="21"/>
              </w:rPr>
              <w:t xml:space="preserve"> as well as their </w:t>
            </w:r>
            <w:r w:rsidRPr="00A86E4B">
              <w:rPr>
                <w:rFonts w:eastAsia="Times New Roman"/>
                <w:b/>
                <w:color w:val="404040"/>
                <w:szCs w:val="21"/>
              </w:rPr>
              <w:t>professional qualifications</w:t>
            </w:r>
            <w:r w:rsidRPr="00A86E4B">
              <w:rPr>
                <w:rFonts w:eastAsia="Times New Roman"/>
                <w:color w:val="404040"/>
                <w:szCs w:val="21"/>
              </w:rPr>
              <w:t xml:space="preserve"> and experience.</w:t>
            </w:r>
          </w:p>
          <w:p w14:paraId="7033463D" w14:textId="77777777" w:rsidR="004F07DF" w:rsidRPr="00A86E4B" w:rsidRDefault="004F07DF" w:rsidP="009F6F46">
            <w:pPr>
              <w:spacing w:before="120" w:after="120" w:line="240" w:lineRule="auto"/>
              <w:jc w:val="both"/>
              <w:rPr>
                <w:rFonts w:eastAsia="Times New Roman" w:cs="Arial"/>
                <w:color w:val="404040"/>
                <w:szCs w:val="21"/>
              </w:rPr>
            </w:pPr>
          </w:p>
        </w:tc>
        <w:tc>
          <w:tcPr>
            <w:tcW w:w="2237" w:type="dxa"/>
            <w:tcBorders>
              <w:top w:val="single" w:sz="4" w:space="0" w:color="auto"/>
              <w:left w:val="single" w:sz="4" w:space="0" w:color="auto"/>
              <w:bottom w:val="single" w:sz="4" w:space="0" w:color="auto"/>
              <w:right w:val="single" w:sz="4" w:space="0" w:color="auto"/>
            </w:tcBorders>
          </w:tcPr>
          <w:p w14:paraId="7A1A828D" w14:textId="77777777" w:rsidR="004F07DF" w:rsidRPr="00E45A96" w:rsidRDefault="004F07DF" w:rsidP="009F6F46">
            <w:pPr>
              <w:spacing w:before="120" w:after="120" w:line="240" w:lineRule="auto"/>
              <w:jc w:val="both"/>
              <w:rPr>
                <w:rFonts w:ascii="Arial" w:eastAsia="Times New Roman" w:hAnsi="Arial" w:cs="Arial"/>
                <w:b/>
                <w:bCs/>
                <w:color w:val="auto"/>
                <w:sz w:val="20"/>
                <w:szCs w:val="20"/>
              </w:rPr>
            </w:pPr>
            <w:r w:rsidRPr="00E45A96">
              <w:rPr>
                <w:b/>
                <w:bCs/>
                <w:color w:val="auto"/>
                <w:sz w:val="20"/>
              </w:rPr>
              <w:t>CVs and degree certificates to be attached</w:t>
            </w:r>
          </w:p>
        </w:tc>
      </w:tr>
      <w:tr w:rsidR="004F07DF" w:rsidRPr="00A86E4B" w14:paraId="15DC3E93" w14:textId="77777777" w:rsidTr="009F6F46">
        <w:trPr>
          <w:cantSplit/>
          <w:trHeight w:val="493"/>
        </w:trPr>
        <w:tc>
          <w:tcPr>
            <w:tcW w:w="5755" w:type="dxa"/>
            <w:tcBorders>
              <w:top w:val="single" w:sz="4" w:space="0" w:color="auto"/>
              <w:left w:val="single" w:sz="4" w:space="0" w:color="auto"/>
              <w:bottom w:val="single" w:sz="4" w:space="0" w:color="auto"/>
              <w:right w:val="single" w:sz="4" w:space="0" w:color="auto"/>
            </w:tcBorders>
          </w:tcPr>
          <w:p w14:paraId="7319DA09" w14:textId="77777777" w:rsidR="004F07DF" w:rsidRDefault="004F07DF" w:rsidP="009F6F46">
            <w:pPr>
              <w:spacing w:before="120" w:after="120" w:line="240" w:lineRule="auto"/>
              <w:jc w:val="both"/>
              <w:rPr>
                <w:rFonts w:eastAsia="Times New Roman"/>
                <w:color w:val="404040"/>
                <w:szCs w:val="21"/>
              </w:rPr>
            </w:pPr>
            <w:r w:rsidRPr="00A86E4B">
              <w:rPr>
                <w:rFonts w:eastAsia="Times New Roman"/>
                <w:color w:val="404040"/>
                <w:szCs w:val="21"/>
              </w:rPr>
              <w:t>The tenderer must show the</w:t>
            </w:r>
            <w:r w:rsidRPr="00A86E4B">
              <w:rPr>
                <w:rFonts w:eastAsia="Times New Roman"/>
                <w:b/>
                <w:bCs/>
                <w:color w:val="404040"/>
                <w:szCs w:val="21"/>
              </w:rPr>
              <w:t xml:space="preserve"> following references</w:t>
            </w:r>
            <w:r w:rsidRPr="00A86E4B">
              <w:rPr>
                <w:rFonts w:eastAsia="Times New Roman"/>
                <w:color w:val="404040"/>
                <w:szCs w:val="21"/>
              </w:rPr>
              <w:t xml:space="preserve"> of services deli</w:t>
            </w:r>
            <w:r>
              <w:rPr>
                <w:rFonts w:eastAsia="Times New Roman"/>
                <w:color w:val="404040"/>
                <w:szCs w:val="21"/>
              </w:rPr>
              <w:t>vered over the past three years:</w:t>
            </w:r>
          </w:p>
          <w:p w14:paraId="41CE8481" w14:textId="77777777" w:rsidR="004F07DF" w:rsidRPr="00A86E4B" w:rsidRDefault="004F07DF" w:rsidP="009F6F46">
            <w:pPr>
              <w:spacing w:before="120" w:after="120" w:line="240" w:lineRule="auto"/>
              <w:jc w:val="both"/>
              <w:rPr>
                <w:rFonts w:eastAsia="Times New Roman" w:cs="Arial"/>
                <w:color w:val="404040"/>
                <w:szCs w:val="21"/>
              </w:rPr>
            </w:pPr>
            <w:r w:rsidRPr="002801F5">
              <w:rPr>
                <w:rFonts w:cs="Calibri"/>
                <w:b/>
                <w:bCs/>
                <w:color w:val="000000"/>
                <w:szCs w:val="21"/>
              </w:rPr>
              <w:t>at least 2 similar assignments, proven by certificates of good completion</w:t>
            </w:r>
          </w:p>
          <w:p w14:paraId="2ABE1ECF" w14:textId="77777777" w:rsidR="004F07DF" w:rsidRPr="00A86E4B" w:rsidRDefault="004F07DF" w:rsidP="009F6F46">
            <w:pPr>
              <w:spacing w:before="120" w:after="120" w:line="240" w:lineRule="auto"/>
              <w:jc w:val="both"/>
              <w:rPr>
                <w:rFonts w:eastAsia="Times New Roman" w:cs="Arial"/>
                <w:color w:val="404040"/>
                <w:szCs w:val="21"/>
              </w:rPr>
            </w:pPr>
            <w:r w:rsidRPr="00A86E4B">
              <w:rPr>
                <w:rFonts w:eastAsia="Times New Roman"/>
                <w:color w:val="404040"/>
                <w:szCs w:val="21"/>
              </w:rPr>
              <w:t>The tenderer includes in his tender a list with the main services that have been delivered over the past three years including the amount and date as well as the public or private recipients. Service delivery is demonstrated by certificates drawn up or approved by the competent authority or, where the client was a private purchaser, by certification of the private purchaser, or by default, by a simple statement of the service provider.</w:t>
            </w:r>
          </w:p>
          <w:p w14:paraId="5AB0ABC9" w14:textId="77777777" w:rsidR="004F07DF" w:rsidRPr="00A86E4B" w:rsidRDefault="004F07DF" w:rsidP="009F6F46">
            <w:pPr>
              <w:spacing w:before="120" w:after="120" w:line="240" w:lineRule="auto"/>
              <w:jc w:val="both"/>
              <w:rPr>
                <w:rFonts w:eastAsia="Times New Roman" w:cs="Arial"/>
                <w:color w:val="404040"/>
                <w:szCs w:val="21"/>
              </w:rPr>
            </w:pPr>
          </w:p>
        </w:tc>
        <w:tc>
          <w:tcPr>
            <w:tcW w:w="2237" w:type="dxa"/>
            <w:tcBorders>
              <w:top w:val="single" w:sz="4" w:space="0" w:color="auto"/>
              <w:left w:val="single" w:sz="4" w:space="0" w:color="auto"/>
              <w:bottom w:val="single" w:sz="4" w:space="0" w:color="auto"/>
              <w:right w:val="single" w:sz="4" w:space="0" w:color="auto"/>
            </w:tcBorders>
          </w:tcPr>
          <w:p w14:paraId="46BB2DE3" w14:textId="77777777" w:rsidR="004F07DF" w:rsidRPr="00A86E4B" w:rsidRDefault="004F07DF" w:rsidP="009F6F46">
            <w:pPr>
              <w:spacing w:before="120" w:after="120" w:line="240" w:lineRule="auto"/>
              <w:jc w:val="both"/>
              <w:rPr>
                <w:rFonts w:ascii="Arial" w:eastAsia="Times New Roman" w:hAnsi="Arial" w:cs="Arial"/>
                <w:color w:val="auto"/>
                <w:sz w:val="20"/>
                <w:szCs w:val="20"/>
              </w:rPr>
            </w:pPr>
            <w:r w:rsidRPr="009A5EF9">
              <w:rPr>
                <w:color w:val="auto"/>
                <w:sz w:val="20"/>
              </w:rPr>
              <w:t xml:space="preserve">List of </w:t>
            </w:r>
            <w:r>
              <w:rPr>
                <w:color w:val="auto"/>
                <w:sz w:val="20"/>
              </w:rPr>
              <w:t xml:space="preserve">2 </w:t>
            </w:r>
            <w:r w:rsidRPr="009A5EF9">
              <w:rPr>
                <w:b/>
                <w:bCs/>
                <w:color w:val="auto"/>
                <w:sz w:val="20"/>
              </w:rPr>
              <w:t xml:space="preserve">similar </w:t>
            </w:r>
            <w:proofErr w:type="gramStart"/>
            <w:r>
              <w:rPr>
                <w:b/>
                <w:bCs/>
                <w:color w:val="auto"/>
                <w:sz w:val="20"/>
              </w:rPr>
              <w:t>researches</w:t>
            </w:r>
            <w:proofErr w:type="gramEnd"/>
            <w:r w:rsidRPr="009A5EF9">
              <w:rPr>
                <w:b/>
                <w:bCs/>
                <w:color w:val="auto"/>
                <w:sz w:val="20"/>
              </w:rPr>
              <w:t xml:space="preserve"> that have been performed by the Service Provider</w:t>
            </w:r>
            <w:r w:rsidRPr="009A5EF9">
              <w:rPr>
                <w:color w:val="auto"/>
                <w:sz w:val="20"/>
              </w:rPr>
              <w:t xml:space="preserve"> over the past </w:t>
            </w:r>
            <w:r>
              <w:rPr>
                <w:color w:val="auto"/>
                <w:sz w:val="20"/>
              </w:rPr>
              <w:t xml:space="preserve">ten </w:t>
            </w:r>
            <w:r w:rsidRPr="009A5EF9">
              <w:rPr>
                <w:color w:val="auto"/>
                <w:sz w:val="20"/>
              </w:rPr>
              <w:t>years to be attached</w:t>
            </w:r>
            <w:r>
              <w:rPr>
                <w:color w:val="auto"/>
                <w:sz w:val="20"/>
              </w:rPr>
              <w:t xml:space="preserve"> with their related certificates of good completion</w:t>
            </w:r>
          </w:p>
        </w:tc>
      </w:tr>
      <w:tr w:rsidR="004F07DF" w:rsidRPr="00A86E4B" w14:paraId="4BE3A3CB" w14:textId="77777777" w:rsidTr="009F6F46">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3D595077" w14:textId="77777777" w:rsidR="004F07DF" w:rsidRPr="00A86E4B" w:rsidRDefault="004F07DF" w:rsidP="009F6F46">
            <w:pPr>
              <w:spacing w:before="120" w:after="120" w:line="240" w:lineRule="auto"/>
              <w:jc w:val="both"/>
              <w:rPr>
                <w:rFonts w:eastAsia="Times New Roman" w:cs="Arial"/>
                <w:color w:val="404040"/>
                <w:szCs w:val="21"/>
              </w:rPr>
            </w:pPr>
            <w:r w:rsidRPr="00A86E4B">
              <w:rPr>
                <w:rFonts w:eastAsia="Times New Roman"/>
                <w:color w:val="404040"/>
                <w:szCs w:val="21"/>
              </w:rPr>
              <w:lastRenderedPageBreak/>
              <w:t xml:space="preserve">where the services to be supplied are complex or, exceptionally, are required for a special purpose, </w:t>
            </w:r>
            <w:r w:rsidRPr="00A86E4B">
              <w:rPr>
                <w:rFonts w:eastAsia="Times New Roman"/>
                <w:b/>
                <w:bCs/>
                <w:color w:val="404040"/>
                <w:szCs w:val="21"/>
              </w:rPr>
              <w:t xml:space="preserve">a check carried out by the contracting authorities </w:t>
            </w:r>
            <w:r w:rsidRPr="00A86E4B">
              <w:rPr>
                <w:rFonts w:eastAsia="Times New Roman"/>
                <w:color w:val="404040"/>
                <w:szCs w:val="21"/>
              </w:rPr>
              <w:t>or on their behalf by a competent official body of the country in which the service provider is established, subject to that body’s agreement, on the technical capacity of the service provider and, where necessary, on the means of study and research which are available to it and the quality control measures it will operate;</w:t>
            </w:r>
          </w:p>
        </w:tc>
        <w:tc>
          <w:tcPr>
            <w:tcW w:w="2237" w:type="dxa"/>
            <w:tcBorders>
              <w:top w:val="single" w:sz="4" w:space="0" w:color="auto"/>
              <w:left w:val="single" w:sz="4" w:space="0" w:color="auto"/>
              <w:bottom w:val="single" w:sz="4" w:space="0" w:color="auto"/>
              <w:right w:val="single" w:sz="4" w:space="0" w:color="auto"/>
            </w:tcBorders>
          </w:tcPr>
          <w:p w14:paraId="2670AE83" w14:textId="77777777" w:rsidR="004F07DF" w:rsidRPr="00A86E4B" w:rsidRDefault="004F07DF" w:rsidP="009F6F46">
            <w:pPr>
              <w:spacing w:before="120" w:after="120" w:line="240" w:lineRule="auto"/>
              <w:jc w:val="both"/>
              <w:rPr>
                <w:rFonts w:ascii="Arial" w:eastAsia="Times New Roman" w:hAnsi="Arial" w:cs="Arial"/>
                <w:color w:val="auto"/>
                <w:sz w:val="20"/>
                <w:szCs w:val="20"/>
              </w:rPr>
            </w:pPr>
          </w:p>
        </w:tc>
      </w:tr>
      <w:tr w:rsidR="004F07DF" w:rsidRPr="00A86E4B" w14:paraId="41A69DEC" w14:textId="77777777" w:rsidTr="009F6F46">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770F722B" w14:textId="77777777" w:rsidR="004F07DF" w:rsidRPr="00A86E4B" w:rsidRDefault="004F07DF" w:rsidP="009F6F46">
            <w:pPr>
              <w:spacing w:before="120" w:after="120" w:line="240" w:lineRule="auto"/>
              <w:jc w:val="both"/>
              <w:rPr>
                <w:rFonts w:eastAsia="Times New Roman" w:cs="Arial"/>
                <w:color w:val="404040"/>
                <w:szCs w:val="21"/>
              </w:rPr>
            </w:pPr>
            <w:r w:rsidRPr="00A86E4B">
              <w:rPr>
                <w:rFonts w:eastAsia="Times New Roman"/>
                <w:color w:val="404040"/>
                <w:szCs w:val="21"/>
              </w:rPr>
              <w:t xml:space="preserve">an indication of the proportion of the contract which the service provider intends possibly to </w:t>
            </w:r>
            <w:r w:rsidRPr="00A86E4B">
              <w:rPr>
                <w:rFonts w:eastAsia="Times New Roman"/>
                <w:b/>
                <w:bCs/>
                <w:color w:val="404040"/>
                <w:szCs w:val="21"/>
              </w:rPr>
              <w:t>subcontract</w:t>
            </w:r>
            <w:r w:rsidRPr="00A86E4B">
              <w:rPr>
                <w:rFonts w:eastAsia="Times New Roman"/>
                <w:color w:val="404040"/>
                <w:szCs w:val="21"/>
              </w:rPr>
              <w:t>.</w:t>
            </w:r>
          </w:p>
        </w:tc>
        <w:tc>
          <w:tcPr>
            <w:tcW w:w="2237" w:type="dxa"/>
            <w:tcBorders>
              <w:top w:val="single" w:sz="4" w:space="0" w:color="auto"/>
              <w:left w:val="single" w:sz="4" w:space="0" w:color="auto"/>
              <w:bottom w:val="single" w:sz="4" w:space="0" w:color="auto"/>
              <w:right w:val="single" w:sz="4" w:space="0" w:color="auto"/>
            </w:tcBorders>
          </w:tcPr>
          <w:p w14:paraId="269BCA24" w14:textId="77777777" w:rsidR="004F07DF" w:rsidRPr="00A86E4B" w:rsidRDefault="004F07DF" w:rsidP="009F6F46">
            <w:pPr>
              <w:spacing w:before="120" w:after="120" w:line="240" w:lineRule="auto"/>
              <w:jc w:val="both"/>
              <w:rPr>
                <w:rFonts w:ascii="Arial" w:eastAsia="Times New Roman" w:hAnsi="Arial" w:cs="Arial"/>
                <w:color w:val="auto"/>
                <w:sz w:val="20"/>
                <w:szCs w:val="20"/>
              </w:rPr>
            </w:pPr>
            <w:r w:rsidRPr="009A5EF9">
              <w:rPr>
                <w:rFonts w:ascii="Arial" w:eastAsia="Times New Roman" w:hAnsi="Arial" w:cs="Arial"/>
                <w:color w:val="auto"/>
                <w:sz w:val="20"/>
                <w:szCs w:val="20"/>
              </w:rPr>
              <w:t>supporting documents to be attached</w:t>
            </w:r>
            <w:r>
              <w:rPr>
                <w:rFonts w:ascii="Arial" w:eastAsia="Times New Roman" w:hAnsi="Arial" w:cs="Arial"/>
                <w:color w:val="auto"/>
                <w:sz w:val="20"/>
                <w:szCs w:val="20"/>
              </w:rPr>
              <w:t xml:space="preserve"> (if any)</w:t>
            </w:r>
          </w:p>
        </w:tc>
      </w:tr>
      <w:tr w:rsidR="004F07DF" w:rsidRPr="00A86E4B" w14:paraId="1AB388E4" w14:textId="77777777" w:rsidTr="009F6F46">
        <w:trPr>
          <w:cantSplit/>
          <w:trHeight w:val="373"/>
        </w:trPr>
        <w:tc>
          <w:tcPr>
            <w:tcW w:w="5755" w:type="dxa"/>
            <w:tcBorders>
              <w:top w:val="single" w:sz="4" w:space="0" w:color="auto"/>
              <w:left w:val="single" w:sz="4" w:space="0" w:color="auto"/>
              <w:bottom w:val="single" w:sz="4" w:space="0" w:color="auto"/>
              <w:right w:val="single" w:sz="4" w:space="0" w:color="auto"/>
            </w:tcBorders>
            <w:hideMark/>
          </w:tcPr>
          <w:p w14:paraId="30052E38" w14:textId="77777777" w:rsidR="004F07DF" w:rsidRPr="00A86E4B" w:rsidRDefault="004F07DF" w:rsidP="009F6F46">
            <w:pPr>
              <w:spacing w:before="120" w:after="120" w:line="240" w:lineRule="auto"/>
              <w:jc w:val="both"/>
              <w:rPr>
                <w:rFonts w:ascii="Arial" w:eastAsia="Times New Roman" w:hAnsi="Arial" w:cs="Arial"/>
                <w:color w:val="404040"/>
                <w:sz w:val="20"/>
                <w:szCs w:val="20"/>
              </w:rPr>
            </w:pPr>
            <w:r w:rsidRPr="00A86E4B">
              <w:rPr>
                <w:rFonts w:ascii="Arial" w:eastAsia="Times New Roman" w:hAnsi="Arial"/>
                <w:color w:val="404040"/>
                <w:sz w:val="20"/>
                <w:szCs w:val="20"/>
              </w:rPr>
              <w:t>A tenderer may, where appropriate and for a particular contract, rely on the capacities of other entities, regardless of the legal nature of the links which he has with these entities. In that case, the following rules apply:</w:t>
            </w:r>
          </w:p>
          <w:p w14:paraId="51CAD8C2" w14:textId="77777777" w:rsidR="004F07DF" w:rsidRPr="00A86E4B" w:rsidRDefault="004F07DF" w:rsidP="009F6F46">
            <w:pPr>
              <w:numPr>
                <w:ilvl w:val="0"/>
                <w:numId w:val="6"/>
              </w:numPr>
              <w:spacing w:before="120" w:after="120" w:line="240" w:lineRule="auto"/>
              <w:jc w:val="both"/>
              <w:rPr>
                <w:rFonts w:ascii="Arial" w:eastAsia="Times New Roman" w:hAnsi="Arial" w:cs="Arial"/>
                <w:color w:val="404040"/>
                <w:sz w:val="20"/>
                <w:szCs w:val="20"/>
              </w:rPr>
            </w:pPr>
            <w:r w:rsidRPr="00A86E4B">
              <w:rPr>
                <w:rFonts w:ascii="Arial" w:eastAsia="Times New Roman" w:hAnsi="Arial"/>
                <w:color w:val="404040"/>
                <w:sz w:val="20"/>
                <w:szCs w:val="20"/>
              </w:rPr>
              <w:t xml:space="preserve">Where an economic operator wants to rely on the capacities of other entities, it shall prove to the contracting authority that it will have at its disposal the resources necessary, for example, by producing a </w:t>
            </w:r>
            <w:r w:rsidRPr="00A86E4B">
              <w:rPr>
                <w:rFonts w:ascii="Arial" w:eastAsia="Times New Roman" w:hAnsi="Arial"/>
                <w:color w:val="404040"/>
                <w:sz w:val="20"/>
                <w:szCs w:val="20"/>
                <w:u w:val="single"/>
              </w:rPr>
              <w:t>commitment by those entities to that effect</w:t>
            </w:r>
            <w:r w:rsidRPr="00A86E4B">
              <w:rPr>
                <w:rFonts w:ascii="Arial" w:eastAsia="Times New Roman" w:hAnsi="Arial"/>
                <w:color w:val="404040"/>
                <w:sz w:val="20"/>
                <w:szCs w:val="20"/>
              </w:rPr>
              <w:t>.</w:t>
            </w:r>
          </w:p>
          <w:p w14:paraId="6DEA7014" w14:textId="77777777" w:rsidR="004F07DF" w:rsidRPr="00A86E4B" w:rsidRDefault="004F07DF" w:rsidP="009F6F46">
            <w:pPr>
              <w:numPr>
                <w:ilvl w:val="0"/>
                <w:numId w:val="6"/>
              </w:numPr>
              <w:spacing w:before="120" w:after="120" w:line="240" w:lineRule="auto"/>
              <w:jc w:val="both"/>
              <w:rPr>
                <w:rFonts w:ascii="Arial" w:eastAsia="Times New Roman" w:hAnsi="Arial" w:cs="Arial"/>
                <w:color w:val="404040"/>
                <w:sz w:val="20"/>
                <w:szCs w:val="20"/>
              </w:rPr>
            </w:pPr>
            <w:r w:rsidRPr="00A86E4B">
              <w:rPr>
                <w:rFonts w:ascii="Arial" w:eastAsia="Times New Roman" w:hAnsi="Arial"/>
                <w:color w:val="404040"/>
                <w:sz w:val="20"/>
                <w:szCs w:val="20"/>
              </w:rPr>
              <w:t xml:space="preserve">The contracting authority shall verify whether the entities on whose capacity the economic operator intends to </w:t>
            </w:r>
            <w:proofErr w:type="gramStart"/>
            <w:r w:rsidRPr="00A86E4B">
              <w:rPr>
                <w:rFonts w:ascii="Arial" w:eastAsia="Times New Roman" w:hAnsi="Arial"/>
                <w:color w:val="404040"/>
                <w:sz w:val="20"/>
                <w:szCs w:val="20"/>
              </w:rPr>
              <w:t>rely</w:t>
            </w:r>
            <w:proofErr w:type="gramEnd"/>
            <w:r w:rsidRPr="00A86E4B">
              <w:rPr>
                <w:rFonts w:ascii="Arial" w:eastAsia="Times New Roman" w:hAnsi="Arial"/>
                <w:color w:val="404040"/>
                <w:sz w:val="20"/>
                <w:szCs w:val="20"/>
              </w:rPr>
              <w:t xml:space="preserve"> </w:t>
            </w:r>
            <w:r w:rsidRPr="00A86E4B">
              <w:rPr>
                <w:rFonts w:ascii="Arial" w:eastAsia="Times New Roman" w:hAnsi="Arial"/>
                <w:color w:val="404040"/>
                <w:sz w:val="20"/>
                <w:szCs w:val="20"/>
                <w:u w:val="single"/>
              </w:rPr>
              <w:t>fulfil the relevant selection criteria</w:t>
            </w:r>
            <w:r w:rsidRPr="00A86E4B">
              <w:rPr>
                <w:rFonts w:ascii="Arial" w:eastAsia="Times New Roman" w:hAnsi="Arial"/>
                <w:color w:val="404040"/>
                <w:sz w:val="20"/>
                <w:szCs w:val="20"/>
              </w:rPr>
              <w:t xml:space="preserve"> and whether there are </w:t>
            </w:r>
            <w:r w:rsidRPr="00A86E4B">
              <w:rPr>
                <w:rFonts w:ascii="Arial" w:eastAsia="Times New Roman" w:hAnsi="Arial"/>
                <w:color w:val="404040"/>
                <w:sz w:val="20"/>
                <w:szCs w:val="20"/>
                <w:u w:val="single"/>
              </w:rPr>
              <w:t>grounds for exclusion</w:t>
            </w:r>
            <w:r w:rsidRPr="00A86E4B">
              <w:rPr>
                <w:rFonts w:ascii="Arial" w:eastAsia="Times New Roman" w:hAnsi="Arial"/>
                <w:color w:val="404040"/>
                <w:sz w:val="20"/>
                <w:szCs w:val="20"/>
              </w:rPr>
              <w:t>.</w:t>
            </w:r>
          </w:p>
          <w:p w14:paraId="55DA94CB" w14:textId="77777777" w:rsidR="004F07DF" w:rsidRPr="00A86E4B" w:rsidRDefault="004F07DF" w:rsidP="009F6F46">
            <w:pPr>
              <w:spacing w:before="120" w:after="120" w:line="240" w:lineRule="auto"/>
              <w:jc w:val="both"/>
              <w:rPr>
                <w:rFonts w:ascii="Arial" w:eastAsia="Times New Roman" w:hAnsi="Arial" w:cs="Arial"/>
                <w:color w:val="404040"/>
                <w:sz w:val="20"/>
                <w:szCs w:val="20"/>
              </w:rPr>
            </w:pPr>
            <w:r w:rsidRPr="00A86E4B">
              <w:rPr>
                <w:rFonts w:ascii="Arial" w:eastAsia="Times New Roman" w:hAnsi="Arial"/>
                <w:color w:val="404040"/>
                <w:sz w:val="20"/>
                <w:szCs w:val="20"/>
              </w:rPr>
              <w:t>Under the same conditions, a group of candidates or tenderers may submit the capacities of the group’s participants or of other entities.</w:t>
            </w:r>
          </w:p>
        </w:tc>
        <w:tc>
          <w:tcPr>
            <w:tcW w:w="2237" w:type="dxa"/>
            <w:tcBorders>
              <w:top w:val="single" w:sz="4" w:space="0" w:color="auto"/>
              <w:left w:val="single" w:sz="4" w:space="0" w:color="auto"/>
              <w:bottom w:val="single" w:sz="4" w:space="0" w:color="auto"/>
              <w:right w:val="single" w:sz="4" w:space="0" w:color="auto"/>
            </w:tcBorders>
          </w:tcPr>
          <w:p w14:paraId="3D8B0E62" w14:textId="77777777" w:rsidR="004F07DF" w:rsidRPr="00A86E4B" w:rsidRDefault="004F07DF" w:rsidP="009F6F46">
            <w:pPr>
              <w:spacing w:before="120" w:after="120" w:line="240" w:lineRule="auto"/>
              <w:jc w:val="both"/>
              <w:rPr>
                <w:rFonts w:ascii="Arial" w:eastAsia="Times New Roman" w:hAnsi="Arial" w:cs="Arial"/>
                <w:color w:val="auto"/>
                <w:sz w:val="20"/>
                <w:szCs w:val="20"/>
              </w:rPr>
            </w:pPr>
            <w:r w:rsidRPr="009A5EF9">
              <w:rPr>
                <w:color w:val="auto"/>
                <w:sz w:val="20"/>
              </w:rPr>
              <w:t>supporting documents to be attached</w:t>
            </w:r>
            <w:r>
              <w:rPr>
                <w:color w:val="auto"/>
                <w:sz w:val="20"/>
              </w:rPr>
              <w:t xml:space="preserve"> (if any)</w:t>
            </w:r>
          </w:p>
        </w:tc>
      </w:tr>
    </w:tbl>
    <w:p w14:paraId="74974AA6" w14:textId="77777777" w:rsidR="004F07DF" w:rsidRDefault="004F07DF" w:rsidP="004F07DF"/>
    <w:p w14:paraId="6B17A881" w14:textId="77777777" w:rsidR="004F07DF" w:rsidRDefault="004F07DF" w:rsidP="004F07DF"/>
    <w:p w14:paraId="05A853C7" w14:textId="77777777" w:rsidR="004F07DF" w:rsidRDefault="004F07DF" w:rsidP="004F07DF"/>
    <w:p w14:paraId="25A2B6F6" w14:textId="77777777" w:rsidR="004F07DF" w:rsidRDefault="004F07DF" w:rsidP="004F07DF"/>
    <w:p w14:paraId="6E51C1A6" w14:textId="77777777" w:rsidR="004F07DF" w:rsidRDefault="004F07DF" w:rsidP="004F07DF"/>
    <w:p w14:paraId="517EE5AE" w14:textId="77777777" w:rsidR="004F07DF" w:rsidRDefault="004F07DF" w:rsidP="004F07DF"/>
    <w:p w14:paraId="0C3E1F1A" w14:textId="77777777" w:rsidR="004F07DF" w:rsidRDefault="004F07DF" w:rsidP="004F07DF"/>
    <w:p w14:paraId="463BE895" w14:textId="77777777" w:rsidR="004F07DF" w:rsidRDefault="004F07DF" w:rsidP="004F07DF"/>
    <w:p w14:paraId="0356888E" w14:textId="77777777" w:rsidR="004F07DF" w:rsidRDefault="004F07DF" w:rsidP="004F07DF"/>
    <w:p w14:paraId="29C15CB2" w14:textId="77777777" w:rsidR="004F07DF" w:rsidRDefault="004F07DF" w:rsidP="004F07DF"/>
    <w:p w14:paraId="7A0DD979" w14:textId="77777777" w:rsidR="004F07DF" w:rsidRDefault="004F07DF" w:rsidP="004F07DF"/>
    <w:p w14:paraId="005CFBBC" w14:textId="77777777" w:rsidR="004F07DF" w:rsidRDefault="004F07DF" w:rsidP="004F07DF"/>
    <w:p w14:paraId="0A3209AE" w14:textId="77777777" w:rsidR="004F07DF" w:rsidRDefault="004F07DF" w:rsidP="004F07DF"/>
    <w:p w14:paraId="3CAA1C66" w14:textId="77777777" w:rsidR="004F07DF" w:rsidRDefault="004F07DF" w:rsidP="004F07DF"/>
    <w:p w14:paraId="65104225" w14:textId="77777777" w:rsidR="004F07DF" w:rsidRDefault="004F07DF" w:rsidP="004F07DF"/>
    <w:p w14:paraId="3BC672D6" w14:textId="77777777" w:rsidR="004F07DF" w:rsidRDefault="004F07DF" w:rsidP="004F07DF">
      <w:pPr>
        <w:keepNext/>
        <w:keepLines/>
        <w:spacing w:before="120" w:after="120" w:line="240" w:lineRule="auto"/>
        <w:ind w:left="576" w:hanging="576"/>
        <w:outlineLvl w:val="1"/>
        <w:rPr>
          <w:rFonts w:ascii="Calibri" w:eastAsia="Times New Roman" w:hAnsi="Calibri"/>
          <w:b/>
          <w:color w:val="D81A1A"/>
          <w:sz w:val="28"/>
          <w:szCs w:val="26"/>
        </w:rPr>
        <w:sectPr w:rsidR="004F07DF" w:rsidSect="004223E4">
          <w:pgSz w:w="11906" w:h="16838"/>
          <w:pgMar w:top="993" w:right="1133" w:bottom="851" w:left="1871" w:header="709" w:footer="709" w:gutter="0"/>
          <w:cols w:space="708"/>
          <w:titlePg/>
          <w:docGrid w:linePitch="360"/>
        </w:sectPr>
      </w:pPr>
      <w:bookmarkStart w:id="199" w:name="_Toc67483553"/>
      <w:bookmarkStart w:id="200" w:name="_Toc69897060"/>
    </w:p>
    <w:p w14:paraId="47305D13" w14:textId="77777777" w:rsidR="004F07DF" w:rsidRDefault="004F07DF" w:rsidP="004F07DF">
      <w:pPr>
        <w:keepNext/>
        <w:keepLines/>
        <w:spacing w:before="120" w:after="120" w:line="240" w:lineRule="auto"/>
        <w:ind w:left="576" w:hanging="576"/>
        <w:outlineLvl w:val="1"/>
        <w:rPr>
          <w:rFonts w:ascii="Calibri" w:eastAsia="Times New Roman" w:hAnsi="Calibri"/>
          <w:b/>
          <w:color w:val="D81A1A"/>
          <w:sz w:val="28"/>
          <w:szCs w:val="26"/>
        </w:rPr>
      </w:pPr>
    </w:p>
    <w:p w14:paraId="256F79DF" w14:textId="77777777" w:rsidR="004F07DF" w:rsidRDefault="004F07DF" w:rsidP="004F07DF">
      <w:pPr>
        <w:pStyle w:val="Heading2"/>
        <w:numPr>
          <w:ilvl w:val="1"/>
          <w:numId w:val="46"/>
        </w:numPr>
        <w:spacing w:before="240" w:after="240"/>
      </w:pPr>
      <w:bookmarkStart w:id="201" w:name="_Toc45264104"/>
      <w:r>
        <w:t xml:space="preserve"> </w:t>
      </w:r>
      <w:bookmarkStart w:id="202" w:name="_Toc117027540"/>
      <w:r>
        <w:t>Model of Proof of posting bond</w:t>
      </w:r>
      <w:bookmarkEnd w:id="201"/>
      <w:bookmarkEnd w:id="202"/>
    </w:p>
    <w:p w14:paraId="40A31CEE" w14:textId="77777777" w:rsidR="004F07DF" w:rsidRDefault="004F07DF" w:rsidP="004F07DF">
      <w:pPr>
        <w:spacing w:before="240"/>
        <w:jc w:val="both"/>
      </w:pPr>
      <w:r>
        <w:t xml:space="preserve">Bank </w:t>
      </w:r>
      <w:r w:rsidRPr="00F32879">
        <w:rPr>
          <w:highlight w:val="lightGray"/>
        </w:rPr>
        <w:t>X</w:t>
      </w:r>
    </w:p>
    <w:p w14:paraId="4C99A3C9" w14:textId="77777777" w:rsidR="004F07DF" w:rsidRDefault="004F07DF" w:rsidP="004F07DF">
      <w:pPr>
        <w:spacing w:before="240"/>
        <w:jc w:val="both"/>
      </w:pPr>
      <w:r w:rsidRPr="00F32879">
        <w:rPr>
          <w:highlight w:val="lightGray"/>
        </w:rPr>
        <w:t>Address</w:t>
      </w:r>
    </w:p>
    <w:p w14:paraId="3D2D413E" w14:textId="77777777" w:rsidR="004F07DF" w:rsidRPr="00120D3F" w:rsidRDefault="004F07DF" w:rsidP="004F07DF">
      <w:pPr>
        <w:spacing w:before="240"/>
        <w:jc w:val="center"/>
        <w:rPr>
          <w:u w:val="single"/>
        </w:rPr>
      </w:pPr>
      <w:r w:rsidRPr="00120D3F">
        <w:rPr>
          <w:u w:val="single"/>
        </w:rPr>
        <w:t xml:space="preserve">Performance bond n° </w:t>
      </w:r>
      <w:r w:rsidRPr="00F32879">
        <w:rPr>
          <w:highlight w:val="lightGray"/>
          <w:u w:val="single"/>
        </w:rPr>
        <w:t>X</w:t>
      </w:r>
    </w:p>
    <w:p w14:paraId="0C2CBE98" w14:textId="77777777" w:rsidR="004F07DF" w:rsidRDefault="004F07DF" w:rsidP="004F07DF">
      <w:pPr>
        <w:spacing w:before="240"/>
        <w:jc w:val="both"/>
      </w:pPr>
      <w:r>
        <w:t xml:space="preserve">This performance bond is posted in the context of the Law of 17 June 2016 on public contracts and on certain works, </w:t>
      </w:r>
      <w:proofErr w:type="gramStart"/>
      <w:r>
        <w:t>supply</w:t>
      </w:r>
      <w:proofErr w:type="gramEnd"/>
      <w:r>
        <w:t xml:space="preserve"> and service contracts and in conformity with the General Implementing Rules (GIR) provided in the Royal Decree of 14 January 2013 establishing the general implementing rules of public contracts and the award of public works.</w:t>
      </w:r>
    </w:p>
    <w:p w14:paraId="2B98833E" w14:textId="77777777" w:rsidR="004F07DF" w:rsidRDefault="004F07DF" w:rsidP="004F07DF">
      <w:pPr>
        <w:spacing w:before="240"/>
        <w:jc w:val="both"/>
      </w:pPr>
      <w:r w:rsidRPr="00F32879">
        <w:rPr>
          <w:highlight w:val="lightGray"/>
        </w:rPr>
        <w:t>X</w:t>
      </w:r>
      <w:r>
        <w:t xml:space="preserve">, </w:t>
      </w:r>
      <w:r w:rsidRPr="00F32879">
        <w:rPr>
          <w:highlight w:val="lightGray"/>
        </w:rPr>
        <w:t xml:space="preserve">address </w:t>
      </w:r>
      <w:r>
        <w:t>(the “Bank”)</w:t>
      </w:r>
    </w:p>
    <w:p w14:paraId="14EFB9F1" w14:textId="77777777" w:rsidR="004F07DF" w:rsidRDefault="004F07DF" w:rsidP="004F07DF">
      <w:pPr>
        <w:spacing w:before="240"/>
        <w:jc w:val="both"/>
      </w:pPr>
      <w:r>
        <w:t>hereby declares posting security for a maximum amount of</w:t>
      </w:r>
    </w:p>
    <w:p w14:paraId="4BBD12EA" w14:textId="77777777" w:rsidR="004F07DF" w:rsidRDefault="004F07DF" w:rsidP="004F07DF">
      <w:pPr>
        <w:spacing w:before="240"/>
        <w:jc w:val="both"/>
      </w:pPr>
      <w:r w:rsidRPr="00F32879">
        <w:rPr>
          <w:highlight w:val="lightGray"/>
        </w:rPr>
        <w:t>X</w:t>
      </w:r>
      <w:r>
        <w:t xml:space="preserve"> </w:t>
      </w:r>
      <w:r w:rsidRPr="00120D3F">
        <w:rPr>
          <w:highlight w:val="yellow"/>
        </w:rPr>
        <w:t>€</w:t>
      </w:r>
      <w:r>
        <w:t xml:space="preserve"> (</w:t>
      </w:r>
      <w:r w:rsidRPr="00F32879">
        <w:rPr>
          <w:highlight w:val="lightGray"/>
        </w:rPr>
        <w:t>X</w:t>
      </w:r>
      <w:r>
        <w:t xml:space="preserve"> </w:t>
      </w:r>
      <w:r w:rsidRPr="00120D3F">
        <w:rPr>
          <w:highlight w:val="yellow"/>
        </w:rPr>
        <w:t>euros</w:t>
      </w:r>
      <w:r>
        <w:t>)</w:t>
      </w:r>
    </w:p>
    <w:p w14:paraId="2F8B75F9" w14:textId="77777777" w:rsidR="004F07DF" w:rsidRDefault="004F07DF" w:rsidP="004F07DF">
      <w:pPr>
        <w:spacing w:before="240"/>
        <w:jc w:val="both"/>
      </w:pPr>
      <w:r>
        <w:t>for the Belgian Development Agency (Enabel)</w:t>
      </w:r>
    </w:p>
    <w:p w14:paraId="14399891" w14:textId="77777777" w:rsidR="004F07DF" w:rsidRDefault="004F07DF" w:rsidP="004F07DF">
      <w:pPr>
        <w:spacing w:before="240"/>
        <w:jc w:val="both"/>
      </w:pPr>
      <w:r>
        <w:t xml:space="preserve">for the obligations of </w:t>
      </w:r>
      <w:r w:rsidRPr="00F32879">
        <w:rPr>
          <w:highlight w:val="lightGray"/>
        </w:rPr>
        <w:t>X</w:t>
      </w:r>
      <w:r>
        <w:t xml:space="preserve">, </w:t>
      </w:r>
      <w:r w:rsidRPr="00F32879">
        <w:rPr>
          <w:highlight w:val="lightGray"/>
        </w:rPr>
        <w:t xml:space="preserve">address </w:t>
      </w:r>
      <w:r>
        <w:t>for the contract:</w:t>
      </w:r>
    </w:p>
    <w:p w14:paraId="009EB49E" w14:textId="77777777" w:rsidR="004F07DF" w:rsidRDefault="004F07DF" w:rsidP="004F07DF">
      <w:pPr>
        <w:spacing w:before="240"/>
        <w:jc w:val="both"/>
      </w:pPr>
      <w:r>
        <w:t>“</w:t>
      </w:r>
      <w:r w:rsidRPr="00120D3F">
        <w:rPr>
          <w:highlight w:val="yellow"/>
        </w:rPr>
        <w:t>X</w:t>
      </w:r>
      <w:r>
        <w:t xml:space="preserve">, tender documents Enabel </w:t>
      </w:r>
      <w:r w:rsidRPr="00120D3F">
        <w:rPr>
          <w:highlight w:val="yellow"/>
        </w:rPr>
        <w:t>&lt;</w:t>
      </w:r>
      <w:r>
        <w:t xml:space="preserve"> </w:t>
      </w:r>
      <w:r w:rsidRPr="00120D3F">
        <w:rPr>
          <w:highlight w:val="yellow"/>
        </w:rPr>
        <w:t>X</w:t>
      </w:r>
      <w:r>
        <w:t>” (the “Contract”).</w:t>
      </w:r>
    </w:p>
    <w:p w14:paraId="6383BEE1" w14:textId="77777777" w:rsidR="004F07DF" w:rsidRDefault="004F07DF" w:rsidP="004F07DF">
      <w:pPr>
        <w:spacing w:before="240"/>
        <w:jc w:val="both"/>
      </w:pPr>
      <w:r>
        <w:t xml:space="preserve">Consequently, the Bank commits, under condition of the beneficiary waiving any right to contest or divide liability, to pay up to the maximum amount, any amount which </w:t>
      </w:r>
      <w:r w:rsidRPr="00F32879">
        <w:rPr>
          <w:highlight w:val="lightGray"/>
        </w:rPr>
        <w:t>X</w:t>
      </w:r>
      <w:r>
        <w:t xml:space="preserve"> may owe to Enabel in case </w:t>
      </w:r>
      <w:r w:rsidRPr="00F32879">
        <w:rPr>
          <w:highlight w:val="lightGray"/>
        </w:rPr>
        <w:t>X</w:t>
      </w:r>
      <w:r>
        <w:t xml:space="preserve"> defaults on the performance of the “Contract”.</w:t>
      </w:r>
    </w:p>
    <w:p w14:paraId="503EA165" w14:textId="77777777" w:rsidR="004F07DF" w:rsidRDefault="004F07DF" w:rsidP="004F07DF">
      <w:pPr>
        <w:spacing w:before="240"/>
        <w:jc w:val="both"/>
      </w:pPr>
      <w:r>
        <w:t xml:space="preserve">This performance bond shall be released in accordance with the provisions of the tender documents Enabel </w:t>
      </w:r>
      <w:r w:rsidRPr="00120D3F">
        <w:rPr>
          <w:highlight w:val="yellow"/>
        </w:rPr>
        <w:t>&lt;</w:t>
      </w:r>
      <w:r>
        <w:t xml:space="preserve"> and of Art. 25-33 of the Royal Decree of 22 June 2017, and at the latest at the expiry of 18 months after the provisional acceptance of the Contract.</w:t>
      </w:r>
    </w:p>
    <w:p w14:paraId="0DC274F7" w14:textId="77777777" w:rsidR="004F07DF" w:rsidRPr="008376F8" w:rsidRDefault="004F07DF" w:rsidP="004F07DF">
      <w:pPr>
        <w:spacing w:before="240"/>
        <w:jc w:val="both"/>
        <w:rPr>
          <w:b/>
        </w:rPr>
      </w:pPr>
      <w:r>
        <w:t xml:space="preserve">Any appeal made to this performance bond must be addressed by registered mail to the Bank </w:t>
      </w:r>
      <w:r w:rsidRPr="00F32879">
        <w:rPr>
          <w:highlight w:val="lightGray"/>
        </w:rPr>
        <w:t>X</w:t>
      </w:r>
      <w:r>
        <w:t xml:space="preserve">, </w:t>
      </w:r>
      <w:r w:rsidRPr="00F32879">
        <w:rPr>
          <w:highlight w:val="lightGray"/>
        </w:rPr>
        <w:t>address</w:t>
      </w:r>
      <w:r>
        <w:t xml:space="preserve">, with mention of the reference: Enabel </w:t>
      </w:r>
      <w:r w:rsidRPr="00BC7741">
        <w:rPr>
          <w:b/>
          <w:highlight w:val="yellow"/>
        </w:rPr>
        <w:t>RWA19009-1</w:t>
      </w:r>
      <w:r w:rsidRPr="00C80C8E">
        <w:rPr>
          <w:b/>
          <w:highlight w:val="yellow"/>
        </w:rPr>
        <w:t>00</w:t>
      </w:r>
      <w:r>
        <w:rPr>
          <w:b/>
          <w:highlight w:val="yellow"/>
        </w:rPr>
        <w:t>64</w:t>
      </w:r>
    </w:p>
    <w:p w14:paraId="780DCFF7" w14:textId="77777777" w:rsidR="004F07DF" w:rsidRDefault="004F07DF" w:rsidP="004F07DF">
      <w:pPr>
        <w:spacing w:before="240"/>
        <w:jc w:val="both"/>
      </w:pPr>
      <w:r>
        <w:t>Any payment made from this performance bond will ipso jure reduce the amount secured by the Bank.</w:t>
      </w:r>
    </w:p>
    <w:p w14:paraId="44F02553" w14:textId="77777777" w:rsidR="004F07DF" w:rsidRDefault="004F07DF" w:rsidP="004F07DF">
      <w:pPr>
        <w:spacing w:before="240"/>
        <w:jc w:val="both"/>
      </w:pPr>
      <w:r>
        <w:t>The performance bond is governed by the Belgian Law and only Belgian courts are competent in case of litigation.</w:t>
      </w:r>
    </w:p>
    <w:p w14:paraId="4BD4BEE3" w14:textId="77777777" w:rsidR="004F07DF" w:rsidRDefault="004F07DF" w:rsidP="004F07DF">
      <w:pPr>
        <w:spacing w:before="240"/>
        <w:jc w:val="both"/>
      </w:pPr>
      <w:r>
        <w:t xml:space="preserve">Done in </w:t>
      </w:r>
      <w:r w:rsidRPr="00F32879">
        <w:rPr>
          <w:highlight w:val="lightGray"/>
        </w:rPr>
        <w:t>X</w:t>
      </w:r>
      <w:r>
        <w:tab/>
      </w:r>
      <w:r>
        <w:tab/>
        <w:t xml:space="preserve">on </w:t>
      </w:r>
      <w:r w:rsidRPr="00F32879">
        <w:rPr>
          <w:highlight w:val="lightGray"/>
        </w:rPr>
        <w:t>X</w:t>
      </w:r>
    </w:p>
    <w:p w14:paraId="3BABED39" w14:textId="77777777" w:rsidR="004F07DF" w:rsidRDefault="004F07DF" w:rsidP="004F07DF">
      <w:pPr>
        <w:spacing w:before="240"/>
        <w:jc w:val="right"/>
      </w:pPr>
      <w:r>
        <w:t>Signature:</w:t>
      </w:r>
    </w:p>
    <w:p w14:paraId="4DB8669E" w14:textId="77777777" w:rsidR="004F07DF" w:rsidRDefault="004F07DF" w:rsidP="004F07DF">
      <w:pPr>
        <w:spacing w:before="240"/>
        <w:jc w:val="right"/>
      </w:pPr>
      <w:r>
        <w:t>Name:</w:t>
      </w:r>
    </w:p>
    <w:p w14:paraId="36459D1B" w14:textId="77777777" w:rsidR="004F07DF" w:rsidRPr="00120D3F" w:rsidRDefault="004F07DF" w:rsidP="004F07DF">
      <w:pPr>
        <w:spacing w:before="240"/>
        <w:jc w:val="right"/>
      </w:pPr>
      <w:r>
        <w:t>………………………………………………</w:t>
      </w:r>
    </w:p>
    <w:p w14:paraId="27A8E941" w14:textId="77777777" w:rsidR="004F07DF" w:rsidRDefault="004F07DF" w:rsidP="004F07DF">
      <w:pPr>
        <w:rPr>
          <w:rFonts w:ascii="Calibri" w:eastAsia="Times New Roman" w:hAnsi="Calibri"/>
          <w:sz w:val="28"/>
          <w:szCs w:val="26"/>
        </w:rPr>
      </w:pPr>
    </w:p>
    <w:p w14:paraId="1609314A" w14:textId="77777777" w:rsidR="004F07DF" w:rsidRDefault="004F07DF" w:rsidP="004F07DF">
      <w:pPr>
        <w:rPr>
          <w:rFonts w:ascii="Calibri" w:eastAsia="Times New Roman" w:hAnsi="Calibri"/>
          <w:sz w:val="28"/>
          <w:szCs w:val="26"/>
        </w:rPr>
      </w:pPr>
    </w:p>
    <w:p w14:paraId="79B4B314" w14:textId="77777777" w:rsidR="004F07DF" w:rsidRPr="00F32879" w:rsidRDefault="004F07DF" w:rsidP="004F07DF">
      <w:pPr>
        <w:rPr>
          <w:rFonts w:ascii="Calibri" w:eastAsia="Times New Roman" w:hAnsi="Calibri"/>
          <w:sz w:val="28"/>
          <w:szCs w:val="26"/>
        </w:rPr>
        <w:sectPr w:rsidR="004F07DF" w:rsidRPr="00F32879" w:rsidSect="004223E4">
          <w:pgSz w:w="11906" w:h="16838"/>
          <w:pgMar w:top="993" w:right="1133" w:bottom="851" w:left="1871" w:header="709" w:footer="709" w:gutter="0"/>
          <w:cols w:space="708"/>
          <w:titlePg/>
          <w:docGrid w:linePitch="360"/>
        </w:sectPr>
      </w:pPr>
    </w:p>
    <w:p w14:paraId="2447063F" w14:textId="77777777" w:rsidR="004F07DF" w:rsidRPr="004F623F" w:rsidRDefault="004F07DF" w:rsidP="004F07DF">
      <w:pPr>
        <w:keepNext/>
        <w:keepLines/>
        <w:spacing w:before="120" w:after="120" w:line="240" w:lineRule="auto"/>
        <w:ind w:left="576" w:hanging="576"/>
        <w:outlineLvl w:val="1"/>
        <w:rPr>
          <w:rFonts w:ascii="Calibri" w:eastAsia="Times New Roman" w:hAnsi="Calibri"/>
          <w:b/>
          <w:color w:val="D81A1A"/>
          <w:sz w:val="28"/>
          <w:szCs w:val="26"/>
        </w:rPr>
      </w:pPr>
      <w:bookmarkStart w:id="203" w:name="_Toc117027541"/>
      <w:r w:rsidRPr="004F623F">
        <w:rPr>
          <w:rFonts w:ascii="Calibri" w:eastAsia="Times New Roman" w:hAnsi="Calibri"/>
          <w:b/>
          <w:color w:val="D81A1A"/>
          <w:sz w:val="28"/>
          <w:szCs w:val="26"/>
        </w:rPr>
        <w:lastRenderedPageBreak/>
        <w:t>Other documents to be provided</w:t>
      </w:r>
      <w:bookmarkEnd w:id="199"/>
      <w:bookmarkEnd w:id="200"/>
      <w:bookmarkEnd w:id="203"/>
    </w:p>
    <w:p w14:paraId="53C75BA7" w14:textId="77777777" w:rsidR="004F07DF" w:rsidRPr="004F623F" w:rsidRDefault="004F07DF" w:rsidP="004F07DF"/>
    <w:p w14:paraId="2213FB6C" w14:textId="77777777" w:rsidR="004F07DF" w:rsidRPr="004F623F" w:rsidRDefault="004F07DF" w:rsidP="004F07DF">
      <w:pPr>
        <w:pStyle w:val="Heading2"/>
        <w:numPr>
          <w:ilvl w:val="1"/>
          <w:numId w:val="46"/>
        </w:numPr>
        <w:spacing w:before="240" w:after="240"/>
      </w:pPr>
      <w:bookmarkStart w:id="204" w:name="_Toc54012490"/>
      <w:bookmarkStart w:id="205" w:name="_Toc67483554"/>
      <w:bookmarkStart w:id="206" w:name="_Toc69897061"/>
      <w:bookmarkStart w:id="207" w:name="_Toc117027542"/>
      <w:r w:rsidRPr="004F623F">
        <w:t>Power of attorney</w:t>
      </w:r>
      <w:bookmarkEnd w:id="204"/>
      <w:bookmarkEnd w:id="205"/>
      <w:bookmarkEnd w:id="206"/>
      <w:bookmarkEnd w:id="207"/>
    </w:p>
    <w:p w14:paraId="73A12B55" w14:textId="77777777" w:rsidR="004F07DF" w:rsidRPr="004F623F" w:rsidRDefault="004F07DF" w:rsidP="004F07DF">
      <w:pPr>
        <w:jc w:val="both"/>
        <w:rPr>
          <w:color w:val="auto"/>
        </w:rPr>
      </w:pPr>
      <w:r w:rsidRPr="004F623F">
        <w:rPr>
          <w:color w:val="auto"/>
        </w:rPr>
        <w:t xml:space="preserve">The Bidder shall include in his tender the </w:t>
      </w:r>
      <w:r w:rsidRPr="004F623F">
        <w:rPr>
          <w:b/>
          <w:color w:val="auto"/>
        </w:rPr>
        <w:t>power of attorney empowering the person signing the bid</w:t>
      </w:r>
      <w:r w:rsidRPr="004F623F">
        <w:rPr>
          <w:color w:val="auto"/>
        </w:rPr>
        <w:t xml:space="preserve"> on behalf of the company, joint </w:t>
      </w:r>
      <w:proofErr w:type="gramStart"/>
      <w:r w:rsidRPr="004F623F">
        <w:rPr>
          <w:color w:val="auto"/>
        </w:rPr>
        <w:t>venture</w:t>
      </w:r>
      <w:proofErr w:type="gramEnd"/>
      <w:r w:rsidRPr="004F623F">
        <w:rPr>
          <w:color w:val="auto"/>
        </w:rPr>
        <w:t xml:space="preserve"> or consortium.</w:t>
      </w:r>
    </w:p>
    <w:p w14:paraId="09085890" w14:textId="77777777" w:rsidR="004F07DF" w:rsidRPr="00E45A96" w:rsidRDefault="004F07DF" w:rsidP="004F07DF">
      <w:pPr>
        <w:jc w:val="both"/>
        <w:rPr>
          <w:color w:val="auto"/>
        </w:rPr>
      </w:pPr>
      <w:r w:rsidRPr="004F623F">
        <w:rPr>
          <w:color w:val="auto"/>
        </w:rPr>
        <w:t xml:space="preserve">In case of a </w:t>
      </w:r>
      <w:r w:rsidRPr="004F623F">
        <w:rPr>
          <w:b/>
          <w:color w:val="auto"/>
        </w:rPr>
        <w:t>consortium</w:t>
      </w:r>
      <w:r w:rsidRPr="004F623F">
        <w:rPr>
          <w:color w:val="auto"/>
        </w:rPr>
        <w:t xml:space="preserve"> or a </w:t>
      </w:r>
      <w:r w:rsidRPr="004F623F">
        <w:rPr>
          <w:b/>
          <w:color w:val="auto"/>
        </w:rPr>
        <w:t>temporary association</w:t>
      </w:r>
      <w:r w:rsidRPr="004F623F">
        <w:rPr>
          <w:color w:val="auto"/>
        </w:rPr>
        <w:t>, the joint bid must specify the role of each member of the consortium. A group leader must be designated, and the power of attorney must be completed accordingly.</w:t>
      </w:r>
    </w:p>
    <w:p w14:paraId="203A4962" w14:textId="77777777" w:rsidR="004F07DF" w:rsidRPr="004F623F" w:rsidRDefault="004F07DF" w:rsidP="004F07DF">
      <w:pPr>
        <w:pStyle w:val="Heading2"/>
        <w:numPr>
          <w:ilvl w:val="1"/>
          <w:numId w:val="46"/>
        </w:numPr>
      </w:pPr>
      <w:bookmarkStart w:id="208" w:name="_Toc54012491"/>
      <w:bookmarkStart w:id="209" w:name="_Toc67483555"/>
      <w:bookmarkStart w:id="210" w:name="_Toc69897062"/>
      <w:bookmarkStart w:id="211" w:name="_Toc117027543"/>
      <w:r w:rsidRPr="004F623F">
        <w:t>Incorporation certificate</w:t>
      </w:r>
      <w:bookmarkEnd w:id="208"/>
      <w:bookmarkEnd w:id="209"/>
      <w:bookmarkEnd w:id="210"/>
      <w:bookmarkEnd w:id="211"/>
    </w:p>
    <w:p w14:paraId="771DE97F" w14:textId="77777777" w:rsidR="004F07DF" w:rsidRDefault="18348483" w:rsidP="004F07DF">
      <w:pPr>
        <w:jc w:val="both"/>
        <w:rPr>
          <w:color w:val="auto"/>
        </w:rPr>
      </w:pPr>
      <w:r w:rsidRPr="004F623F">
        <w:rPr>
          <w:color w:val="auto"/>
        </w:rPr>
        <w:t xml:space="preserve">The Bidder shall include in his tender the </w:t>
      </w:r>
      <w:r w:rsidRPr="20F9238C">
        <w:rPr>
          <w:b/>
          <w:bCs/>
          <w:color w:val="auto"/>
        </w:rPr>
        <w:t>incorporation certificate</w:t>
      </w:r>
      <w:bookmarkStart w:id="212" w:name="_Ref503362695"/>
      <w:r w:rsidRPr="20F9238C">
        <w:rPr>
          <w:b/>
          <w:bCs/>
          <w:color w:val="auto"/>
        </w:rPr>
        <w:t>/trading license</w:t>
      </w:r>
      <w:r w:rsidR="004F07DF" w:rsidRPr="004F623F">
        <w:rPr>
          <w:color w:val="auto"/>
          <w:vertAlign w:val="superscript"/>
        </w:rPr>
        <w:footnoteReference w:id="20"/>
      </w:r>
      <w:bookmarkEnd w:id="212"/>
      <w:r w:rsidRPr="004F623F">
        <w:rPr>
          <w:color w:val="auto"/>
        </w:rPr>
        <w:t xml:space="preserve"> from the competent authority.</w:t>
      </w:r>
    </w:p>
    <w:p w14:paraId="5193B67B" w14:textId="77777777" w:rsidR="004F07DF" w:rsidRDefault="004F07DF" w:rsidP="004F07DF">
      <w:pPr>
        <w:pStyle w:val="Heading2"/>
        <w:numPr>
          <w:ilvl w:val="1"/>
          <w:numId w:val="46"/>
        </w:numPr>
      </w:pPr>
      <w:bookmarkStart w:id="213" w:name="_Toc117027544"/>
      <w:r w:rsidRPr="00E45A96">
        <w:t>VAT Registration certificate</w:t>
      </w:r>
      <w:bookmarkEnd w:id="213"/>
    </w:p>
    <w:p w14:paraId="2ACC6493" w14:textId="77777777" w:rsidR="004F07DF" w:rsidRPr="007A455D" w:rsidRDefault="004F07DF" w:rsidP="004F07DF">
      <w:pPr>
        <w:pStyle w:val="Heading2"/>
        <w:numPr>
          <w:ilvl w:val="1"/>
          <w:numId w:val="46"/>
        </w:numPr>
      </w:pPr>
      <w:bookmarkStart w:id="214" w:name="_Toc117027545"/>
      <w:proofErr w:type="gramStart"/>
      <w:r>
        <w:t>Non Bankruptcy</w:t>
      </w:r>
      <w:proofErr w:type="gramEnd"/>
      <w:r>
        <w:t xml:space="preserve"> certificate</w:t>
      </w:r>
      <w:bookmarkEnd w:id="214"/>
    </w:p>
    <w:p w14:paraId="7E3B37B6" w14:textId="77777777" w:rsidR="004F07DF" w:rsidRPr="004F623F" w:rsidRDefault="004F07DF" w:rsidP="004F07DF">
      <w:pPr>
        <w:pStyle w:val="Heading2"/>
        <w:numPr>
          <w:ilvl w:val="1"/>
          <w:numId w:val="46"/>
        </w:numPr>
      </w:pPr>
      <w:bookmarkStart w:id="215" w:name="_Toc54012492"/>
      <w:bookmarkStart w:id="216" w:name="_Toc67483556"/>
      <w:bookmarkStart w:id="217" w:name="_Toc69897063"/>
      <w:bookmarkStart w:id="218" w:name="_Toc117027546"/>
      <w:r w:rsidRPr="004F623F">
        <w:t>Certification of clearance with regards to the payments of social security contributions</w:t>
      </w:r>
      <w:bookmarkEnd w:id="215"/>
      <w:bookmarkEnd w:id="216"/>
      <w:bookmarkEnd w:id="217"/>
      <w:bookmarkEnd w:id="218"/>
    </w:p>
    <w:p w14:paraId="40D538EE" w14:textId="77777777" w:rsidR="004F07DF" w:rsidRPr="00E45A96" w:rsidRDefault="004F07DF" w:rsidP="004F07DF">
      <w:pPr>
        <w:spacing w:before="240"/>
        <w:jc w:val="both"/>
        <w:rPr>
          <w:color w:val="auto"/>
        </w:rPr>
      </w:pPr>
      <w:r w:rsidRPr="004F623F">
        <w:rPr>
          <w:color w:val="auto"/>
        </w:rPr>
        <w:t>At the latest before award, the Bidder must provide a certification</w:t>
      </w:r>
      <w:r w:rsidRPr="004F623F">
        <w:rPr>
          <w:color w:val="auto"/>
          <w:vertAlign w:val="superscript"/>
        </w:rPr>
        <w:fldChar w:fldCharType="begin"/>
      </w:r>
      <w:r w:rsidRPr="004F623F">
        <w:rPr>
          <w:color w:val="auto"/>
          <w:vertAlign w:val="superscript"/>
        </w:rPr>
        <w:instrText xml:space="preserve"> NOTEREF _Ref503362695 \h  \* MERGEFORMAT </w:instrText>
      </w:r>
      <w:r w:rsidRPr="004F623F">
        <w:rPr>
          <w:color w:val="auto"/>
          <w:vertAlign w:val="superscript"/>
        </w:rPr>
      </w:r>
      <w:r w:rsidRPr="004F623F">
        <w:rPr>
          <w:color w:val="auto"/>
          <w:vertAlign w:val="superscript"/>
        </w:rPr>
        <w:fldChar w:fldCharType="separate"/>
      </w:r>
      <w:r>
        <w:rPr>
          <w:color w:val="auto"/>
          <w:vertAlign w:val="superscript"/>
        </w:rPr>
        <w:t>14</w:t>
      </w:r>
      <w:r w:rsidRPr="004F623F">
        <w:rPr>
          <w:color w:val="auto"/>
          <w:vertAlign w:val="superscript"/>
        </w:rPr>
        <w:fldChar w:fldCharType="end"/>
      </w:r>
      <w:r w:rsidRPr="004F623F">
        <w:rPr>
          <w:color w:val="auto"/>
        </w:rPr>
        <w:t xml:space="preserve"> from the competent authority stating that he is </w:t>
      </w:r>
      <w:r w:rsidRPr="004F623F">
        <w:rPr>
          <w:b/>
          <w:color w:val="auto"/>
        </w:rPr>
        <w:t>in order with its obligations with regards to the payments of social security contributions</w:t>
      </w:r>
      <w:r w:rsidRPr="004F623F">
        <w:rPr>
          <w:color w:val="auto"/>
        </w:rPr>
        <w:t xml:space="preserve"> that apply by law in the country of establishment. The Bidder registered in Belgium must be </w:t>
      </w:r>
      <w:proofErr w:type="gramStart"/>
      <w:r w:rsidRPr="004F623F">
        <w:rPr>
          <w:color w:val="auto"/>
        </w:rPr>
        <w:t>in order for</w:t>
      </w:r>
      <w:proofErr w:type="gramEnd"/>
      <w:r w:rsidRPr="004F623F">
        <w:rPr>
          <w:color w:val="auto"/>
        </w:rPr>
        <w:t xml:space="preserve"> the </w:t>
      </w:r>
      <w:r>
        <w:rPr>
          <w:b/>
          <w:color w:val="auto"/>
        </w:rPr>
        <w:t>1</w:t>
      </w:r>
      <w:r w:rsidRPr="00AB518B">
        <w:rPr>
          <w:b/>
          <w:color w:val="auto"/>
          <w:vertAlign w:val="superscript"/>
        </w:rPr>
        <w:t>st</w:t>
      </w:r>
      <w:r>
        <w:rPr>
          <w:b/>
          <w:color w:val="auto"/>
        </w:rPr>
        <w:t xml:space="preserve"> term of 2021</w:t>
      </w:r>
      <w:r w:rsidRPr="004F623F">
        <w:rPr>
          <w:b/>
          <w:color w:val="auto"/>
        </w:rPr>
        <w:t>.</w:t>
      </w:r>
    </w:p>
    <w:p w14:paraId="4EF5C705" w14:textId="77777777" w:rsidR="004F07DF" w:rsidRPr="004F623F" w:rsidRDefault="004F07DF" w:rsidP="004F07DF">
      <w:pPr>
        <w:pStyle w:val="Heading2"/>
        <w:numPr>
          <w:ilvl w:val="1"/>
          <w:numId w:val="46"/>
        </w:numPr>
      </w:pPr>
      <w:bookmarkStart w:id="219" w:name="_Toc54012493"/>
      <w:bookmarkStart w:id="220" w:name="_Toc67483557"/>
      <w:bookmarkStart w:id="221" w:name="_Toc69897064"/>
      <w:bookmarkStart w:id="222" w:name="_Toc117027547"/>
      <w:r w:rsidRPr="004F623F">
        <w:t>Certification of clearance with regards to the payments of applicable taxes</w:t>
      </w:r>
      <w:bookmarkEnd w:id="219"/>
      <w:bookmarkEnd w:id="220"/>
      <w:bookmarkEnd w:id="221"/>
      <w:bookmarkEnd w:id="222"/>
    </w:p>
    <w:p w14:paraId="45E0EC5F" w14:textId="77777777" w:rsidR="004F07DF" w:rsidRDefault="004F07DF" w:rsidP="004F07DF">
      <w:pPr>
        <w:jc w:val="both"/>
        <w:rPr>
          <w:color w:val="auto"/>
        </w:rPr>
      </w:pPr>
      <w:r w:rsidRPr="004F623F">
        <w:rPr>
          <w:color w:val="auto"/>
        </w:rPr>
        <w:t xml:space="preserve">At the latest before award, the bidder must provide a </w:t>
      </w:r>
      <w:r w:rsidRPr="004F623F">
        <w:rPr>
          <w:b/>
          <w:color w:val="auto"/>
        </w:rPr>
        <w:t>recent certification</w:t>
      </w:r>
      <w:r w:rsidRPr="004F623F">
        <w:rPr>
          <w:color w:val="auto"/>
          <w:vertAlign w:val="superscript"/>
        </w:rPr>
        <w:fldChar w:fldCharType="begin"/>
      </w:r>
      <w:r w:rsidRPr="004F623F">
        <w:rPr>
          <w:color w:val="auto"/>
          <w:vertAlign w:val="superscript"/>
        </w:rPr>
        <w:instrText xml:space="preserve"> NOTEREF _Ref503362695 \h  \* MERGEFORMAT </w:instrText>
      </w:r>
      <w:r w:rsidRPr="004F623F">
        <w:rPr>
          <w:color w:val="auto"/>
          <w:vertAlign w:val="superscript"/>
        </w:rPr>
      </w:r>
      <w:r w:rsidRPr="004F623F">
        <w:rPr>
          <w:color w:val="auto"/>
          <w:vertAlign w:val="superscript"/>
        </w:rPr>
        <w:fldChar w:fldCharType="separate"/>
      </w:r>
      <w:r>
        <w:rPr>
          <w:color w:val="auto"/>
          <w:vertAlign w:val="superscript"/>
        </w:rPr>
        <w:t>14</w:t>
      </w:r>
      <w:r w:rsidRPr="004F623F">
        <w:rPr>
          <w:color w:val="auto"/>
          <w:vertAlign w:val="superscript"/>
        </w:rPr>
        <w:fldChar w:fldCharType="end"/>
      </w:r>
      <w:r w:rsidRPr="004F623F">
        <w:rPr>
          <w:color w:val="auto"/>
        </w:rPr>
        <w:t xml:space="preserve"> (up to 6 months) from the competent authority stating that the bidder is </w:t>
      </w:r>
      <w:r w:rsidRPr="004F623F">
        <w:rPr>
          <w:b/>
          <w:color w:val="auto"/>
        </w:rPr>
        <w:t>in order with the payment of applicable taxes</w:t>
      </w:r>
      <w:r w:rsidRPr="004F623F">
        <w:rPr>
          <w:color w:val="auto"/>
        </w:rPr>
        <w:t xml:space="preserve"> that apply by law in the country of establishment.</w:t>
      </w:r>
    </w:p>
    <w:p w14:paraId="60D8E561" w14:textId="77777777" w:rsidR="004F07DF" w:rsidRPr="00C44D66" w:rsidRDefault="004F07DF" w:rsidP="004F07DF">
      <w:pPr>
        <w:pStyle w:val="Heading2"/>
        <w:numPr>
          <w:ilvl w:val="1"/>
          <w:numId w:val="46"/>
        </w:numPr>
        <w:rPr>
          <w:rFonts w:eastAsia="MS Gothic"/>
        </w:rPr>
      </w:pPr>
      <w:bookmarkStart w:id="223" w:name="_Toc54012494"/>
      <w:bookmarkStart w:id="224" w:name="_Toc67483558"/>
      <w:bookmarkStart w:id="225" w:name="_Toc69897065"/>
      <w:bookmarkStart w:id="226" w:name="_Toc117027548"/>
      <w:r w:rsidRPr="00C44D66">
        <w:rPr>
          <w:rFonts w:eastAsia="MS Gothic"/>
        </w:rPr>
        <w:t>List of the similar assignment</w:t>
      </w:r>
      <w:bookmarkEnd w:id="223"/>
      <w:bookmarkEnd w:id="224"/>
      <w:bookmarkEnd w:id="225"/>
      <w:r w:rsidRPr="00C44D66">
        <w:rPr>
          <w:rFonts w:eastAsia="MS Gothic"/>
        </w:rPr>
        <w:t>s</w:t>
      </w:r>
      <w:bookmarkEnd w:id="226"/>
    </w:p>
    <w:p w14:paraId="7BE4B784" w14:textId="77777777" w:rsidR="004F07DF" w:rsidRPr="00C44D66" w:rsidRDefault="004F07DF" w:rsidP="004F07DF">
      <w:pPr>
        <w:spacing w:before="160"/>
        <w:jc w:val="both"/>
        <w:rPr>
          <w:rFonts w:cs="Arial"/>
          <w:color w:val="auto"/>
        </w:rPr>
      </w:pPr>
      <w:r w:rsidRPr="00C44D66">
        <w:rPr>
          <w:rFonts w:cs="Arial"/>
          <w:color w:val="auto"/>
        </w:rPr>
        <w:t xml:space="preserve">Bidder must provide in his bid the list of the </w:t>
      </w:r>
      <w:r w:rsidRPr="00C44D66">
        <w:rPr>
          <w:rFonts w:cs="Arial"/>
          <w:b/>
          <w:color w:val="auto"/>
        </w:rPr>
        <w:t xml:space="preserve">main similar services (min. 2) performed in the last </w:t>
      </w:r>
      <w:r>
        <w:rPr>
          <w:rFonts w:cs="Arial"/>
          <w:b/>
          <w:color w:val="auto"/>
        </w:rPr>
        <w:t>5</w:t>
      </w:r>
      <w:r w:rsidRPr="00C44D66">
        <w:rPr>
          <w:rFonts w:cs="Arial"/>
          <w:b/>
          <w:color w:val="auto"/>
        </w:rPr>
        <w:t xml:space="preserve"> years</w:t>
      </w:r>
      <w:r w:rsidRPr="00C44D66">
        <w:rPr>
          <w:rFonts w:cs="Arial"/>
          <w:color w:val="auto"/>
        </w:rPr>
        <w:t>, including the amount involved and the relevant dates, and the public or private bodies on behalf of which they were carried out showing that the Bidder has experience in delivering those supplies. The minimum total amount of each delivery during the last 10 years must equal or greater to the amount of this bid in euros.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1403"/>
        <w:gridCol w:w="1487"/>
        <w:gridCol w:w="1624"/>
        <w:gridCol w:w="1455"/>
      </w:tblGrid>
      <w:tr w:rsidR="004F07DF" w:rsidRPr="004F623F" w14:paraId="285E7269" w14:textId="77777777" w:rsidTr="009F6F46">
        <w:tc>
          <w:tcPr>
            <w:tcW w:w="2923" w:type="dxa"/>
            <w:shd w:val="pct10" w:color="auto" w:fill="auto"/>
            <w:vAlign w:val="center"/>
          </w:tcPr>
          <w:p w14:paraId="106137C5" w14:textId="77777777" w:rsidR="004F07DF" w:rsidRPr="00C44D66" w:rsidRDefault="004F07DF" w:rsidP="009F6F46">
            <w:pPr>
              <w:spacing w:before="60" w:after="60"/>
              <w:jc w:val="center"/>
              <w:rPr>
                <w:rFonts w:eastAsia="MS Mincho"/>
                <w:b/>
                <w:color w:val="auto"/>
                <w:sz w:val="20"/>
                <w:szCs w:val="24"/>
                <w:lang w:val="en-US"/>
              </w:rPr>
            </w:pPr>
            <w:r w:rsidRPr="00C44D66">
              <w:rPr>
                <w:rFonts w:eastAsia="MS Mincho"/>
                <w:b/>
                <w:color w:val="auto"/>
                <w:sz w:val="20"/>
                <w:szCs w:val="24"/>
                <w:lang w:val="en-US"/>
              </w:rPr>
              <w:t>Description of the main similar supply deliveries</w:t>
            </w:r>
          </w:p>
        </w:tc>
        <w:tc>
          <w:tcPr>
            <w:tcW w:w="1403" w:type="dxa"/>
            <w:shd w:val="pct10" w:color="auto" w:fill="auto"/>
            <w:vAlign w:val="center"/>
          </w:tcPr>
          <w:p w14:paraId="7CA53AEF" w14:textId="77777777" w:rsidR="004F07DF" w:rsidRPr="00C44D66" w:rsidRDefault="004F07DF" w:rsidP="009F6F46">
            <w:pPr>
              <w:spacing w:before="60" w:after="60"/>
              <w:jc w:val="center"/>
              <w:rPr>
                <w:rFonts w:eastAsia="MS Mincho"/>
                <w:b/>
                <w:color w:val="auto"/>
                <w:sz w:val="20"/>
                <w:szCs w:val="24"/>
                <w:lang w:val="en-US"/>
              </w:rPr>
            </w:pPr>
            <w:r w:rsidRPr="00C44D66">
              <w:rPr>
                <w:rFonts w:eastAsia="MS Mincho"/>
                <w:b/>
                <w:color w:val="auto"/>
                <w:sz w:val="20"/>
                <w:szCs w:val="24"/>
                <w:lang w:val="en-US"/>
              </w:rPr>
              <w:t>Delivery places</w:t>
            </w:r>
          </w:p>
        </w:tc>
        <w:tc>
          <w:tcPr>
            <w:tcW w:w="1487" w:type="dxa"/>
            <w:shd w:val="pct10" w:color="auto" w:fill="auto"/>
            <w:vAlign w:val="center"/>
          </w:tcPr>
          <w:p w14:paraId="69D2CFC5" w14:textId="77777777" w:rsidR="004F07DF" w:rsidRPr="00C44D66" w:rsidRDefault="004F07DF" w:rsidP="009F6F46">
            <w:pPr>
              <w:spacing w:before="60" w:after="60"/>
              <w:jc w:val="center"/>
              <w:rPr>
                <w:rFonts w:eastAsia="MS Mincho"/>
                <w:b/>
                <w:color w:val="auto"/>
                <w:sz w:val="20"/>
                <w:szCs w:val="24"/>
                <w:lang w:val="en-US"/>
              </w:rPr>
            </w:pPr>
            <w:r w:rsidRPr="00C44D66">
              <w:rPr>
                <w:rFonts w:eastAsia="MS Mincho"/>
                <w:b/>
                <w:color w:val="auto"/>
                <w:sz w:val="20"/>
                <w:szCs w:val="24"/>
                <w:lang w:val="en-US"/>
              </w:rPr>
              <w:t>Amount involved</w:t>
            </w:r>
          </w:p>
        </w:tc>
        <w:tc>
          <w:tcPr>
            <w:tcW w:w="1624" w:type="dxa"/>
            <w:shd w:val="pct10" w:color="auto" w:fill="auto"/>
            <w:vAlign w:val="center"/>
          </w:tcPr>
          <w:p w14:paraId="5779969A" w14:textId="77777777" w:rsidR="004F07DF" w:rsidRPr="00C44D66" w:rsidRDefault="004F07DF" w:rsidP="009F6F46">
            <w:pPr>
              <w:spacing w:before="60" w:after="60"/>
              <w:jc w:val="center"/>
              <w:rPr>
                <w:rFonts w:eastAsia="MS Mincho"/>
                <w:b/>
                <w:color w:val="auto"/>
                <w:sz w:val="20"/>
                <w:szCs w:val="24"/>
                <w:lang w:val="en-US"/>
              </w:rPr>
            </w:pPr>
            <w:r w:rsidRPr="00C44D66">
              <w:rPr>
                <w:rFonts w:eastAsia="MS Mincho"/>
                <w:b/>
                <w:color w:val="auto"/>
                <w:sz w:val="20"/>
                <w:szCs w:val="24"/>
                <w:lang w:val="en-US"/>
              </w:rPr>
              <w:t>Relevant dates in the last 10 years</w:t>
            </w:r>
          </w:p>
        </w:tc>
        <w:tc>
          <w:tcPr>
            <w:tcW w:w="1455" w:type="dxa"/>
            <w:shd w:val="pct10" w:color="auto" w:fill="auto"/>
            <w:vAlign w:val="center"/>
          </w:tcPr>
          <w:p w14:paraId="6E936A35" w14:textId="77777777" w:rsidR="004F07DF" w:rsidRPr="00C44D66" w:rsidRDefault="004F07DF" w:rsidP="009F6F46">
            <w:pPr>
              <w:spacing w:before="60" w:after="60"/>
              <w:jc w:val="center"/>
              <w:rPr>
                <w:rFonts w:eastAsia="MS Mincho"/>
                <w:b/>
                <w:color w:val="auto"/>
                <w:sz w:val="20"/>
                <w:szCs w:val="24"/>
                <w:lang w:val="en-US"/>
              </w:rPr>
            </w:pPr>
            <w:r w:rsidRPr="00C44D66">
              <w:rPr>
                <w:rFonts w:eastAsia="MS Mincho"/>
                <w:b/>
                <w:color w:val="auto"/>
                <w:sz w:val="20"/>
                <w:szCs w:val="24"/>
                <w:lang w:val="en-US"/>
              </w:rPr>
              <w:t>Name of the Client</w:t>
            </w:r>
          </w:p>
        </w:tc>
      </w:tr>
      <w:tr w:rsidR="004F07DF" w:rsidRPr="004F623F" w14:paraId="1FE81F6B" w14:textId="77777777" w:rsidTr="009F6F46">
        <w:tc>
          <w:tcPr>
            <w:tcW w:w="2923" w:type="dxa"/>
            <w:shd w:val="clear" w:color="auto" w:fill="auto"/>
            <w:vAlign w:val="center"/>
          </w:tcPr>
          <w:p w14:paraId="4A57E310" w14:textId="77777777" w:rsidR="004F07DF" w:rsidRPr="00C44D66" w:rsidRDefault="004F07DF" w:rsidP="009F6F46">
            <w:pPr>
              <w:spacing w:before="60" w:after="60"/>
              <w:rPr>
                <w:rFonts w:eastAsia="MS Mincho"/>
                <w:b/>
                <w:color w:val="auto"/>
                <w:sz w:val="20"/>
                <w:szCs w:val="24"/>
                <w:lang w:val="en-US"/>
              </w:rPr>
            </w:pPr>
          </w:p>
        </w:tc>
        <w:tc>
          <w:tcPr>
            <w:tcW w:w="1403" w:type="dxa"/>
            <w:shd w:val="clear" w:color="auto" w:fill="auto"/>
            <w:vAlign w:val="center"/>
          </w:tcPr>
          <w:p w14:paraId="28AEAA24" w14:textId="77777777" w:rsidR="004F07DF" w:rsidRPr="00C44D66" w:rsidRDefault="004F07DF" w:rsidP="009F6F46">
            <w:pPr>
              <w:spacing w:before="60" w:after="60"/>
              <w:rPr>
                <w:rFonts w:eastAsia="MS Mincho"/>
                <w:b/>
                <w:color w:val="auto"/>
                <w:sz w:val="20"/>
                <w:szCs w:val="24"/>
                <w:lang w:val="en-US"/>
              </w:rPr>
            </w:pPr>
          </w:p>
        </w:tc>
        <w:tc>
          <w:tcPr>
            <w:tcW w:w="1487" w:type="dxa"/>
            <w:shd w:val="clear" w:color="auto" w:fill="auto"/>
            <w:vAlign w:val="center"/>
          </w:tcPr>
          <w:p w14:paraId="4FC1EBF0" w14:textId="77777777" w:rsidR="004F07DF" w:rsidRPr="00C44D66" w:rsidRDefault="004F07DF" w:rsidP="009F6F46">
            <w:pPr>
              <w:spacing w:before="60" w:after="60"/>
              <w:rPr>
                <w:rFonts w:eastAsia="MS Mincho"/>
                <w:b/>
                <w:color w:val="auto"/>
                <w:sz w:val="20"/>
                <w:szCs w:val="24"/>
                <w:lang w:val="en-US"/>
              </w:rPr>
            </w:pPr>
          </w:p>
        </w:tc>
        <w:tc>
          <w:tcPr>
            <w:tcW w:w="1624" w:type="dxa"/>
            <w:shd w:val="clear" w:color="auto" w:fill="auto"/>
            <w:vAlign w:val="center"/>
          </w:tcPr>
          <w:p w14:paraId="5D852D41" w14:textId="77777777" w:rsidR="004F07DF" w:rsidRPr="00C44D66" w:rsidRDefault="004F07DF" w:rsidP="009F6F46">
            <w:pPr>
              <w:spacing w:before="60" w:after="60"/>
              <w:rPr>
                <w:rFonts w:eastAsia="MS Mincho"/>
                <w:b/>
                <w:color w:val="auto"/>
                <w:sz w:val="20"/>
                <w:szCs w:val="24"/>
                <w:lang w:val="en-US"/>
              </w:rPr>
            </w:pPr>
          </w:p>
        </w:tc>
        <w:tc>
          <w:tcPr>
            <w:tcW w:w="1455" w:type="dxa"/>
            <w:shd w:val="clear" w:color="auto" w:fill="auto"/>
            <w:vAlign w:val="center"/>
          </w:tcPr>
          <w:p w14:paraId="5925F300" w14:textId="77777777" w:rsidR="004F07DF" w:rsidRPr="00C44D66" w:rsidRDefault="004F07DF" w:rsidP="009F6F46">
            <w:pPr>
              <w:spacing w:before="60" w:after="60"/>
              <w:rPr>
                <w:rFonts w:eastAsia="MS Mincho"/>
                <w:b/>
                <w:color w:val="auto"/>
                <w:sz w:val="20"/>
                <w:szCs w:val="24"/>
                <w:lang w:val="en-US"/>
              </w:rPr>
            </w:pPr>
          </w:p>
        </w:tc>
      </w:tr>
      <w:tr w:rsidR="004F07DF" w:rsidRPr="004F623F" w14:paraId="2555AA4F" w14:textId="77777777" w:rsidTr="009F6F46">
        <w:tc>
          <w:tcPr>
            <w:tcW w:w="2923" w:type="dxa"/>
            <w:shd w:val="clear" w:color="auto" w:fill="auto"/>
            <w:vAlign w:val="center"/>
          </w:tcPr>
          <w:p w14:paraId="270A0C3D" w14:textId="77777777" w:rsidR="004F07DF" w:rsidRPr="00C44D66" w:rsidRDefault="004F07DF" w:rsidP="009F6F46">
            <w:pPr>
              <w:spacing w:before="60" w:after="60"/>
              <w:rPr>
                <w:rFonts w:eastAsia="MS Mincho"/>
                <w:b/>
                <w:color w:val="auto"/>
                <w:sz w:val="20"/>
                <w:szCs w:val="24"/>
                <w:lang w:val="en-US"/>
              </w:rPr>
            </w:pPr>
          </w:p>
        </w:tc>
        <w:tc>
          <w:tcPr>
            <w:tcW w:w="1403" w:type="dxa"/>
            <w:shd w:val="clear" w:color="auto" w:fill="auto"/>
            <w:vAlign w:val="center"/>
          </w:tcPr>
          <w:p w14:paraId="478434C2" w14:textId="77777777" w:rsidR="004F07DF" w:rsidRPr="00C44D66" w:rsidRDefault="004F07DF" w:rsidP="009F6F46">
            <w:pPr>
              <w:spacing w:before="60" w:after="60"/>
              <w:rPr>
                <w:rFonts w:eastAsia="MS Mincho"/>
                <w:b/>
                <w:color w:val="auto"/>
                <w:sz w:val="20"/>
                <w:szCs w:val="24"/>
                <w:lang w:val="en-US"/>
              </w:rPr>
            </w:pPr>
          </w:p>
        </w:tc>
        <w:tc>
          <w:tcPr>
            <w:tcW w:w="1487" w:type="dxa"/>
            <w:shd w:val="clear" w:color="auto" w:fill="auto"/>
            <w:vAlign w:val="center"/>
          </w:tcPr>
          <w:p w14:paraId="35E8E3F3" w14:textId="77777777" w:rsidR="004F07DF" w:rsidRPr="00C44D66" w:rsidRDefault="004F07DF" w:rsidP="009F6F46">
            <w:pPr>
              <w:spacing w:before="60" w:after="60"/>
              <w:rPr>
                <w:rFonts w:eastAsia="MS Mincho"/>
                <w:b/>
                <w:color w:val="auto"/>
                <w:sz w:val="20"/>
                <w:szCs w:val="24"/>
                <w:lang w:val="en-US"/>
              </w:rPr>
            </w:pPr>
          </w:p>
        </w:tc>
        <w:tc>
          <w:tcPr>
            <w:tcW w:w="1624" w:type="dxa"/>
            <w:shd w:val="clear" w:color="auto" w:fill="auto"/>
            <w:vAlign w:val="center"/>
          </w:tcPr>
          <w:p w14:paraId="427DA337" w14:textId="77777777" w:rsidR="004F07DF" w:rsidRPr="00C44D66" w:rsidRDefault="004F07DF" w:rsidP="009F6F46">
            <w:pPr>
              <w:spacing w:before="60" w:after="60"/>
              <w:rPr>
                <w:rFonts w:eastAsia="MS Mincho"/>
                <w:b/>
                <w:color w:val="auto"/>
                <w:sz w:val="20"/>
                <w:szCs w:val="24"/>
                <w:lang w:val="en-US"/>
              </w:rPr>
            </w:pPr>
          </w:p>
        </w:tc>
        <w:tc>
          <w:tcPr>
            <w:tcW w:w="1455" w:type="dxa"/>
            <w:shd w:val="clear" w:color="auto" w:fill="auto"/>
            <w:vAlign w:val="center"/>
          </w:tcPr>
          <w:p w14:paraId="68EB48D3" w14:textId="77777777" w:rsidR="004F07DF" w:rsidRPr="00C44D66" w:rsidRDefault="004F07DF" w:rsidP="009F6F46">
            <w:pPr>
              <w:spacing w:before="60" w:after="60"/>
              <w:rPr>
                <w:rFonts w:eastAsia="MS Mincho"/>
                <w:b/>
                <w:color w:val="auto"/>
                <w:sz w:val="20"/>
                <w:szCs w:val="24"/>
                <w:lang w:val="en-US"/>
              </w:rPr>
            </w:pPr>
          </w:p>
        </w:tc>
      </w:tr>
      <w:tr w:rsidR="004F07DF" w:rsidRPr="004F623F" w14:paraId="16F0D2AD" w14:textId="77777777" w:rsidTr="009F6F46">
        <w:tc>
          <w:tcPr>
            <w:tcW w:w="2923" w:type="dxa"/>
            <w:shd w:val="clear" w:color="auto" w:fill="auto"/>
            <w:vAlign w:val="center"/>
          </w:tcPr>
          <w:p w14:paraId="62736280" w14:textId="77777777" w:rsidR="004F07DF" w:rsidRPr="00C44D66" w:rsidRDefault="004F07DF" w:rsidP="009F6F46">
            <w:pPr>
              <w:spacing w:before="60" w:after="60"/>
              <w:rPr>
                <w:rFonts w:eastAsia="MS Mincho"/>
                <w:b/>
                <w:color w:val="auto"/>
                <w:sz w:val="20"/>
                <w:szCs w:val="24"/>
                <w:lang w:val="en-US"/>
              </w:rPr>
            </w:pPr>
          </w:p>
        </w:tc>
        <w:tc>
          <w:tcPr>
            <w:tcW w:w="1403" w:type="dxa"/>
            <w:shd w:val="clear" w:color="auto" w:fill="auto"/>
            <w:vAlign w:val="center"/>
          </w:tcPr>
          <w:p w14:paraId="7F96C57A" w14:textId="77777777" w:rsidR="004F07DF" w:rsidRPr="00C44D66" w:rsidRDefault="004F07DF" w:rsidP="009F6F46">
            <w:pPr>
              <w:spacing w:before="60" w:after="60"/>
              <w:rPr>
                <w:rFonts w:eastAsia="MS Mincho"/>
                <w:b/>
                <w:color w:val="auto"/>
                <w:sz w:val="20"/>
                <w:szCs w:val="24"/>
                <w:lang w:val="en-US"/>
              </w:rPr>
            </w:pPr>
          </w:p>
        </w:tc>
        <w:tc>
          <w:tcPr>
            <w:tcW w:w="1487" w:type="dxa"/>
            <w:shd w:val="clear" w:color="auto" w:fill="auto"/>
            <w:vAlign w:val="center"/>
          </w:tcPr>
          <w:p w14:paraId="5622D89F" w14:textId="77777777" w:rsidR="004F07DF" w:rsidRPr="00C44D66" w:rsidRDefault="004F07DF" w:rsidP="009F6F46">
            <w:pPr>
              <w:spacing w:before="60" w:after="60"/>
              <w:rPr>
                <w:rFonts w:eastAsia="MS Mincho"/>
                <w:b/>
                <w:color w:val="auto"/>
                <w:sz w:val="20"/>
                <w:szCs w:val="24"/>
                <w:lang w:val="en-US"/>
              </w:rPr>
            </w:pPr>
          </w:p>
        </w:tc>
        <w:tc>
          <w:tcPr>
            <w:tcW w:w="1624" w:type="dxa"/>
            <w:shd w:val="clear" w:color="auto" w:fill="auto"/>
            <w:vAlign w:val="center"/>
          </w:tcPr>
          <w:p w14:paraId="11DD3CFB" w14:textId="77777777" w:rsidR="004F07DF" w:rsidRPr="00C44D66" w:rsidRDefault="004F07DF" w:rsidP="009F6F46">
            <w:pPr>
              <w:spacing w:before="60" w:after="60"/>
              <w:rPr>
                <w:rFonts w:eastAsia="MS Mincho"/>
                <w:b/>
                <w:color w:val="auto"/>
                <w:sz w:val="20"/>
                <w:szCs w:val="24"/>
                <w:lang w:val="en-US"/>
              </w:rPr>
            </w:pPr>
          </w:p>
        </w:tc>
        <w:tc>
          <w:tcPr>
            <w:tcW w:w="1455" w:type="dxa"/>
            <w:shd w:val="clear" w:color="auto" w:fill="auto"/>
            <w:vAlign w:val="center"/>
          </w:tcPr>
          <w:p w14:paraId="6F792E44" w14:textId="77777777" w:rsidR="004F07DF" w:rsidRPr="00C44D66" w:rsidRDefault="004F07DF" w:rsidP="009F6F46">
            <w:pPr>
              <w:spacing w:before="60" w:after="60"/>
              <w:rPr>
                <w:rFonts w:eastAsia="MS Mincho"/>
                <w:b/>
                <w:color w:val="auto"/>
                <w:sz w:val="20"/>
                <w:szCs w:val="24"/>
                <w:lang w:val="en-US"/>
              </w:rPr>
            </w:pPr>
          </w:p>
        </w:tc>
      </w:tr>
    </w:tbl>
    <w:p w14:paraId="2FCF06F3" w14:textId="77777777" w:rsidR="004F07DF" w:rsidRPr="00C44D66" w:rsidRDefault="004F07DF" w:rsidP="004F07DF">
      <w:pPr>
        <w:pStyle w:val="Heading2"/>
        <w:numPr>
          <w:ilvl w:val="1"/>
          <w:numId w:val="46"/>
        </w:numPr>
        <w:rPr>
          <w:rFonts w:eastAsia="MS Gothic"/>
        </w:rPr>
      </w:pPr>
      <w:bookmarkStart w:id="227" w:name="_Toc54012495"/>
      <w:bookmarkStart w:id="228" w:name="_Toc67483559"/>
      <w:bookmarkStart w:id="229" w:name="_Toc69897066"/>
      <w:bookmarkStart w:id="230" w:name="_Toc117027549"/>
      <w:r w:rsidRPr="00C44D66">
        <w:rPr>
          <w:rFonts w:eastAsia="MS Gothic"/>
        </w:rPr>
        <w:lastRenderedPageBreak/>
        <w:t>Certificates of completion</w:t>
      </w:r>
      <w:bookmarkEnd w:id="227"/>
      <w:bookmarkEnd w:id="228"/>
      <w:bookmarkEnd w:id="229"/>
      <w:bookmarkEnd w:id="230"/>
    </w:p>
    <w:p w14:paraId="344A526C" w14:textId="77777777" w:rsidR="004F07DF" w:rsidRDefault="004F07DF" w:rsidP="004F07DF">
      <w:pPr>
        <w:spacing w:before="160"/>
        <w:jc w:val="both"/>
        <w:rPr>
          <w:rFonts w:cs="Arial"/>
          <w:color w:val="auto"/>
        </w:rPr>
      </w:pPr>
      <w:r w:rsidRPr="00C44D66">
        <w:rPr>
          <w:rFonts w:cs="Arial"/>
          <w:color w:val="auto"/>
        </w:rPr>
        <w:t xml:space="preserve">For each of the listed projects (minimum 2), the Bidder must provide in his offer </w:t>
      </w:r>
      <w:r w:rsidRPr="00C44D66">
        <w:rPr>
          <w:rFonts w:cs="Arial"/>
          <w:b/>
          <w:color w:val="auto"/>
        </w:rPr>
        <w:t>the related certificates of good completion</w:t>
      </w:r>
      <w:r w:rsidRPr="00C44D66">
        <w:rPr>
          <w:rFonts w:cs="Arial"/>
          <w:color w:val="auto"/>
        </w:rPr>
        <w:t xml:space="preserve"> (statement or certificate without major reservation) approved by the entity which awarded the contract.</w:t>
      </w:r>
      <w:r>
        <w:rPr>
          <w:rFonts w:cs="Arial"/>
          <w:color w:val="auto"/>
        </w:rPr>
        <w:t xml:space="preserve"> </w:t>
      </w:r>
    </w:p>
    <w:p w14:paraId="2248D147" w14:textId="77777777" w:rsidR="004F07DF" w:rsidRPr="00C44D66" w:rsidRDefault="004F07DF" w:rsidP="004F07DF">
      <w:pPr>
        <w:spacing w:before="160"/>
        <w:jc w:val="both"/>
        <w:rPr>
          <w:rFonts w:cs="Arial"/>
          <w:color w:val="auto"/>
        </w:rPr>
        <w:sectPr w:rsidR="004F07DF" w:rsidRPr="00C44D66" w:rsidSect="004223E4">
          <w:pgSz w:w="11906" w:h="16838"/>
          <w:pgMar w:top="993" w:right="1133" w:bottom="851" w:left="1871" w:header="709" w:footer="709" w:gutter="0"/>
          <w:cols w:space="708"/>
          <w:titlePg/>
          <w:docGrid w:linePitch="360"/>
        </w:sectPr>
      </w:pPr>
    </w:p>
    <w:p w14:paraId="5E9154AD" w14:textId="77777777" w:rsidR="004F07DF" w:rsidRPr="00C44D66" w:rsidRDefault="004F07DF" w:rsidP="004F07DF">
      <w:pPr>
        <w:pStyle w:val="Heading2"/>
        <w:numPr>
          <w:ilvl w:val="1"/>
          <w:numId w:val="46"/>
        </w:numPr>
        <w:rPr>
          <w:rFonts w:eastAsia="MS Gothic"/>
        </w:rPr>
      </w:pPr>
      <w:bookmarkStart w:id="231" w:name="_Toc117027550"/>
      <w:r w:rsidRPr="00C44D66">
        <w:rPr>
          <w:rFonts w:eastAsia="MS Gothic"/>
        </w:rPr>
        <w:lastRenderedPageBreak/>
        <w:t>Key experts</w:t>
      </w:r>
      <w:bookmarkEnd w:id="231"/>
    </w:p>
    <w:p w14:paraId="086A606B" w14:textId="77777777" w:rsidR="004F07DF" w:rsidRDefault="004F07DF" w:rsidP="004F07DF">
      <w:pPr>
        <w:spacing w:line="259" w:lineRule="auto"/>
        <w:jc w:val="both"/>
      </w:pPr>
      <w:r>
        <w:t xml:space="preserve">The tenderer must complete the summarized table hereunder. He must provide in his offer the </w:t>
      </w:r>
      <w:proofErr w:type="gramStart"/>
      <w:r>
        <w:t>CV’s</w:t>
      </w:r>
      <w:proofErr w:type="gramEnd"/>
      <w:r>
        <w:t xml:space="preserve"> of the key experts proposed for implementing this services contract as well as degree certificates. The consultancy team will be comprised of at least 3 team members. The CV’s (qualifications and experience of key experts) </w:t>
      </w:r>
      <w:proofErr w:type="gramStart"/>
      <w:r>
        <w:t>have to</w:t>
      </w:r>
      <w:proofErr w:type="gramEnd"/>
      <w:r>
        <w:t xml:space="preserve"> fulfil the profiles as requested in the ToRs. Each CV should be signed</w:t>
      </w:r>
    </w:p>
    <w:p w14:paraId="7401AE1A" w14:textId="77777777" w:rsidR="004F07DF" w:rsidRDefault="004F07DF" w:rsidP="004F07DF">
      <w:pPr>
        <w:spacing w:line="259" w:lineRule="auto"/>
        <w:jc w:val="both"/>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685"/>
        <w:gridCol w:w="2693"/>
        <w:gridCol w:w="3686"/>
      </w:tblGrid>
      <w:tr w:rsidR="004F07DF" w14:paraId="716968DB" w14:textId="77777777" w:rsidTr="009F6F46">
        <w:tc>
          <w:tcPr>
            <w:tcW w:w="2122" w:type="dxa"/>
            <w:shd w:val="clear" w:color="auto" w:fill="E7E6E6"/>
          </w:tcPr>
          <w:p w14:paraId="7F81155A" w14:textId="77777777" w:rsidR="004F07DF" w:rsidRPr="00C44D66" w:rsidRDefault="004F07DF" w:rsidP="009F6F46">
            <w:pPr>
              <w:spacing w:line="259" w:lineRule="auto"/>
              <w:jc w:val="both"/>
              <w:rPr>
                <w:b/>
              </w:rPr>
            </w:pPr>
            <w:proofErr w:type="gramStart"/>
            <w:r w:rsidRPr="00C44D66">
              <w:rPr>
                <w:b/>
              </w:rPr>
              <w:t>Name  of</w:t>
            </w:r>
            <w:proofErr w:type="gramEnd"/>
            <w:r w:rsidRPr="00C44D66">
              <w:rPr>
                <w:b/>
              </w:rPr>
              <w:t xml:space="preserve"> expert</w:t>
            </w:r>
          </w:p>
        </w:tc>
        <w:tc>
          <w:tcPr>
            <w:tcW w:w="2268" w:type="dxa"/>
            <w:shd w:val="clear" w:color="auto" w:fill="E7E6E6"/>
          </w:tcPr>
          <w:p w14:paraId="161D0BEB" w14:textId="77777777" w:rsidR="004F07DF" w:rsidRPr="00C44D66" w:rsidRDefault="004F07DF" w:rsidP="009F6F46">
            <w:pPr>
              <w:spacing w:line="259" w:lineRule="auto"/>
              <w:jc w:val="both"/>
              <w:rPr>
                <w:b/>
              </w:rPr>
            </w:pPr>
            <w:r w:rsidRPr="00C44D66">
              <w:rPr>
                <w:b/>
              </w:rPr>
              <w:t>Proposed position</w:t>
            </w:r>
          </w:p>
        </w:tc>
        <w:tc>
          <w:tcPr>
            <w:tcW w:w="3685" w:type="dxa"/>
            <w:shd w:val="clear" w:color="auto" w:fill="E7E6E6"/>
          </w:tcPr>
          <w:p w14:paraId="735EF156" w14:textId="77777777" w:rsidR="004F07DF" w:rsidRPr="00C44D66" w:rsidRDefault="004F07DF" w:rsidP="009F6F46">
            <w:pPr>
              <w:spacing w:line="259" w:lineRule="auto"/>
              <w:jc w:val="both"/>
              <w:rPr>
                <w:b/>
              </w:rPr>
            </w:pPr>
            <w:r w:rsidRPr="00C44D66">
              <w:rPr>
                <w:b/>
              </w:rPr>
              <w:t xml:space="preserve">Years of relevant experience </w:t>
            </w:r>
          </w:p>
        </w:tc>
        <w:tc>
          <w:tcPr>
            <w:tcW w:w="2693" w:type="dxa"/>
            <w:shd w:val="clear" w:color="auto" w:fill="E7E6E6"/>
          </w:tcPr>
          <w:p w14:paraId="1C5D6E93" w14:textId="77777777" w:rsidR="004F07DF" w:rsidRPr="00C44D66" w:rsidRDefault="004F07DF" w:rsidP="009F6F46">
            <w:pPr>
              <w:spacing w:line="259" w:lineRule="auto"/>
              <w:jc w:val="both"/>
              <w:rPr>
                <w:b/>
              </w:rPr>
            </w:pPr>
            <w:r w:rsidRPr="00C44D66">
              <w:rPr>
                <w:b/>
              </w:rPr>
              <w:t xml:space="preserve">Education background </w:t>
            </w:r>
          </w:p>
        </w:tc>
        <w:tc>
          <w:tcPr>
            <w:tcW w:w="3686" w:type="dxa"/>
            <w:shd w:val="clear" w:color="auto" w:fill="E7E6E6"/>
          </w:tcPr>
          <w:p w14:paraId="4767BA78" w14:textId="77777777" w:rsidR="004F07DF" w:rsidRPr="00C44D66" w:rsidRDefault="004F07DF" w:rsidP="009F6F46">
            <w:pPr>
              <w:spacing w:line="259" w:lineRule="auto"/>
              <w:jc w:val="both"/>
              <w:rPr>
                <w:b/>
              </w:rPr>
            </w:pPr>
            <w:r w:rsidRPr="00C44D66">
              <w:rPr>
                <w:b/>
              </w:rPr>
              <w:t xml:space="preserve">Special area </w:t>
            </w:r>
            <w:proofErr w:type="gramStart"/>
            <w:r w:rsidRPr="00C44D66">
              <w:rPr>
                <w:b/>
              </w:rPr>
              <w:t>of  knowledge</w:t>
            </w:r>
            <w:proofErr w:type="gramEnd"/>
            <w:r w:rsidRPr="00C44D66">
              <w:rPr>
                <w:b/>
              </w:rPr>
              <w:t xml:space="preserve"> </w:t>
            </w:r>
          </w:p>
        </w:tc>
      </w:tr>
      <w:tr w:rsidR="004F07DF" w14:paraId="404ABC98" w14:textId="77777777" w:rsidTr="009F6F46">
        <w:tc>
          <w:tcPr>
            <w:tcW w:w="2122" w:type="dxa"/>
            <w:shd w:val="clear" w:color="auto" w:fill="auto"/>
          </w:tcPr>
          <w:p w14:paraId="73E87C89" w14:textId="77777777" w:rsidR="004F07DF" w:rsidRDefault="004F07DF" w:rsidP="009F6F46">
            <w:pPr>
              <w:spacing w:line="259" w:lineRule="auto"/>
              <w:jc w:val="both"/>
            </w:pPr>
          </w:p>
        </w:tc>
        <w:tc>
          <w:tcPr>
            <w:tcW w:w="2268" w:type="dxa"/>
            <w:shd w:val="clear" w:color="auto" w:fill="auto"/>
          </w:tcPr>
          <w:p w14:paraId="38FE9206" w14:textId="77777777" w:rsidR="004F07DF" w:rsidRDefault="004F07DF" w:rsidP="009F6F46">
            <w:pPr>
              <w:spacing w:line="259" w:lineRule="auto"/>
              <w:jc w:val="both"/>
            </w:pPr>
          </w:p>
        </w:tc>
        <w:tc>
          <w:tcPr>
            <w:tcW w:w="3685" w:type="dxa"/>
            <w:shd w:val="clear" w:color="auto" w:fill="auto"/>
          </w:tcPr>
          <w:p w14:paraId="1934CC92" w14:textId="77777777" w:rsidR="004F07DF" w:rsidRDefault="004F07DF" w:rsidP="009F6F46">
            <w:pPr>
              <w:spacing w:line="259" w:lineRule="auto"/>
              <w:jc w:val="both"/>
            </w:pPr>
          </w:p>
        </w:tc>
        <w:tc>
          <w:tcPr>
            <w:tcW w:w="2693" w:type="dxa"/>
            <w:shd w:val="clear" w:color="auto" w:fill="auto"/>
          </w:tcPr>
          <w:p w14:paraId="1998AF18" w14:textId="77777777" w:rsidR="004F07DF" w:rsidRDefault="004F07DF" w:rsidP="009F6F46">
            <w:pPr>
              <w:spacing w:line="259" w:lineRule="auto"/>
              <w:jc w:val="both"/>
            </w:pPr>
          </w:p>
        </w:tc>
        <w:tc>
          <w:tcPr>
            <w:tcW w:w="3686" w:type="dxa"/>
            <w:shd w:val="clear" w:color="auto" w:fill="auto"/>
          </w:tcPr>
          <w:p w14:paraId="1181EC16" w14:textId="77777777" w:rsidR="004F07DF" w:rsidRDefault="004F07DF" w:rsidP="009F6F46">
            <w:pPr>
              <w:spacing w:line="259" w:lineRule="auto"/>
              <w:jc w:val="both"/>
            </w:pPr>
          </w:p>
        </w:tc>
      </w:tr>
      <w:tr w:rsidR="004F07DF" w14:paraId="6700195B" w14:textId="77777777" w:rsidTr="009F6F46">
        <w:tc>
          <w:tcPr>
            <w:tcW w:w="2122" w:type="dxa"/>
            <w:shd w:val="clear" w:color="auto" w:fill="auto"/>
          </w:tcPr>
          <w:p w14:paraId="0E31DA54" w14:textId="77777777" w:rsidR="004F07DF" w:rsidRDefault="004F07DF" w:rsidP="009F6F46">
            <w:pPr>
              <w:spacing w:line="259" w:lineRule="auto"/>
              <w:jc w:val="both"/>
            </w:pPr>
          </w:p>
        </w:tc>
        <w:tc>
          <w:tcPr>
            <w:tcW w:w="2268" w:type="dxa"/>
            <w:shd w:val="clear" w:color="auto" w:fill="auto"/>
          </w:tcPr>
          <w:p w14:paraId="29918A74" w14:textId="77777777" w:rsidR="004F07DF" w:rsidRDefault="004F07DF" w:rsidP="009F6F46">
            <w:pPr>
              <w:spacing w:line="259" w:lineRule="auto"/>
              <w:jc w:val="both"/>
            </w:pPr>
          </w:p>
        </w:tc>
        <w:tc>
          <w:tcPr>
            <w:tcW w:w="3685" w:type="dxa"/>
            <w:shd w:val="clear" w:color="auto" w:fill="auto"/>
          </w:tcPr>
          <w:p w14:paraId="4F7957FC" w14:textId="77777777" w:rsidR="004F07DF" w:rsidRDefault="004F07DF" w:rsidP="009F6F46">
            <w:pPr>
              <w:spacing w:line="259" w:lineRule="auto"/>
              <w:jc w:val="both"/>
            </w:pPr>
          </w:p>
        </w:tc>
        <w:tc>
          <w:tcPr>
            <w:tcW w:w="2693" w:type="dxa"/>
            <w:shd w:val="clear" w:color="auto" w:fill="auto"/>
          </w:tcPr>
          <w:p w14:paraId="7D314233" w14:textId="77777777" w:rsidR="004F07DF" w:rsidRDefault="004F07DF" w:rsidP="009F6F46">
            <w:pPr>
              <w:spacing w:line="259" w:lineRule="auto"/>
              <w:jc w:val="both"/>
            </w:pPr>
          </w:p>
        </w:tc>
        <w:tc>
          <w:tcPr>
            <w:tcW w:w="3686" w:type="dxa"/>
            <w:shd w:val="clear" w:color="auto" w:fill="auto"/>
          </w:tcPr>
          <w:p w14:paraId="65C58EB1" w14:textId="77777777" w:rsidR="004F07DF" w:rsidRDefault="004F07DF" w:rsidP="009F6F46">
            <w:pPr>
              <w:spacing w:line="259" w:lineRule="auto"/>
              <w:jc w:val="both"/>
            </w:pPr>
          </w:p>
        </w:tc>
      </w:tr>
      <w:tr w:rsidR="004F07DF" w14:paraId="182BCE03" w14:textId="77777777" w:rsidTr="009F6F46">
        <w:tc>
          <w:tcPr>
            <w:tcW w:w="2122" w:type="dxa"/>
            <w:shd w:val="clear" w:color="auto" w:fill="auto"/>
          </w:tcPr>
          <w:p w14:paraId="09D997F8" w14:textId="77777777" w:rsidR="004F07DF" w:rsidRDefault="004F07DF" w:rsidP="009F6F46">
            <w:pPr>
              <w:spacing w:line="259" w:lineRule="auto"/>
              <w:jc w:val="both"/>
            </w:pPr>
          </w:p>
        </w:tc>
        <w:tc>
          <w:tcPr>
            <w:tcW w:w="2268" w:type="dxa"/>
            <w:shd w:val="clear" w:color="auto" w:fill="auto"/>
          </w:tcPr>
          <w:p w14:paraId="7BA7CBBF" w14:textId="77777777" w:rsidR="004F07DF" w:rsidRDefault="004F07DF" w:rsidP="009F6F46">
            <w:pPr>
              <w:spacing w:line="259" w:lineRule="auto"/>
              <w:jc w:val="both"/>
            </w:pPr>
          </w:p>
        </w:tc>
        <w:tc>
          <w:tcPr>
            <w:tcW w:w="3685" w:type="dxa"/>
            <w:shd w:val="clear" w:color="auto" w:fill="auto"/>
          </w:tcPr>
          <w:p w14:paraId="6F40699A" w14:textId="77777777" w:rsidR="004F07DF" w:rsidRDefault="004F07DF" w:rsidP="009F6F46">
            <w:pPr>
              <w:spacing w:line="259" w:lineRule="auto"/>
              <w:jc w:val="both"/>
            </w:pPr>
          </w:p>
        </w:tc>
        <w:tc>
          <w:tcPr>
            <w:tcW w:w="2693" w:type="dxa"/>
            <w:shd w:val="clear" w:color="auto" w:fill="auto"/>
          </w:tcPr>
          <w:p w14:paraId="152025AB" w14:textId="77777777" w:rsidR="004F07DF" w:rsidRDefault="004F07DF" w:rsidP="009F6F46">
            <w:pPr>
              <w:spacing w:line="259" w:lineRule="auto"/>
              <w:jc w:val="both"/>
            </w:pPr>
          </w:p>
        </w:tc>
        <w:tc>
          <w:tcPr>
            <w:tcW w:w="3686" w:type="dxa"/>
            <w:shd w:val="clear" w:color="auto" w:fill="auto"/>
          </w:tcPr>
          <w:p w14:paraId="0D51DA2E" w14:textId="77777777" w:rsidR="004F07DF" w:rsidRDefault="004F07DF" w:rsidP="009F6F46">
            <w:pPr>
              <w:spacing w:line="259" w:lineRule="auto"/>
              <w:jc w:val="both"/>
            </w:pPr>
          </w:p>
        </w:tc>
      </w:tr>
    </w:tbl>
    <w:p w14:paraId="638AFE83" w14:textId="77777777" w:rsidR="004F07DF" w:rsidRDefault="004F07DF" w:rsidP="004F07DF">
      <w:pPr>
        <w:spacing w:line="259" w:lineRule="auto"/>
        <w:jc w:val="both"/>
      </w:pPr>
    </w:p>
    <w:p w14:paraId="6652D4FC" w14:textId="77777777" w:rsidR="004F07DF" w:rsidRPr="00555EE9" w:rsidRDefault="004F07DF" w:rsidP="004F07DF"/>
    <w:p w14:paraId="12C1A8E2" w14:textId="77777777" w:rsidR="004F07DF" w:rsidRPr="00555EE9" w:rsidRDefault="004F07DF" w:rsidP="004F07DF"/>
    <w:p w14:paraId="2A7897B5" w14:textId="77777777" w:rsidR="004F07DF" w:rsidRDefault="004F07DF" w:rsidP="004F07DF">
      <w:pPr>
        <w:tabs>
          <w:tab w:val="left" w:pos="3504"/>
        </w:tabs>
        <w:spacing w:line="259" w:lineRule="auto"/>
        <w:jc w:val="both"/>
        <w:sectPr w:rsidR="004F07DF" w:rsidSect="004223E4">
          <w:pgSz w:w="16838" w:h="11906" w:orient="landscape"/>
          <w:pgMar w:top="1276" w:right="1245" w:bottom="1133" w:left="1134" w:header="709" w:footer="709" w:gutter="0"/>
          <w:cols w:space="708"/>
          <w:titlePg/>
          <w:docGrid w:linePitch="360"/>
        </w:sectPr>
      </w:pPr>
      <w:r>
        <w:tab/>
      </w:r>
    </w:p>
    <w:p w14:paraId="6F60B7AB" w14:textId="77777777" w:rsidR="004F07DF" w:rsidRPr="00C44D66" w:rsidRDefault="004F07DF" w:rsidP="004F07DF">
      <w:pPr>
        <w:pStyle w:val="Heading2"/>
        <w:numPr>
          <w:ilvl w:val="1"/>
          <w:numId w:val="46"/>
        </w:numPr>
        <w:rPr>
          <w:rFonts w:eastAsia="MS Gothic"/>
        </w:rPr>
      </w:pPr>
      <w:bookmarkStart w:id="232" w:name="_Toc117027551"/>
      <w:r w:rsidRPr="00C44D66">
        <w:rPr>
          <w:rFonts w:eastAsia="MS Gothic"/>
        </w:rPr>
        <w:lastRenderedPageBreak/>
        <w:t>Availability of key experts</w:t>
      </w:r>
      <w:bookmarkEnd w:id="232"/>
    </w:p>
    <w:p w14:paraId="6C730ECF" w14:textId="77777777" w:rsidR="004F07DF" w:rsidRDefault="004F07DF" w:rsidP="004F07DF">
      <w:r>
        <w:t>By submitting this tender, the tenderer explicitly declares that the following key experts are available for the whole period scheduled for his/her input to implement the tasks set out in the Terms of Reference and/or in the methodology24. Key experts will not be replaced during the implementation of the contract without prior written approval by the contracting authority.</w:t>
      </w:r>
    </w:p>
    <w:p w14:paraId="150C066D" w14:textId="77777777" w:rsidR="004F07DF" w:rsidRDefault="004F07DF" w:rsidP="004F07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2964"/>
        <w:gridCol w:w="2964"/>
      </w:tblGrid>
      <w:tr w:rsidR="004F07DF" w14:paraId="39FDDFAC" w14:textId="77777777" w:rsidTr="009F6F46">
        <w:tc>
          <w:tcPr>
            <w:tcW w:w="2964" w:type="dxa"/>
            <w:shd w:val="clear" w:color="auto" w:fill="auto"/>
          </w:tcPr>
          <w:p w14:paraId="095F3461" w14:textId="77777777" w:rsidR="004F07DF" w:rsidRDefault="004F07DF" w:rsidP="009F6F46">
            <w:r>
              <w:t>Key experts</w:t>
            </w:r>
          </w:p>
        </w:tc>
        <w:tc>
          <w:tcPr>
            <w:tcW w:w="2964" w:type="dxa"/>
            <w:shd w:val="clear" w:color="auto" w:fill="auto"/>
          </w:tcPr>
          <w:p w14:paraId="24692A3B" w14:textId="77777777" w:rsidR="004F07DF" w:rsidRDefault="004F07DF" w:rsidP="009F6F46">
            <w:r>
              <w:t>from</w:t>
            </w:r>
          </w:p>
        </w:tc>
        <w:tc>
          <w:tcPr>
            <w:tcW w:w="2964" w:type="dxa"/>
            <w:shd w:val="clear" w:color="auto" w:fill="auto"/>
          </w:tcPr>
          <w:p w14:paraId="7185EDBA" w14:textId="77777777" w:rsidR="004F07DF" w:rsidRDefault="004F07DF" w:rsidP="009F6F46">
            <w:r>
              <w:t>to</w:t>
            </w:r>
          </w:p>
        </w:tc>
      </w:tr>
      <w:tr w:rsidR="004F07DF" w14:paraId="070A3DBD" w14:textId="77777777" w:rsidTr="009F6F46">
        <w:tc>
          <w:tcPr>
            <w:tcW w:w="2964" w:type="dxa"/>
            <w:shd w:val="clear" w:color="auto" w:fill="auto"/>
          </w:tcPr>
          <w:p w14:paraId="5B7AA0ED" w14:textId="77777777" w:rsidR="004F07DF" w:rsidRDefault="004F07DF" w:rsidP="009F6F46">
            <w:r>
              <w:t xml:space="preserve">X </w:t>
            </w:r>
          </w:p>
        </w:tc>
        <w:tc>
          <w:tcPr>
            <w:tcW w:w="2964" w:type="dxa"/>
            <w:shd w:val="clear" w:color="auto" w:fill="auto"/>
          </w:tcPr>
          <w:p w14:paraId="0A7C7CF7" w14:textId="77777777" w:rsidR="004F07DF" w:rsidRDefault="004F07DF" w:rsidP="009F6F46"/>
        </w:tc>
        <w:tc>
          <w:tcPr>
            <w:tcW w:w="2964" w:type="dxa"/>
            <w:shd w:val="clear" w:color="auto" w:fill="auto"/>
          </w:tcPr>
          <w:p w14:paraId="64D2D38A" w14:textId="77777777" w:rsidR="004F07DF" w:rsidRDefault="004F07DF" w:rsidP="009F6F46"/>
        </w:tc>
      </w:tr>
      <w:tr w:rsidR="004F07DF" w14:paraId="45F092AD" w14:textId="77777777" w:rsidTr="009F6F46">
        <w:tc>
          <w:tcPr>
            <w:tcW w:w="2964" w:type="dxa"/>
            <w:shd w:val="clear" w:color="auto" w:fill="auto"/>
          </w:tcPr>
          <w:p w14:paraId="2EEF1EA7" w14:textId="77777777" w:rsidR="004F07DF" w:rsidRDefault="004F07DF" w:rsidP="009F6F46">
            <w:proofErr w:type="gramStart"/>
            <w:r>
              <w:t>Name :</w:t>
            </w:r>
            <w:proofErr w:type="gramEnd"/>
            <w:r>
              <w:t xml:space="preserve"> </w:t>
            </w:r>
          </w:p>
        </w:tc>
        <w:tc>
          <w:tcPr>
            <w:tcW w:w="2964" w:type="dxa"/>
            <w:shd w:val="clear" w:color="auto" w:fill="auto"/>
          </w:tcPr>
          <w:p w14:paraId="2677BFD7" w14:textId="77777777" w:rsidR="004F07DF" w:rsidRDefault="004F07DF" w:rsidP="009F6F46"/>
        </w:tc>
        <w:tc>
          <w:tcPr>
            <w:tcW w:w="2964" w:type="dxa"/>
            <w:shd w:val="clear" w:color="auto" w:fill="auto"/>
          </w:tcPr>
          <w:p w14:paraId="5B076668" w14:textId="77777777" w:rsidR="004F07DF" w:rsidRDefault="004F07DF" w:rsidP="009F6F46"/>
        </w:tc>
      </w:tr>
      <w:tr w:rsidR="004F07DF" w14:paraId="2E223D32" w14:textId="77777777" w:rsidTr="009F6F46">
        <w:tc>
          <w:tcPr>
            <w:tcW w:w="2964" w:type="dxa"/>
            <w:shd w:val="clear" w:color="auto" w:fill="auto"/>
          </w:tcPr>
          <w:p w14:paraId="3937CA18" w14:textId="77777777" w:rsidR="004F07DF" w:rsidRDefault="004F07DF" w:rsidP="009F6F46">
            <w:r>
              <w:t xml:space="preserve">X </w:t>
            </w:r>
          </w:p>
        </w:tc>
        <w:tc>
          <w:tcPr>
            <w:tcW w:w="2964" w:type="dxa"/>
            <w:shd w:val="clear" w:color="auto" w:fill="auto"/>
          </w:tcPr>
          <w:p w14:paraId="2C50CCFE" w14:textId="77777777" w:rsidR="004F07DF" w:rsidRDefault="004F07DF" w:rsidP="009F6F46"/>
        </w:tc>
        <w:tc>
          <w:tcPr>
            <w:tcW w:w="2964" w:type="dxa"/>
            <w:shd w:val="clear" w:color="auto" w:fill="auto"/>
          </w:tcPr>
          <w:p w14:paraId="32D4F0AF" w14:textId="77777777" w:rsidR="004F07DF" w:rsidRDefault="004F07DF" w:rsidP="009F6F46"/>
        </w:tc>
      </w:tr>
      <w:tr w:rsidR="004F07DF" w14:paraId="7F8CEA6C" w14:textId="77777777" w:rsidTr="009F6F46">
        <w:tc>
          <w:tcPr>
            <w:tcW w:w="2964" w:type="dxa"/>
            <w:shd w:val="clear" w:color="auto" w:fill="auto"/>
          </w:tcPr>
          <w:p w14:paraId="729275E9" w14:textId="77777777" w:rsidR="004F07DF" w:rsidRDefault="004F07DF" w:rsidP="009F6F46">
            <w:r>
              <w:t xml:space="preserve">Name: </w:t>
            </w:r>
          </w:p>
        </w:tc>
        <w:tc>
          <w:tcPr>
            <w:tcW w:w="2964" w:type="dxa"/>
            <w:shd w:val="clear" w:color="auto" w:fill="auto"/>
          </w:tcPr>
          <w:p w14:paraId="77C2682C" w14:textId="77777777" w:rsidR="004F07DF" w:rsidRDefault="004F07DF" w:rsidP="009F6F46"/>
        </w:tc>
        <w:tc>
          <w:tcPr>
            <w:tcW w:w="2964" w:type="dxa"/>
            <w:shd w:val="clear" w:color="auto" w:fill="auto"/>
          </w:tcPr>
          <w:p w14:paraId="78235BFD" w14:textId="77777777" w:rsidR="004F07DF" w:rsidRDefault="004F07DF" w:rsidP="009F6F46"/>
        </w:tc>
      </w:tr>
      <w:tr w:rsidR="004F07DF" w14:paraId="43343025" w14:textId="77777777" w:rsidTr="009F6F46">
        <w:tc>
          <w:tcPr>
            <w:tcW w:w="2964" w:type="dxa"/>
            <w:shd w:val="clear" w:color="auto" w:fill="auto"/>
          </w:tcPr>
          <w:p w14:paraId="5C0A38A1" w14:textId="77777777" w:rsidR="004F07DF" w:rsidRDefault="004F07DF" w:rsidP="009F6F46">
            <w:r>
              <w:t xml:space="preserve">X </w:t>
            </w:r>
          </w:p>
        </w:tc>
        <w:tc>
          <w:tcPr>
            <w:tcW w:w="2964" w:type="dxa"/>
            <w:shd w:val="clear" w:color="auto" w:fill="auto"/>
          </w:tcPr>
          <w:p w14:paraId="0F2B5B06" w14:textId="77777777" w:rsidR="004F07DF" w:rsidRDefault="004F07DF" w:rsidP="009F6F46"/>
        </w:tc>
        <w:tc>
          <w:tcPr>
            <w:tcW w:w="2964" w:type="dxa"/>
            <w:shd w:val="clear" w:color="auto" w:fill="auto"/>
          </w:tcPr>
          <w:p w14:paraId="0D4FA330" w14:textId="77777777" w:rsidR="004F07DF" w:rsidRDefault="004F07DF" w:rsidP="009F6F46"/>
        </w:tc>
      </w:tr>
      <w:tr w:rsidR="004F07DF" w14:paraId="54FD645D" w14:textId="77777777" w:rsidTr="009F6F46">
        <w:tc>
          <w:tcPr>
            <w:tcW w:w="2964" w:type="dxa"/>
            <w:shd w:val="clear" w:color="auto" w:fill="auto"/>
          </w:tcPr>
          <w:p w14:paraId="4427CEC3" w14:textId="77777777" w:rsidR="004F07DF" w:rsidRDefault="004F07DF" w:rsidP="009F6F46">
            <w:r>
              <w:t xml:space="preserve">Name: </w:t>
            </w:r>
          </w:p>
        </w:tc>
        <w:tc>
          <w:tcPr>
            <w:tcW w:w="2964" w:type="dxa"/>
            <w:shd w:val="clear" w:color="auto" w:fill="auto"/>
          </w:tcPr>
          <w:p w14:paraId="4633E814" w14:textId="77777777" w:rsidR="004F07DF" w:rsidRDefault="004F07DF" w:rsidP="009F6F46"/>
        </w:tc>
        <w:tc>
          <w:tcPr>
            <w:tcW w:w="2964" w:type="dxa"/>
            <w:shd w:val="clear" w:color="auto" w:fill="auto"/>
          </w:tcPr>
          <w:p w14:paraId="505B2DEB" w14:textId="77777777" w:rsidR="004F07DF" w:rsidRDefault="004F07DF" w:rsidP="009F6F46"/>
        </w:tc>
      </w:tr>
    </w:tbl>
    <w:p w14:paraId="18003561" w14:textId="77777777" w:rsidR="004F07DF" w:rsidRDefault="004F07DF" w:rsidP="004F07DF"/>
    <w:p w14:paraId="5B0C8BCD" w14:textId="77777777" w:rsidR="004F07DF" w:rsidRDefault="004F07DF" w:rsidP="004F07DF"/>
    <w:p w14:paraId="0B5C0ED8" w14:textId="77777777" w:rsidR="004F07DF" w:rsidRDefault="004F07DF" w:rsidP="004F07DF">
      <w:r>
        <w:t xml:space="preserve">Name and first name: ……………………………………………… </w:t>
      </w:r>
    </w:p>
    <w:p w14:paraId="65B22000" w14:textId="77777777" w:rsidR="004F07DF" w:rsidRDefault="004F07DF" w:rsidP="004F07DF">
      <w:r>
        <w:t>Duly authorised to sign this tender on behalf of: ………………………………………………</w:t>
      </w:r>
    </w:p>
    <w:p w14:paraId="7D828E4A" w14:textId="77777777" w:rsidR="004F07DF" w:rsidRDefault="004F07DF" w:rsidP="004F07DF">
      <w:r>
        <w:t xml:space="preserve"> Place and date: ……………………………………………… </w:t>
      </w:r>
    </w:p>
    <w:p w14:paraId="1499BB79" w14:textId="77777777" w:rsidR="004F07DF" w:rsidRDefault="004F07DF" w:rsidP="004F07DF">
      <w:pPr>
        <w:sectPr w:rsidR="004F07DF" w:rsidSect="004223E4">
          <w:pgSz w:w="11906" w:h="16838"/>
          <w:pgMar w:top="426" w:right="1133" w:bottom="851" w:left="1871" w:header="709" w:footer="709" w:gutter="0"/>
          <w:cols w:space="708"/>
          <w:titlePg/>
          <w:docGrid w:linePitch="360"/>
        </w:sectPr>
      </w:pPr>
      <w:r>
        <w:t>Signature: ………………………………………………</w:t>
      </w:r>
      <w:bookmarkStart w:id="233" w:name="_Toc51601718"/>
    </w:p>
    <w:p w14:paraId="68B9DDE8" w14:textId="77777777" w:rsidR="004F07DF" w:rsidRDefault="004F07DF" w:rsidP="004F07DF">
      <w:pPr>
        <w:pStyle w:val="Heading2"/>
        <w:numPr>
          <w:ilvl w:val="1"/>
          <w:numId w:val="46"/>
        </w:numPr>
      </w:pPr>
      <w:bookmarkStart w:id="234" w:name="_Toc117027552"/>
      <w:r>
        <w:lastRenderedPageBreak/>
        <w:t>Annexes</w:t>
      </w:r>
      <w:bookmarkEnd w:id="233"/>
      <w:bookmarkEnd w:id="234"/>
      <w:r>
        <w:t xml:space="preserve"> </w:t>
      </w:r>
    </w:p>
    <w:p w14:paraId="3D82FC07" w14:textId="77777777" w:rsidR="004F07DF" w:rsidRDefault="004F07DF" w:rsidP="004F07DF">
      <w:pPr>
        <w:pStyle w:val="Heading3"/>
        <w:numPr>
          <w:ilvl w:val="2"/>
          <w:numId w:val="46"/>
        </w:numPr>
      </w:pPr>
      <w:bookmarkStart w:id="235" w:name="_Toc51601719"/>
      <w:bookmarkStart w:id="236" w:name="_Toc117027553"/>
      <w:r>
        <w:t xml:space="preserve">GDPR clauses (in case of </w:t>
      </w:r>
      <w:r w:rsidRPr="00791CF8">
        <w:rPr>
          <w:u w:val="single"/>
        </w:rPr>
        <w:t xml:space="preserve">CONTRACTOR </w:t>
      </w:r>
      <w:r>
        <w:t>who will process personal data</w:t>
      </w:r>
      <w:bookmarkEnd w:id="235"/>
      <w:bookmarkEnd w:id="236"/>
    </w:p>
    <w:p w14:paraId="650B5DDA" w14:textId="77777777" w:rsidR="004F07DF" w:rsidRPr="00EB17A8" w:rsidRDefault="004F07DF" w:rsidP="004F07DF">
      <w:pPr>
        <w:rPr>
          <w:lang w:val="en-US"/>
        </w:rPr>
      </w:pPr>
    </w:p>
    <w:p w14:paraId="001C4EB7" w14:textId="77777777" w:rsidR="004F07DF" w:rsidRPr="00EB17A8" w:rsidRDefault="004F07DF" w:rsidP="004F07DF">
      <w:pPr>
        <w:rPr>
          <w:lang w:val="en-US"/>
        </w:rPr>
      </w:pPr>
    </w:p>
    <w:p w14:paraId="59045FC7" w14:textId="77777777" w:rsidR="004F07DF" w:rsidRPr="00EB17A8" w:rsidRDefault="004F07DF" w:rsidP="004F07DF">
      <w:pPr>
        <w:rPr>
          <w:i/>
          <w:iCs/>
          <w:lang w:val="en-US"/>
        </w:rPr>
      </w:pPr>
      <w:r w:rsidRPr="00EB17A8">
        <w:rPr>
          <w:i/>
          <w:iCs/>
          <w:lang w:val="en-US"/>
        </w:rPr>
        <w:t xml:space="preserve">This annex is to be used if the tenderer is a sub-contractor in the </w:t>
      </w:r>
      <w:proofErr w:type="spellStart"/>
      <w:r w:rsidRPr="00EB17A8">
        <w:rPr>
          <w:i/>
          <w:iCs/>
          <w:lang w:val="en-US"/>
        </w:rPr>
        <w:t>sens</w:t>
      </w:r>
      <w:proofErr w:type="spellEnd"/>
      <w:r w:rsidRPr="00EB17A8">
        <w:rPr>
          <w:i/>
          <w:iCs/>
          <w:lang w:val="en-US"/>
        </w:rPr>
        <w:t xml:space="preserve"> of GDPR regulations, a natural or legal entity that processes personal data on behalf of Enabel. </w:t>
      </w:r>
    </w:p>
    <w:p w14:paraId="17DB2FF6" w14:textId="77777777" w:rsidR="004F07DF" w:rsidRPr="00EB17A8" w:rsidRDefault="004F07DF" w:rsidP="004F07DF">
      <w:pPr>
        <w:rPr>
          <w:i/>
          <w:iCs/>
          <w:lang w:val="en-US"/>
        </w:rPr>
      </w:pPr>
    </w:p>
    <w:p w14:paraId="4ECBA9FD" w14:textId="77777777" w:rsidR="004F07DF" w:rsidRPr="00EB17A8" w:rsidRDefault="004F07DF" w:rsidP="004F07DF">
      <w:pPr>
        <w:rPr>
          <w:i/>
          <w:iCs/>
          <w:lang w:val="en-US"/>
        </w:rPr>
      </w:pPr>
      <w:r w:rsidRPr="00EB17A8">
        <w:rPr>
          <w:i/>
          <w:iCs/>
          <w:lang w:val="en-US"/>
        </w:rPr>
        <w:t xml:space="preserve">Personal data: any information relating to an identified or identifiable natural person (‘data subject’); an identifiable natural person is one who can be identified, directly or indirectly, </w:t>
      </w:r>
      <w:proofErr w:type="gramStart"/>
      <w:r w:rsidRPr="00EB17A8">
        <w:rPr>
          <w:i/>
          <w:iCs/>
          <w:lang w:val="en-US"/>
        </w:rPr>
        <w:t>in particular by</w:t>
      </w:r>
      <w:proofErr w:type="gramEnd"/>
      <w:r w:rsidRPr="00EB17A8">
        <w:rPr>
          <w:i/>
          <w:iCs/>
          <w:lang w:val="en-US"/>
        </w:rPr>
        <w:t xml:space="preserve"> reference to an identifier such as a name, an identification number, location data, an online identifier or to one or more factors specific to the physical, physiological, genetic, mental, economic, cultural or social identity of that natural person.</w:t>
      </w:r>
    </w:p>
    <w:p w14:paraId="76451C88" w14:textId="77777777" w:rsidR="004F07DF" w:rsidRPr="00EB17A8" w:rsidRDefault="004F07DF" w:rsidP="004F07DF">
      <w:pPr>
        <w:rPr>
          <w:i/>
          <w:iCs/>
          <w:lang w:val="en-US"/>
        </w:rPr>
      </w:pPr>
    </w:p>
    <w:p w14:paraId="54649480" w14:textId="77777777" w:rsidR="004F07DF" w:rsidRPr="00EB17A8" w:rsidRDefault="004F07DF" w:rsidP="004F07DF">
      <w:pPr>
        <w:rPr>
          <w:lang w:val="en-US"/>
        </w:rPr>
      </w:pPr>
    </w:p>
    <w:p w14:paraId="31A1DF86" w14:textId="77777777" w:rsidR="004F07DF" w:rsidRPr="00EB17A8" w:rsidRDefault="004F07DF" w:rsidP="004F07DF">
      <w:r w:rsidRPr="00EB17A8">
        <w:t>AGREEMENT on the Processing of personal data (GDPR)</w:t>
      </w:r>
    </w:p>
    <w:p w14:paraId="2A08D62C" w14:textId="77777777" w:rsidR="004F07DF" w:rsidRPr="00EB17A8" w:rsidRDefault="004F07DF" w:rsidP="004F07DF">
      <w:pPr>
        <w:rPr>
          <w:b/>
          <w:bCs/>
          <w:lang w:val="en-US"/>
        </w:rPr>
      </w:pPr>
    </w:p>
    <w:p w14:paraId="300D1C32" w14:textId="77777777" w:rsidR="004F07DF" w:rsidRPr="00EB17A8" w:rsidRDefault="004F07DF" w:rsidP="004F07DF">
      <w:pPr>
        <w:rPr>
          <w:b/>
          <w:bCs/>
          <w:lang w:val="en-US"/>
        </w:rPr>
      </w:pPr>
      <w:r w:rsidRPr="00EB17A8">
        <w:rPr>
          <w:b/>
          <w:bCs/>
          <w:lang w:val="en-US"/>
        </w:rPr>
        <w:t>BETWEEN:</w:t>
      </w:r>
    </w:p>
    <w:p w14:paraId="01FF6536" w14:textId="77777777" w:rsidR="004F07DF" w:rsidRPr="00EB17A8" w:rsidRDefault="004F07DF" w:rsidP="004F07DF">
      <w:pPr>
        <w:rPr>
          <w:lang w:val="en-US"/>
        </w:rPr>
      </w:pPr>
    </w:p>
    <w:p w14:paraId="3DDA8130" w14:textId="77777777" w:rsidR="004F07DF" w:rsidRPr="00EB17A8" w:rsidRDefault="004F07DF" w:rsidP="004F07DF">
      <w:pPr>
        <w:rPr>
          <w:lang w:val="en-US"/>
        </w:rPr>
      </w:pPr>
    </w:p>
    <w:p w14:paraId="029AED9A" w14:textId="77777777" w:rsidR="004F07DF" w:rsidRPr="00EB17A8" w:rsidRDefault="004F07DF" w:rsidP="004F07DF">
      <w:pPr>
        <w:rPr>
          <w:b/>
          <w:lang w:val="en-US"/>
        </w:rPr>
      </w:pPr>
      <w:r w:rsidRPr="00EB17A8">
        <w:rPr>
          <w:b/>
          <w:lang w:val="en-US"/>
        </w:rPr>
        <w:t xml:space="preserve">The contracting authority: </w:t>
      </w:r>
      <w:r w:rsidRPr="00EB17A8">
        <w:rPr>
          <w:b/>
          <w:bCs/>
          <w:lang w:val="en-US"/>
        </w:rPr>
        <w:t>Enabel, the Belgian development agency</w:t>
      </w:r>
      <w:r w:rsidRPr="00EB17A8">
        <w:rPr>
          <w:lang w:val="en-US"/>
        </w:rPr>
        <w:t>, public-law company with social purposes, with its registered office at Rue Haute 147, 1000 Brussels, Belgium (enterprise number 0264.814.354, RPM/RPR Brussels).</w:t>
      </w:r>
    </w:p>
    <w:p w14:paraId="0C99EB4A" w14:textId="77777777" w:rsidR="004F07DF" w:rsidRPr="00EB17A8" w:rsidRDefault="004F07DF" w:rsidP="004F07DF">
      <w:pPr>
        <w:rPr>
          <w:lang w:val="en-US"/>
        </w:rPr>
      </w:pPr>
    </w:p>
    <w:p w14:paraId="07E42E29" w14:textId="77777777" w:rsidR="004F07DF" w:rsidRPr="00EB17A8" w:rsidRDefault="004F07DF" w:rsidP="004F07DF">
      <w:pPr>
        <w:rPr>
          <w:lang w:val="en-US"/>
        </w:rPr>
      </w:pPr>
      <w:r w:rsidRPr="00EB17A8">
        <w:rPr>
          <w:lang w:val="en-US"/>
        </w:rPr>
        <w:t>Represented by: [……………………………………………………………………</w:t>
      </w:r>
      <w:proofErr w:type="gramStart"/>
      <w:r w:rsidRPr="00EB17A8">
        <w:rPr>
          <w:lang w:val="en-US"/>
        </w:rPr>
        <w:t>…..</w:t>
      </w:r>
      <w:proofErr w:type="gramEnd"/>
      <w:r w:rsidRPr="00EB17A8">
        <w:rPr>
          <w:lang w:val="en-US"/>
        </w:rPr>
        <w:t>…………..….],</w:t>
      </w:r>
    </w:p>
    <w:p w14:paraId="57CB8ECF" w14:textId="77777777" w:rsidR="004F07DF" w:rsidRPr="00EB17A8" w:rsidRDefault="004F07DF" w:rsidP="004F07DF">
      <w:pPr>
        <w:rPr>
          <w:lang w:val="en-US"/>
        </w:rPr>
      </w:pPr>
    </w:p>
    <w:p w14:paraId="3732876D" w14:textId="77777777" w:rsidR="004F07DF" w:rsidRPr="00EB17A8" w:rsidRDefault="004F07DF" w:rsidP="004F07DF">
      <w:pPr>
        <w:rPr>
          <w:lang w:val="en-US"/>
        </w:rPr>
      </w:pPr>
      <w:r w:rsidRPr="00EB17A8">
        <w:rPr>
          <w:lang w:val="en-US"/>
        </w:rPr>
        <w:t>Hereinafter referred to as ‘the contracting authority’ or ‘personal data controller’.</w:t>
      </w:r>
    </w:p>
    <w:p w14:paraId="28822695" w14:textId="77777777" w:rsidR="004F07DF" w:rsidRPr="00EB17A8" w:rsidRDefault="004F07DF" w:rsidP="004F07DF">
      <w:pPr>
        <w:rPr>
          <w:lang w:val="en-US"/>
        </w:rPr>
      </w:pPr>
      <w:r w:rsidRPr="00EB17A8">
        <w:rPr>
          <w:b/>
          <w:bCs/>
          <w:lang w:val="en-US"/>
        </w:rPr>
        <w:t>AND</w:t>
      </w:r>
      <w:r w:rsidRPr="00EB17A8">
        <w:rPr>
          <w:lang w:val="en-US"/>
        </w:rPr>
        <w:t>:</w:t>
      </w:r>
    </w:p>
    <w:p w14:paraId="240EEEA2" w14:textId="77777777" w:rsidR="004F07DF" w:rsidRPr="00EB17A8" w:rsidRDefault="004F07DF" w:rsidP="004F07DF">
      <w:pPr>
        <w:rPr>
          <w:b/>
          <w:bCs/>
          <w:lang w:val="en-US"/>
        </w:rPr>
      </w:pPr>
    </w:p>
    <w:p w14:paraId="6BE581C9" w14:textId="77777777" w:rsidR="004F07DF" w:rsidRPr="00EB17A8" w:rsidRDefault="004F07DF" w:rsidP="004F07DF">
      <w:pPr>
        <w:rPr>
          <w:b/>
          <w:bCs/>
          <w:lang w:val="en-US"/>
        </w:rPr>
      </w:pPr>
    </w:p>
    <w:p w14:paraId="5EB0DA0E" w14:textId="77777777" w:rsidR="004F07DF" w:rsidRPr="00EB17A8" w:rsidRDefault="004F07DF" w:rsidP="004F07DF">
      <w:pPr>
        <w:rPr>
          <w:lang w:val="en-US"/>
        </w:rPr>
      </w:pPr>
      <w:r w:rsidRPr="00EB17A8">
        <w:rPr>
          <w:b/>
          <w:lang w:val="en-US"/>
        </w:rPr>
        <w:t xml:space="preserve">The contractor: </w:t>
      </w:r>
      <w:r w:rsidRPr="00EB17A8">
        <w:rPr>
          <w:lang w:val="en-US"/>
        </w:rPr>
        <w:t>[……………………………………………………………………………………..….], with its registered office at  […………………………………………………………………………………………….………………….…...], and which is registered with the Crossroad Bank for Enterprises under number […………………………………………….…………….….],</w:t>
      </w:r>
    </w:p>
    <w:p w14:paraId="41AA236D" w14:textId="77777777" w:rsidR="004F07DF" w:rsidRPr="00EB17A8" w:rsidRDefault="004F07DF" w:rsidP="004F07DF">
      <w:pPr>
        <w:rPr>
          <w:lang w:val="en-US"/>
        </w:rPr>
      </w:pPr>
    </w:p>
    <w:p w14:paraId="371DEC5B" w14:textId="77777777" w:rsidR="004F07DF" w:rsidRPr="00EB17A8" w:rsidRDefault="004F07DF" w:rsidP="004F07DF">
      <w:pPr>
        <w:rPr>
          <w:lang w:val="en-US"/>
        </w:rPr>
      </w:pPr>
      <w:r w:rsidRPr="00EB17A8">
        <w:rPr>
          <w:lang w:val="en-US"/>
        </w:rPr>
        <w:t>Represented by: [……………………………………………………………………………………...],</w:t>
      </w:r>
    </w:p>
    <w:p w14:paraId="12013E25" w14:textId="77777777" w:rsidR="004F07DF" w:rsidRPr="00EB17A8" w:rsidRDefault="004F07DF" w:rsidP="004F07DF">
      <w:pPr>
        <w:rPr>
          <w:lang w:val="en-US"/>
        </w:rPr>
      </w:pPr>
      <w:r w:rsidRPr="00EB17A8">
        <w:rPr>
          <w:lang w:val="en-US"/>
        </w:rPr>
        <w:t>in accordance with Article [……………………………………….……………………………….…….] of the statutes of the company,</w:t>
      </w:r>
    </w:p>
    <w:p w14:paraId="54B9D82C" w14:textId="77777777" w:rsidR="004F07DF" w:rsidRPr="00EB17A8" w:rsidRDefault="004F07DF" w:rsidP="004F07DF">
      <w:pPr>
        <w:rPr>
          <w:lang w:val="en-US"/>
        </w:rPr>
      </w:pPr>
    </w:p>
    <w:p w14:paraId="78A6FBCE" w14:textId="77777777" w:rsidR="004F07DF" w:rsidRPr="00EB17A8" w:rsidRDefault="004F07DF" w:rsidP="004F07DF">
      <w:pPr>
        <w:rPr>
          <w:lang w:val="en-US"/>
        </w:rPr>
      </w:pPr>
      <w:r w:rsidRPr="00EB17A8">
        <w:rPr>
          <w:lang w:val="en-US"/>
        </w:rPr>
        <w:t>Hereinafter referred to as ‘the contractor’ or ‘processor’.</w:t>
      </w:r>
    </w:p>
    <w:p w14:paraId="3916F649" w14:textId="77777777" w:rsidR="004F07DF" w:rsidRPr="00EB17A8" w:rsidRDefault="004F07DF" w:rsidP="004F07DF">
      <w:pPr>
        <w:rPr>
          <w:lang w:val="en-US"/>
        </w:rPr>
      </w:pPr>
    </w:p>
    <w:p w14:paraId="40F33073" w14:textId="77777777" w:rsidR="004F07DF" w:rsidRPr="00EB17A8" w:rsidRDefault="004F07DF" w:rsidP="004F07DF">
      <w:pPr>
        <w:rPr>
          <w:lang w:val="en-US"/>
        </w:rPr>
      </w:pPr>
      <w:r w:rsidRPr="00EB17A8">
        <w:rPr>
          <w:lang w:val="en-US"/>
        </w:rPr>
        <w:t>The contracting authority and the contractor are referred to separately as a ‘Party’ and are jointly referred to as the ‘Parties’.</w:t>
      </w:r>
      <w:r w:rsidRPr="00EB17A8">
        <w:rPr>
          <w:lang w:val="en-US"/>
        </w:rPr>
        <w:tab/>
      </w:r>
    </w:p>
    <w:p w14:paraId="4C969520" w14:textId="77777777" w:rsidR="004F07DF" w:rsidRPr="00EB17A8" w:rsidRDefault="004F07DF" w:rsidP="004F07DF">
      <w:pPr>
        <w:rPr>
          <w:b/>
          <w:bCs/>
        </w:rPr>
      </w:pPr>
    </w:p>
    <w:p w14:paraId="47E3D54D" w14:textId="77777777" w:rsidR="004F07DF" w:rsidRPr="00EB17A8" w:rsidRDefault="004F07DF" w:rsidP="004F07DF">
      <w:pPr>
        <w:rPr>
          <w:b/>
          <w:bCs/>
        </w:rPr>
      </w:pPr>
      <w:r w:rsidRPr="00EB17A8">
        <w:rPr>
          <w:b/>
          <w:bCs/>
        </w:rPr>
        <w:t>Preamble</w:t>
      </w:r>
    </w:p>
    <w:p w14:paraId="0A7ABB4D" w14:textId="77777777" w:rsidR="004F07DF" w:rsidRPr="00EB17A8" w:rsidRDefault="004F07DF" w:rsidP="004F07DF">
      <w:pPr>
        <w:rPr>
          <w:lang w:val="en-US"/>
        </w:rPr>
      </w:pPr>
      <w:r w:rsidRPr="00EB17A8">
        <w:rPr>
          <w:lang w:val="en-US"/>
        </w:rPr>
        <w:t>By decision of the [........................], the contractor was awarded a public contract in accordance with Tender Specifications no. [.....................].</w:t>
      </w:r>
    </w:p>
    <w:p w14:paraId="217021A9" w14:textId="77777777" w:rsidR="004F07DF" w:rsidRPr="00EB17A8" w:rsidRDefault="004F07DF" w:rsidP="004F07DF">
      <w:pPr>
        <w:rPr>
          <w:lang w:val="en-US"/>
        </w:rPr>
      </w:pPr>
    </w:p>
    <w:p w14:paraId="65C81C12" w14:textId="77777777" w:rsidR="004F07DF" w:rsidRPr="00EB17A8" w:rsidRDefault="004F07DF" w:rsidP="004F07DF">
      <w:pPr>
        <w:rPr>
          <w:lang w:val="en-US"/>
        </w:rPr>
      </w:pPr>
      <w:r w:rsidRPr="00EB17A8">
        <w:rPr>
          <w:lang w:val="en-US"/>
        </w:rPr>
        <w:t xml:space="preserve">The needs of this public contract involve the processing of personal data within the meaning of the Belgian law on the protection of natural persons </w:t>
      </w:r>
      <w:proofErr w:type="gramStart"/>
      <w:r w:rsidRPr="00EB17A8">
        <w:rPr>
          <w:lang w:val="en-US"/>
        </w:rPr>
        <w:t>with regard to</w:t>
      </w:r>
      <w:proofErr w:type="gramEnd"/>
      <w:r w:rsidRPr="00EB17A8">
        <w:rPr>
          <w:lang w:val="en-US"/>
        </w:rPr>
        <w:t xml:space="preserve"> the processing of personal data and of European Regulation 2016/679 (GDPR).</w:t>
      </w:r>
    </w:p>
    <w:p w14:paraId="48E9C9E9" w14:textId="77777777" w:rsidR="004F07DF" w:rsidRPr="00EB17A8" w:rsidRDefault="004F07DF" w:rsidP="004F07DF">
      <w:pPr>
        <w:rPr>
          <w:lang w:val="en-US"/>
        </w:rPr>
      </w:pPr>
    </w:p>
    <w:p w14:paraId="4BF3D4A6" w14:textId="77777777" w:rsidR="004F07DF" w:rsidRPr="00EB17A8" w:rsidRDefault="004F07DF" w:rsidP="004F07DF">
      <w:pPr>
        <w:rPr>
          <w:lang w:val="en-US"/>
        </w:rPr>
      </w:pPr>
      <w:r w:rsidRPr="00EB17A8">
        <w:rPr>
          <w:lang w:val="en-US"/>
        </w:rPr>
        <w:t>The purpose of this amendment is to comply with the requirements of Article 28 of the GDPR.</w:t>
      </w:r>
    </w:p>
    <w:p w14:paraId="6431B873" w14:textId="77777777" w:rsidR="004F07DF" w:rsidRPr="00EB17A8" w:rsidRDefault="004F07DF" w:rsidP="004F07DF">
      <w:pPr>
        <w:rPr>
          <w:lang w:val="en-US"/>
        </w:rPr>
      </w:pPr>
    </w:p>
    <w:p w14:paraId="627DECF1" w14:textId="77777777" w:rsidR="004F07DF" w:rsidRPr="00EB17A8" w:rsidRDefault="004F07DF" w:rsidP="004F07DF">
      <w:pPr>
        <w:rPr>
          <w:lang w:val="en-US"/>
        </w:rPr>
      </w:pPr>
      <w:r w:rsidRPr="00EB17A8">
        <w:rPr>
          <w:lang w:val="en-US"/>
        </w:rPr>
        <w:t>The public contract conditions are not otherwise derogated, particularly in terms of the time frame and value of the public contract awarded.</w:t>
      </w:r>
    </w:p>
    <w:p w14:paraId="13F7B93D" w14:textId="77777777" w:rsidR="004F07DF" w:rsidRPr="00EB17A8" w:rsidRDefault="004F07DF" w:rsidP="004F07DF">
      <w:pPr>
        <w:rPr>
          <w:b/>
          <w:bCs/>
        </w:rPr>
      </w:pPr>
      <w:r w:rsidRPr="00EB17A8">
        <w:rPr>
          <w:b/>
          <w:bCs/>
        </w:rPr>
        <w:t>Article 1: Definitions</w:t>
      </w:r>
    </w:p>
    <w:p w14:paraId="218A0AEA" w14:textId="77777777" w:rsidR="004F07DF" w:rsidRPr="00EB17A8" w:rsidRDefault="004F07DF" w:rsidP="004F07DF">
      <w:pPr>
        <w:numPr>
          <w:ilvl w:val="1"/>
          <w:numId w:val="19"/>
        </w:numPr>
        <w:rPr>
          <w:lang w:val="en-US"/>
        </w:rPr>
      </w:pPr>
      <w:r w:rsidRPr="00EB17A8">
        <w:rPr>
          <w:lang w:val="en-US"/>
        </w:rPr>
        <w:t xml:space="preserve"> Terms such as ‘process’/’processing, ‘personal data,’ ‘personal data controller’, ‘processor’ and ‘personal data breach’ must be interpreted </w:t>
      </w:r>
      <w:proofErr w:type="gramStart"/>
      <w:r w:rsidRPr="00EB17A8">
        <w:rPr>
          <w:lang w:val="en-US"/>
        </w:rPr>
        <w:t>in light of</w:t>
      </w:r>
      <w:proofErr w:type="gramEnd"/>
      <w:r w:rsidRPr="00EB17A8">
        <w:rPr>
          <w:lang w:val="en-US"/>
        </w:rPr>
        <w:t xml:space="preserve"> data protection legislation. ‘Data protection legislation’ refers to any regulation of the European Union and/or its Member States, including, without being limited to laws, directives and regulations for the protection of personal data, in particular European Regulation 2016/679 on the protection of natural persons with regard to the processing of personal data and the free movement of such data (GDPR) and the Belgian law of 30 July 2018 on the protection of natural persons with regard to the processing of personal data.</w:t>
      </w:r>
    </w:p>
    <w:p w14:paraId="47D17DDC" w14:textId="77777777" w:rsidR="004F07DF" w:rsidRPr="00EB17A8" w:rsidRDefault="004F07DF" w:rsidP="004F07DF">
      <w:pPr>
        <w:rPr>
          <w:b/>
          <w:bCs/>
        </w:rPr>
      </w:pPr>
      <w:r w:rsidRPr="00EB17A8">
        <w:rPr>
          <w:b/>
          <w:bCs/>
        </w:rPr>
        <w:t>Article 2: Subject-matter of the Agreement</w:t>
      </w:r>
    </w:p>
    <w:p w14:paraId="4AD64C5E" w14:textId="77777777" w:rsidR="004F07DF" w:rsidRPr="00EB17A8" w:rsidRDefault="004F07DF" w:rsidP="004F07DF"/>
    <w:p w14:paraId="1A3C9E1F" w14:textId="77777777" w:rsidR="004F07DF" w:rsidRPr="00EB17A8" w:rsidRDefault="004F07DF" w:rsidP="004F07DF">
      <w:pPr>
        <w:numPr>
          <w:ilvl w:val="1"/>
          <w:numId w:val="16"/>
        </w:numPr>
      </w:pPr>
      <w:r w:rsidRPr="00EB17A8">
        <w:t>During performance of the public contract, the contracting authority entrusts the contractor with the processing of personal data.  The contractor undertakes to process personal data in the name of and on behalf of the contracting authority.</w:t>
      </w:r>
    </w:p>
    <w:p w14:paraId="228ADB4A" w14:textId="77777777" w:rsidR="004F07DF" w:rsidRPr="00EB17A8" w:rsidRDefault="004F07DF" w:rsidP="004F07DF"/>
    <w:p w14:paraId="440B590F" w14:textId="77777777" w:rsidR="004F07DF" w:rsidRPr="00EB17A8" w:rsidRDefault="004F07DF" w:rsidP="004F07DF">
      <w:pPr>
        <w:numPr>
          <w:ilvl w:val="1"/>
          <w:numId w:val="16"/>
        </w:numPr>
      </w:pPr>
      <w:r w:rsidRPr="00EB17A8">
        <w:t>The contractor performs the public contract in accordance with the provisions of this Agreement.</w:t>
      </w:r>
    </w:p>
    <w:p w14:paraId="0264709D" w14:textId="77777777" w:rsidR="004F07DF" w:rsidRPr="00EB17A8" w:rsidRDefault="004F07DF" w:rsidP="004F07DF"/>
    <w:p w14:paraId="6240FA8B" w14:textId="77777777" w:rsidR="004F07DF" w:rsidRPr="00EB17A8" w:rsidRDefault="004F07DF" w:rsidP="004F07DF">
      <w:pPr>
        <w:numPr>
          <w:ilvl w:val="1"/>
          <w:numId w:val="16"/>
        </w:numPr>
      </w:pPr>
      <w:r w:rsidRPr="00EB17A8">
        <w:t>Both Parties explicitly undertake to comply with the provisions of applicable data protection laws and to do nothing or fail to cause the other Party to violate relevant and applicable data protection laws.</w:t>
      </w:r>
    </w:p>
    <w:p w14:paraId="71D89996" w14:textId="77777777" w:rsidR="004F07DF" w:rsidRPr="00EB17A8" w:rsidRDefault="004F07DF" w:rsidP="004F07DF"/>
    <w:p w14:paraId="1D890056" w14:textId="77777777" w:rsidR="004F07DF" w:rsidRPr="00EB17A8" w:rsidRDefault="004F07DF" w:rsidP="004F07DF">
      <w:pPr>
        <w:numPr>
          <w:ilvl w:val="1"/>
          <w:numId w:val="16"/>
        </w:numPr>
      </w:pPr>
      <w:r w:rsidRPr="00EB17A8">
        <w:t xml:space="preserve">The elements included in the processing are further included and clarified in Annex 1 of this Agreement. The following are particularly included in said Annex: </w:t>
      </w:r>
    </w:p>
    <w:p w14:paraId="2BDEAC00" w14:textId="77777777" w:rsidR="004F07DF" w:rsidRPr="00EB17A8" w:rsidRDefault="004F07DF" w:rsidP="004F07DF">
      <w:pPr>
        <w:rPr>
          <w:lang w:val="fr-FR"/>
        </w:rPr>
      </w:pPr>
    </w:p>
    <w:p w14:paraId="18793DCA" w14:textId="77777777" w:rsidR="004F07DF" w:rsidRPr="00EB17A8" w:rsidRDefault="004F07DF" w:rsidP="004F07DF">
      <w:pPr>
        <w:numPr>
          <w:ilvl w:val="0"/>
          <w:numId w:val="20"/>
        </w:numPr>
      </w:pPr>
      <w:r w:rsidRPr="00EB17A8">
        <w:t xml:space="preserve">Personal data processing </w:t>
      </w:r>
      <w:proofErr w:type="gramStart"/>
      <w:r w:rsidRPr="00EB17A8">
        <w:t>activities;</w:t>
      </w:r>
      <w:proofErr w:type="gramEnd"/>
    </w:p>
    <w:p w14:paraId="7E44344A" w14:textId="77777777" w:rsidR="004F07DF" w:rsidRPr="00EB17A8" w:rsidRDefault="004F07DF" w:rsidP="004F07DF">
      <w:pPr>
        <w:numPr>
          <w:ilvl w:val="0"/>
          <w:numId w:val="20"/>
        </w:numPr>
      </w:pPr>
      <w:r w:rsidRPr="00EB17A8">
        <w:t xml:space="preserve">The categories of personal data </w:t>
      </w:r>
      <w:proofErr w:type="gramStart"/>
      <w:r w:rsidRPr="00EB17A8">
        <w:t>processed;</w:t>
      </w:r>
      <w:proofErr w:type="gramEnd"/>
    </w:p>
    <w:p w14:paraId="1996E6C8" w14:textId="77777777" w:rsidR="004F07DF" w:rsidRPr="00EB17A8" w:rsidRDefault="004F07DF" w:rsidP="004F07DF">
      <w:pPr>
        <w:numPr>
          <w:ilvl w:val="0"/>
          <w:numId w:val="20"/>
        </w:numPr>
      </w:pPr>
      <w:r w:rsidRPr="00EB17A8">
        <w:t xml:space="preserve">The categories of stakeholders to which the personal data of the contracting authority’s </w:t>
      </w:r>
      <w:proofErr w:type="gramStart"/>
      <w:r w:rsidRPr="00EB17A8">
        <w:t>relate;</w:t>
      </w:r>
      <w:proofErr w:type="gramEnd"/>
    </w:p>
    <w:p w14:paraId="4D204FB6" w14:textId="77777777" w:rsidR="004F07DF" w:rsidRPr="00EB17A8" w:rsidRDefault="004F07DF" w:rsidP="004F07DF">
      <w:pPr>
        <w:numPr>
          <w:ilvl w:val="0"/>
          <w:numId w:val="20"/>
        </w:numPr>
      </w:pPr>
      <w:r w:rsidRPr="00EB17A8">
        <w:t xml:space="preserve">The purpose of the processing.  </w:t>
      </w:r>
    </w:p>
    <w:p w14:paraId="6B9ED6C6" w14:textId="77777777" w:rsidR="004F07DF" w:rsidRPr="00EB17A8" w:rsidRDefault="004F07DF" w:rsidP="004F07DF">
      <w:pPr>
        <w:numPr>
          <w:ilvl w:val="1"/>
          <w:numId w:val="16"/>
        </w:numPr>
      </w:pPr>
      <w:r w:rsidRPr="00EB17A8">
        <w:t xml:space="preserve">Only the personal data mentioned in Annex 1 of this Agreement may and must be processed by the contractor. In addition, personal data will only be processed </w:t>
      </w:r>
      <w:proofErr w:type="gramStart"/>
      <w:r w:rsidRPr="00EB17A8">
        <w:t>in light of</w:t>
      </w:r>
      <w:proofErr w:type="gramEnd"/>
      <w:r w:rsidRPr="00EB17A8">
        <w:t xml:space="preserve"> the purposes set out by the Parties in Annex 1 of this Agreement.</w:t>
      </w:r>
    </w:p>
    <w:p w14:paraId="47A26C14" w14:textId="77777777" w:rsidR="004F07DF" w:rsidRPr="00EB17A8" w:rsidRDefault="004F07DF" w:rsidP="004F07DF"/>
    <w:p w14:paraId="3D1928BD" w14:textId="77777777" w:rsidR="004F07DF" w:rsidRPr="00EB17A8" w:rsidRDefault="004F07DF" w:rsidP="004F07DF">
      <w:pPr>
        <w:numPr>
          <w:ilvl w:val="1"/>
          <w:numId w:val="16"/>
        </w:numPr>
      </w:pPr>
      <w:r w:rsidRPr="00EB17A8">
        <w:t>Both Parties undertake to take appropriate measures to ensure that personal data are not misused or acquired by an unauthorized third party.</w:t>
      </w:r>
    </w:p>
    <w:p w14:paraId="093C9C9A" w14:textId="77777777" w:rsidR="004F07DF" w:rsidRPr="00EB17A8" w:rsidRDefault="004F07DF" w:rsidP="004F07DF">
      <w:pPr>
        <w:numPr>
          <w:ilvl w:val="1"/>
          <w:numId w:val="16"/>
        </w:numPr>
        <w:rPr>
          <w:lang w:val="en-US"/>
        </w:rPr>
      </w:pPr>
      <w:r w:rsidRPr="00EB17A8">
        <w:rPr>
          <w:lang w:val="en-US"/>
        </w:rPr>
        <w:t>In the event of a conflict between the provisions of this Agreement and those of the Tender Specifications, the provisions of this Agreement will prevail.</w:t>
      </w:r>
    </w:p>
    <w:p w14:paraId="75506D6D" w14:textId="77777777" w:rsidR="004F07DF" w:rsidRPr="00EB17A8" w:rsidRDefault="004F07DF" w:rsidP="004F07DF"/>
    <w:p w14:paraId="2982D241" w14:textId="77777777" w:rsidR="004F07DF" w:rsidRPr="00EB17A8" w:rsidRDefault="004F07DF" w:rsidP="004F07DF">
      <w:pPr>
        <w:rPr>
          <w:b/>
          <w:bCs/>
        </w:rPr>
      </w:pPr>
      <w:r w:rsidRPr="00EB17A8">
        <w:rPr>
          <w:b/>
          <w:bCs/>
        </w:rPr>
        <w:t>Article 3: Instructions of the contracting authority</w:t>
      </w:r>
    </w:p>
    <w:p w14:paraId="1AC8D192" w14:textId="77777777" w:rsidR="004F07DF" w:rsidRPr="00EB17A8" w:rsidRDefault="004F07DF" w:rsidP="004F07DF">
      <w:pPr>
        <w:numPr>
          <w:ilvl w:val="1"/>
          <w:numId w:val="22"/>
        </w:numPr>
      </w:pPr>
      <w:r w:rsidRPr="00EB17A8">
        <w:t xml:space="preserve">The contractor undertakes to process personal data only on the documented instructions of the contracting authority and in accordance with agreed processing activities as defined in Annex 1 of this Agreement. The contractor will not process the personal data subject to this Agreement in a manner inconsistent with the instructions and provisions of this Agreement.  </w:t>
      </w:r>
    </w:p>
    <w:p w14:paraId="251C8C3B" w14:textId="77777777" w:rsidR="004F07DF" w:rsidRPr="00EB17A8" w:rsidRDefault="004F07DF" w:rsidP="004F07DF"/>
    <w:p w14:paraId="533C8421" w14:textId="77777777" w:rsidR="004F07DF" w:rsidRPr="00EB17A8" w:rsidRDefault="004F07DF" w:rsidP="004F07DF">
      <w:pPr>
        <w:numPr>
          <w:ilvl w:val="1"/>
          <w:numId w:val="22"/>
        </w:numPr>
      </w:pPr>
      <w:r w:rsidRPr="00EB17A8">
        <w:t>The contractor undertakes to process personal data in accordance with the documented instructions of the personal data controller, including for transfers of personal data to third countries or to international organisations, unless it is required under EU or Member State law. In this case, the processor informs the personal data controller of this legal obligation prior to processing unless the relevant law prohibits such information for important public interest reasons.</w:t>
      </w:r>
    </w:p>
    <w:p w14:paraId="53A5D7E1" w14:textId="77777777" w:rsidR="004F07DF" w:rsidRPr="00EB17A8" w:rsidRDefault="004F07DF" w:rsidP="004F07DF"/>
    <w:p w14:paraId="1C57B02D" w14:textId="77777777" w:rsidR="004F07DF" w:rsidRPr="00EB17A8" w:rsidRDefault="004F07DF" w:rsidP="004F07DF">
      <w:pPr>
        <w:numPr>
          <w:ilvl w:val="1"/>
          <w:numId w:val="22"/>
        </w:numPr>
      </w:pPr>
      <w:r w:rsidRPr="00EB17A8">
        <w:t>The contracting authority may unilaterally make limited changes to the instructions. The contracting authority undertakes to consult with the contractor before making significant changes to the instructions. Changes affecting the content of this Agreement must be agreed by the Parties.</w:t>
      </w:r>
    </w:p>
    <w:p w14:paraId="6B0E753A" w14:textId="77777777" w:rsidR="004F07DF" w:rsidRPr="00EB17A8" w:rsidRDefault="004F07DF" w:rsidP="004F07DF">
      <w:pPr>
        <w:rPr>
          <w:lang w:val="en-US"/>
        </w:rPr>
      </w:pPr>
    </w:p>
    <w:p w14:paraId="24B42BD5" w14:textId="77777777" w:rsidR="004F07DF" w:rsidRPr="00EB17A8" w:rsidRDefault="004F07DF" w:rsidP="004F07DF">
      <w:pPr>
        <w:numPr>
          <w:ilvl w:val="1"/>
          <w:numId w:val="22"/>
        </w:numPr>
      </w:pPr>
      <w:r w:rsidRPr="00EB17A8">
        <w:t>The contractor undertakes to immediately notify the contracting authority if it considers that the instructions received (in whole or in part) constitute a violation of the Regulations or other provisions of EU law or Member State data protection law.</w:t>
      </w:r>
    </w:p>
    <w:p w14:paraId="2F02444D" w14:textId="77777777" w:rsidR="004F07DF" w:rsidRPr="00EB17A8" w:rsidRDefault="004F07DF" w:rsidP="004F07DF">
      <w:pPr>
        <w:rPr>
          <w:b/>
          <w:bCs/>
        </w:rPr>
      </w:pPr>
      <w:r w:rsidRPr="00EB17A8">
        <w:rPr>
          <w:b/>
          <w:bCs/>
        </w:rPr>
        <w:lastRenderedPageBreak/>
        <w:t xml:space="preserve">Article 4: Assistance to the contracting authority </w:t>
      </w:r>
    </w:p>
    <w:p w14:paraId="0503011D" w14:textId="77777777" w:rsidR="004F07DF" w:rsidRPr="00EB17A8" w:rsidRDefault="004F07DF" w:rsidP="004F07DF">
      <w:pPr>
        <w:numPr>
          <w:ilvl w:val="1"/>
          <w:numId w:val="23"/>
        </w:numPr>
      </w:pPr>
      <w:r w:rsidRPr="00EB17A8">
        <w:rPr>
          <w:b/>
        </w:rPr>
        <w:t>Legal conformity</w:t>
      </w:r>
      <w:r w:rsidRPr="00EB17A8">
        <w:t xml:space="preserve"> </w:t>
      </w:r>
      <w:proofErr w:type="gramStart"/>
      <w:r w:rsidRPr="00EB17A8">
        <w:t>The</w:t>
      </w:r>
      <w:proofErr w:type="gramEnd"/>
      <w:r w:rsidRPr="00EB17A8">
        <w:t xml:space="preserve"> contractor assists the contracting authority in accordance with its obligations under the Regulation, taking into account the nature of the processing and the information available to the contractor.</w:t>
      </w:r>
    </w:p>
    <w:p w14:paraId="5F4E5F6B" w14:textId="77777777" w:rsidR="004F07DF" w:rsidRPr="00EB17A8" w:rsidRDefault="004F07DF" w:rsidP="004F07DF"/>
    <w:p w14:paraId="5CAF7A50" w14:textId="77777777" w:rsidR="004F07DF" w:rsidRPr="00EB17A8" w:rsidRDefault="004F07DF" w:rsidP="004F07DF">
      <w:pPr>
        <w:numPr>
          <w:ilvl w:val="1"/>
          <w:numId w:val="23"/>
        </w:numPr>
      </w:pPr>
      <w:r w:rsidRPr="00EB17A8">
        <w:rPr>
          <w:b/>
          <w:bCs/>
        </w:rPr>
        <w:t>Personal data breach</w:t>
      </w:r>
      <w:r w:rsidRPr="00EB17A8">
        <w:t xml:space="preserve"> </w:t>
      </w:r>
      <w:proofErr w:type="gramStart"/>
      <w:r w:rsidRPr="00EB17A8">
        <w:t>In</w:t>
      </w:r>
      <w:proofErr w:type="gramEnd"/>
      <w:r w:rsidRPr="00EB17A8">
        <w:t xml:space="preserve"> the case of a personal data breach in relation to processing under this Agreement, the contractor must without undue delay after having become aware of it notify the personal data breach to the contracting authority.</w:t>
      </w:r>
    </w:p>
    <w:p w14:paraId="52F44539" w14:textId="77777777" w:rsidR="004F07DF" w:rsidRPr="00EB17A8" w:rsidRDefault="004F07DF" w:rsidP="004F07DF"/>
    <w:p w14:paraId="001086B5" w14:textId="77777777" w:rsidR="004F07DF" w:rsidRPr="00EB17A8" w:rsidRDefault="004F07DF" w:rsidP="004F07DF">
      <w:r w:rsidRPr="00EB17A8">
        <w:t>At the very least, this notification should include the following information:</w:t>
      </w:r>
    </w:p>
    <w:p w14:paraId="150C8FEB" w14:textId="77777777" w:rsidR="004F07DF" w:rsidRPr="00EB17A8" w:rsidRDefault="004F07DF" w:rsidP="004F07DF">
      <w:pPr>
        <w:numPr>
          <w:ilvl w:val="0"/>
          <w:numId w:val="21"/>
        </w:numPr>
        <w:rPr>
          <w:lang w:val="en-US"/>
        </w:rPr>
      </w:pPr>
      <w:r w:rsidRPr="00EB17A8">
        <w:rPr>
          <w:lang w:val="en-US"/>
        </w:rPr>
        <w:t xml:space="preserve">Nature of the personal data </w:t>
      </w:r>
      <w:proofErr w:type="gramStart"/>
      <w:r w:rsidRPr="00EB17A8">
        <w:rPr>
          <w:lang w:val="en-US"/>
        </w:rPr>
        <w:t>breach;</w:t>
      </w:r>
      <w:proofErr w:type="gramEnd"/>
      <w:r w:rsidRPr="00EB17A8">
        <w:rPr>
          <w:lang w:val="en-US"/>
        </w:rPr>
        <w:t xml:space="preserve"> </w:t>
      </w:r>
    </w:p>
    <w:p w14:paraId="1DF9ECC3" w14:textId="77777777" w:rsidR="004F07DF" w:rsidRPr="00EB17A8" w:rsidRDefault="004F07DF" w:rsidP="004F07DF">
      <w:pPr>
        <w:numPr>
          <w:ilvl w:val="0"/>
          <w:numId w:val="21"/>
        </w:numPr>
        <w:rPr>
          <w:lang w:val="en-US"/>
        </w:rPr>
      </w:pPr>
      <w:r w:rsidRPr="00EB17A8">
        <w:rPr>
          <w:lang w:val="en-US"/>
        </w:rPr>
        <w:t xml:space="preserve">The categories of personal </w:t>
      </w:r>
      <w:proofErr w:type="gramStart"/>
      <w:r w:rsidRPr="00EB17A8">
        <w:rPr>
          <w:lang w:val="en-US"/>
        </w:rPr>
        <w:t>data;</w:t>
      </w:r>
      <w:proofErr w:type="gramEnd"/>
    </w:p>
    <w:p w14:paraId="17FCB36D" w14:textId="77777777" w:rsidR="004F07DF" w:rsidRPr="00EB17A8" w:rsidRDefault="004F07DF" w:rsidP="004F07DF">
      <w:pPr>
        <w:numPr>
          <w:ilvl w:val="0"/>
          <w:numId w:val="21"/>
        </w:numPr>
        <w:rPr>
          <w:lang w:val="en-US"/>
        </w:rPr>
      </w:pPr>
      <w:r w:rsidRPr="00EB17A8">
        <w:rPr>
          <w:lang w:val="en-US"/>
        </w:rPr>
        <w:t xml:space="preserve">The categories and approximate number of data subjects </w:t>
      </w:r>
      <w:proofErr w:type="gramStart"/>
      <w:r w:rsidRPr="00EB17A8">
        <w:rPr>
          <w:lang w:val="en-US"/>
        </w:rPr>
        <w:t>concerned;</w:t>
      </w:r>
      <w:proofErr w:type="gramEnd"/>
    </w:p>
    <w:p w14:paraId="547C21E8" w14:textId="77777777" w:rsidR="004F07DF" w:rsidRPr="00EB17A8" w:rsidRDefault="004F07DF" w:rsidP="004F07DF">
      <w:pPr>
        <w:numPr>
          <w:ilvl w:val="0"/>
          <w:numId w:val="21"/>
        </w:numPr>
        <w:rPr>
          <w:lang w:val="en-US"/>
        </w:rPr>
      </w:pPr>
      <w:r w:rsidRPr="00EB17A8">
        <w:rPr>
          <w:lang w:val="en-US"/>
        </w:rPr>
        <w:t xml:space="preserve">The categories and approximate number of personal data records </w:t>
      </w:r>
      <w:proofErr w:type="gramStart"/>
      <w:r w:rsidRPr="00EB17A8">
        <w:rPr>
          <w:lang w:val="en-US"/>
        </w:rPr>
        <w:t>concerned;</w:t>
      </w:r>
      <w:proofErr w:type="gramEnd"/>
      <w:r w:rsidRPr="00EB17A8">
        <w:rPr>
          <w:lang w:val="en-US"/>
        </w:rPr>
        <w:t xml:space="preserve"> </w:t>
      </w:r>
    </w:p>
    <w:p w14:paraId="392D9BCC" w14:textId="77777777" w:rsidR="004F07DF" w:rsidRPr="00EB17A8" w:rsidRDefault="004F07DF" w:rsidP="004F07DF">
      <w:pPr>
        <w:numPr>
          <w:ilvl w:val="0"/>
          <w:numId w:val="21"/>
        </w:numPr>
        <w:rPr>
          <w:lang w:val="en-US"/>
        </w:rPr>
      </w:pPr>
      <w:r w:rsidRPr="00EB17A8">
        <w:rPr>
          <w:lang w:val="en-US"/>
        </w:rPr>
        <w:t xml:space="preserve">The likely consequences of the personal data </w:t>
      </w:r>
      <w:proofErr w:type="gramStart"/>
      <w:r w:rsidRPr="00EB17A8">
        <w:rPr>
          <w:lang w:val="en-US"/>
        </w:rPr>
        <w:t>breach;</w:t>
      </w:r>
      <w:proofErr w:type="gramEnd"/>
    </w:p>
    <w:p w14:paraId="25BEA4C6" w14:textId="77777777" w:rsidR="004F07DF" w:rsidRPr="00EB17A8" w:rsidRDefault="004F07DF" w:rsidP="004F07DF">
      <w:pPr>
        <w:numPr>
          <w:ilvl w:val="0"/>
          <w:numId w:val="21"/>
        </w:numPr>
        <w:rPr>
          <w:lang w:val="en-US"/>
        </w:rPr>
      </w:pPr>
      <w:r w:rsidRPr="00EB17A8">
        <w:rPr>
          <w:lang w:val="en-US"/>
        </w:rPr>
        <w:t>The measures taken or proposed to be taken by the contractor to address the personal data breach, including, where appropriate, measures to mitigate its possible adverse effects.</w:t>
      </w:r>
    </w:p>
    <w:p w14:paraId="1DC3F43B" w14:textId="77777777" w:rsidR="004F07DF" w:rsidRPr="00EB17A8" w:rsidRDefault="004F07DF" w:rsidP="004F07DF">
      <w:pPr>
        <w:rPr>
          <w:lang w:val="en-US"/>
        </w:rPr>
      </w:pPr>
    </w:p>
    <w:p w14:paraId="017D4D09" w14:textId="77777777" w:rsidR="004F07DF" w:rsidRPr="00EB17A8" w:rsidRDefault="004F07DF" w:rsidP="004F07DF">
      <w:pPr>
        <w:rPr>
          <w:bCs/>
          <w:lang w:val="en-US"/>
        </w:rPr>
      </w:pPr>
      <w:r w:rsidRPr="00EB17A8">
        <w:rPr>
          <w:lang w:val="en-US"/>
        </w:rPr>
        <w:t xml:space="preserve">The contractor is required to remedy the negative consequences of a data breach as quickly as possible or to </w:t>
      </w:r>
      <w:proofErr w:type="spellStart"/>
      <w:r w:rsidRPr="00EB17A8">
        <w:rPr>
          <w:lang w:val="en-US"/>
        </w:rPr>
        <w:t>minimise</w:t>
      </w:r>
      <w:proofErr w:type="spellEnd"/>
      <w:r w:rsidRPr="00EB17A8">
        <w:rPr>
          <w:lang w:val="en-US"/>
        </w:rPr>
        <w:t xml:space="preserve"> other potential consequences. The contractor will immediately implement all remedies requested by the contracting authority or the relevant authorities to remedy any data breach or other non-compliance and/or mitigate the risks associated with these events. The contractor will have to </w:t>
      </w:r>
      <w:proofErr w:type="gramStart"/>
      <w:r w:rsidRPr="00EB17A8">
        <w:rPr>
          <w:lang w:val="en-US"/>
        </w:rPr>
        <w:t>cooperate at all times</w:t>
      </w:r>
      <w:proofErr w:type="gramEnd"/>
      <w:r w:rsidRPr="00EB17A8">
        <w:rPr>
          <w:lang w:val="en-US"/>
        </w:rPr>
        <w:t xml:space="preserve"> with the contracting authority and observe its instructions in order to enable it to carry out an appropriate investigation into the data breach, formulate a correct response and then take appropriate action.</w:t>
      </w:r>
    </w:p>
    <w:p w14:paraId="3F00FE54" w14:textId="77777777" w:rsidR="004F07DF" w:rsidRPr="00EB17A8" w:rsidRDefault="004F07DF" w:rsidP="004F07DF"/>
    <w:p w14:paraId="2429AEDD" w14:textId="77777777" w:rsidR="004F07DF" w:rsidRPr="00EB17A8" w:rsidRDefault="004F07DF" w:rsidP="004F07DF">
      <w:pPr>
        <w:numPr>
          <w:ilvl w:val="1"/>
          <w:numId w:val="23"/>
        </w:numPr>
      </w:pPr>
      <w:r w:rsidRPr="00EB17A8">
        <w:rPr>
          <w:b/>
        </w:rPr>
        <w:t>Data protection impact assessment</w:t>
      </w:r>
      <w:r w:rsidRPr="00EB17A8">
        <w:t xml:space="preserve"> Where applicable and </w:t>
      </w:r>
      <w:proofErr w:type="gramStart"/>
      <w:r w:rsidRPr="00EB17A8">
        <w:t>where</w:t>
      </w:r>
      <w:proofErr w:type="gramEnd"/>
      <w:r w:rsidRPr="00EB17A8">
        <w:t xml:space="preserve"> requested by the contracting authority, the contractor assists the contracting authority in carrying out the data protection impact assessment in accordance with Article 35 of the Regulation.</w:t>
      </w:r>
    </w:p>
    <w:p w14:paraId="6E262B20" w14:textId="77777777" w:rsidR="004F07DF" w:rsidRPr="00EB17A8" w:rsidRDefault="004F07DF" w:rsidP="004F07DF">
      <w:pPr>
        <w:rPr>
          <w:b/>
          <w:bCs/>
        </w:rPr>
      </w:pPr>
      <w:r w:rsidRPr="00EB17A8">
        <w:rPr>
          <w:b/>
          <w:bCs/>
        </w:rPr>
        <w:t>Article 5: Obligations of the contractor/processor</w:t>
      </w:r>
    </w:p>
    <w:p w14:paraId="49515878" w14:textId="77777777" w:rsidR="004F07DF" w:rsidRPr="00EB17A8" w:rsidRDefault="004F07DF" w:rsidP="004F07DF">
      <w:pPr>
        <w:numPr>
          <w:ilvl w:val="1"/>
          <w:numId w:val="24"/>
        </w:numPr>
      </w:pPr>
      <w:r w:rsidRPr="00EB17A8">
        <w:t xml:space="preserve">The contractor will deal with all reasonable requests from the contracting authority for the processing of personal data related to this Agreement, immediately or within a reasonable </w:t>
      </w:r>
      <w:proofErr w:type="gramStart"/>
      <w:r w:rsidRPr="00EB17A8">
        <w:t>period of time</w:t>
      </w:r>
      <w:proofErr w:type="gramEnd"/>
      <w:r w:rsidRPr="00EB17A8">
        <w:t xml:space="preserve"> (based on the legal obligations set out in the Regulation) and in an appropriate manner.  </w:t>
      </w:r>
    </w:p>
    <w:p w14:paraId="50BBD885" w14:textId="77777777" w:rsidR="004F07DF" w:rsidRPr="00EB17A8" w:rsidRDefault="004F07DF" w:rsidP="004F07DF"/>
    <w:p w14:paraId="516E59DB" w14:textId="77777777" w:rsidR="004F07DF" w:rsidRPr="00EB17A8" w:rsidRDefault="004F07DF" w:rsidP="004F07DF">
      <w:pPr>
        <w:numPr>
          <w:ilvl w:val="1"/>
          <w:numId w:val="24"/>
        </w:numPr>
      </w:pPr>
      <w:r w:rsidRPr="00EB17A8">
        <w:t xml:space="preserve">The contractor guarantees that there is no obligation arising from any applicable legislation that makes it impossible to comply with the obligations of this Agreement.  </w:t>
      </w:r>
    </w:p>
    <w:p w14:paraId="117A03D9" w14:textId="77777777" w:rsidR="004F07DF" w:rsidRPr="00EB17A8" w:rsidRDefault="004F07DF" w:rsidP="004F07DF">
      <w:pPr>
        <w:rPr>
          <w:lang w:val="en-US"/>
        </w:rPr>
      </w:pPr>
    </w:p>
    <w:p w14:paraId="10F254C8" w14:textId="77777777" w:rsidR="004F07DF" w:rsidRPr="00EB17A8" w:rsidRDefault="004F07DF" w:rsidP="004F07DF">
      <w:pPr>
        <w:numPr>
          <w:ilvl w:val="1"/>
          <w:numId w:val="24"/>
        </w:numPr>
        <w:rPr>
          <w:bCs/>
          <w:lang w:val="en-US"/>
        </w:rPr>
      </w:pPr>
      <w:r w:rsidRPr="00EB17A8">
        <w:rPr>
          <w:lang w:val="en-US"/>
        </w:rPr>
        <w:lastRenderedPageBreak/>
        <w:t>The contractor maintains complete documentation, in accordance with the law or regulations applicable to the processing of personal data carried out for the contracting authority. In particular, the contractor must keep a record of all categories of processing activities carried out on behalf of the contracting authority in accordance with Article 30 of the GDPR.</w:t>
      </w:r>
    </w:p>
    <w:p w14:paraId="3BAB31EE" w14:textId="77777777" w:rsidR="004F07DF" w:rsidRPr="00EB17A8" w:rsidRDefault="004F07DF" w:rsidP="004F07DF"/>
    <w:p w14:paraId="31A756EC" w14:textId="77777777" w:rsidR="004F07DF" w:rsidRPr="00EB17A8" w:rsidRDefault="004F07DF" w:rsidP="004F07DF">
      <w:pPr>
        <w:numPr>
          <w:ilvl w:val="1"/>
          <w:numId w:val="24"/>
        </w:numPr>
      </w:pPr>
      <w:r w:rsidRPr="00EB17A8">
        <w:t>The contractor undertakes not to process personal data for any purpose other than the performance of the public contract and the fulfilment of the responsibilities of this Agreement in accordance with the documented instructions of the contracting authority; if the contractor, for whatever reason, cannot comply with this requirement, he will notify the contracting authority without delay.</w:t>
      </w:r>
    </w:p>
    <w:p w14:paraId="7BBE5EF1" w14:textId="77777777" w:rsidR="004F07DF" w:rsidRPr="00EB17A8" w:rsidRDefault="004F07DF" w:rsidP="004F07DF"/>
    <w:p w14:paraId="514D4121" w14:textId="77777777" w:rsidR="004F07DF" w:rsidRPr="00EB17A8" w:rsidRDefault="004F07DF" w:rsidP="004F07DF">
      <w:pPr>
        <w:numPr>
          <w:ilvl w:val="1"/>
          <w:numId w:val="24"/>
        </w:numPr>
      </w:pPr>
      <w:r w:rsidRPr="00EB17A8">
        <w:t>The contractor will immediately inform the contracting authority, if he believes that an instruction by the contracting authority violates applicable data protection legislation.</w:t>
      </w:r>
    </w:p>
    <w:p w14:paraId="1BC87950" w14:textId="77777777" w:rsidR="004F07DF" w:rsidRPr="00EB17A8" w:rsidRDefault="004F07DF" w:rsidP="004F07DF">
      <w:pPr>
        <w:rPr>
          <w:lang w:val="en-US"/>
        </w:rPr>
      </w:pPr>
    </w:p>
    <w:p w14:paraId="74E2C23C" w14:textId="77777777" w:rsidR="004F07DF" w:rsidRPr="00EB17A8" w:rsidRDefault="004F07DF" w:rsidP="004F07DF">
      <w:pPr>
        <w:numPr>
          <w:ilvl w:val="1"/>
          <w:numId w:val="24"/>
        </w:numPr>
      </w:pPr>
      <w:r w:rsidRPr="00EB17A8">
        <w:t>The contractor will ensure that personal data are disclosed only to those who need it to perform the public contract in accordance with the principle of proportionality and the principle of "need to know" (</w:t>
      </w:r>
      <w:proofErr w:type="gramStart"/>
      <w:r w:rsidRPr="00EB17A8">
        <w:t>i.e.</w:t>
      </w:r>
      <w:proofErr w:type="gramEnd"/>
      <w:r w:rsidRPr="00EB17A8">
        <w:t xml:space="preserve"> data are provided only to persons who need personal data to perform the public contract as determined in the relevant Tender Specifications and this Agreement).</w:t>
      </w:r>
    </w:p>
    <w:p w14:paraId="3A425F46" w14:textId="77777777" w:rsidR="004F07DF" w:rsidRPr="00EB17A8" w:rsidRDefault="004F07DF" w:rsidP="004F07DF">
      <w:pPr>
        <w:rPr>
          <w:lang w:val="en-US"/>
        </w:rPr>
      </w:pPr>
    </w:p>
    <w:p w14:paraId="1F4DD46D" w14:textId="77777777" w:rsidR="004F07DF" w:rsidRPr="00EB17A8" w:rsidRDefault="004F07DF" w:rsidP="004F07DF">
      <w:pPr>
        <w:numPr>
          <w:ilvl w:val="1"/>
          <w:numId w:val="24"/>
        </w:numPr>
      </w:pPr>
      <w:r w:rsidRPr="00EB17A8">
        <w:t>The contractor undertakes not to disclose personal data to persons other than contracting authority personnel who require personal data to comply with the obligations of this Agreement and ensures that identified staff have accepted appropriate legal and contractual confidentiality obligations.</w:t>
      </w:r>
    </w:p>
    <w:p w14:paraId="07DB24D4" w14:textId="77777777" w:rsidR="004F07DF" w:rsidRPr="00EB17A8" w:rsidRDefault="004F07DF" w:rsidP="004F07DF">
      <w:pPr>
        <w:rPr>
          <w:lang w:val="en-US"/>
        </w:rPr>
      </w:pPr>
    </w:p>
    <w:p w14:paraId="7D209A93" w14:textId="77777777" w:rsidR="004F07DF" w:rsidRPr="00EB17A8" w:rsidRDefault="004F07DF" w:rsidP="004F07DF">
      <w:pPr>
        <w:numPr>
          <w:ilvl w:val="1"/>
          <w:numId w:val="24"/>
        </w:numPr>
      </w:pPr>
      <w:r w:rsidRPr="00EB17A8">
        <w:t xml:space="preserve">If the contractor is in breach of this public contract and the GDPR by determining the purposes and means of processing, he should be considered a personal data controller in the context of such processing. </w:t>
      </w:r>
    </w:p>
    <w:p w14:paraId="66D6F721" w14:textId="77777777" w:rsidR="004F07DF" w:rsidRPr="00EB17A8" w:rsidRDefault="004F07DF" w:rsidP="004F07DF"/>
    <w:p w14:paraId="5FD3A565" w14:textId="77777777" w:rsidR="004F07DF" w:rsidRPr="00EB17A8" w:rsidRDefault="004F07DF" w:rsidP="004F07DF">
      <w:pPr>
        <w:rPr>
          <w:b/>
          <w:bCs/>
        </w:rPr>
      </w:pPr>
      <w:r w:rsidRPr="00EB17A8">
        <w:rPr>
          <w:b/>
          <w:bCs/>
        </w:rPr>
        <w:t>Article 6: Obligations of the contracting authority/controller</w:t>
      </w:r>
    </w:p>
    <w:p w14:paraId="557D0FEC" w14:textId="77777777" w:rsidR="004F07DF" w:rsidRPr="00EB17A8" w:rsidRDefault="004F07DF" w:rsidP="004F07DF">
      <w:pPr>
        <w:numPr>
          <w:ilvl w:val="1"/>
          <w:numId w:val="25"/>
        </w:numPr>
      </w:pPr>
      <w:r w:rsidRPr="00EB17A8">
        <w:t>The contracting authority will provide all necessary assistance and cooperate in good faith with the contractor to ensure that any processing of personal data is in accordance with the requirements of the Regulation, including the principles relating to the processing of personal data.</w:t>
      </w:r>
    </w:p>
    <w:p w14:paraId="39D8B0B8" w14:textId="77777777" w:rsidR="004F07DF" w:rsidRPr="00EB17A8" w:rsidRDefault="004F07DF" w:rsidP="004F07DF"/>
    <w:p w14:paraId="49005078" w14:textId="77777777" w:rsidR="004F07DF" w:rsidRPr="00EB17A8" w:rsidRDefault="004F07DF" w:rsidP="004F07DF">
      <w:pPr>
        <w:numPr>
          <w:ilvl w:val="1"/>
          <w:numId w:val="25"/>
        </w:numPr>
      </w:pPr>
      <w:r w:rsidRPr="00EB17A8">
        <w:t xml:space="preserve">The contracting authority will agree with the contractor on the appropriate channels of communication to ensure that instructions, </w:t>
      </w:r>
      <w:proofErr w:type="gramStart"/>
      <w:r w:rsidRPr="00EB17A8">
        <w:t>guidance</w:t>
      </w:r>
      <w:proofErr w:type="gramEnd"/>
      <w:r w:rsidRPr="00EB17A8">
        <w:t xml:space="preserve"> and other communications regarding personal data that are processed by the contractor on behalf of the contracting authority are well received between the Parties. The contracting authority notifies the contractor of the identity of the single point of contact of the awarding authority that the </w:t>
      </w:r>
      <w:r w:rsidRPr="00EB17A8">
        <w:lastRenderedPageBreak/>
        <w:t>contractor is required to contact under this Agreement. Unwritten instructions (</w:t>
      </w:r>
      <w:proofErr w:type="gramStart"/>
      <w:r w:rsidRPr="00EB17A8">
        <w:t>e.g.</w:t>
      </w:r>
      <w:proofErr w:type="gramEnd"/>
      <w:r w:rsidRPr="00EB17A8">
        <w:t xml:space="preserve"> oral instructions by telephone or in person) must always be confirmed in writing.</w:t>
      </w:r>
    </w:p>
    <w:p w14:paraId="2C1BEC54" w14:textId="77777777" w:rsidR="004F07DF" w:rsidRPr="00EB17A8" w:rsidRDefault="004F07DF" w:rsidP="004F07DF"/>
    <w:p w14:paraId="46461919" w14:textId="77777777" w:rsidR="004F07DF" w:rsidRPr="00EB17A8" w:rsidRDefault="004F07DF" w:rsidP="004F07DF">
      <w:pPr>
        <w:rPr>
          <w:bCs/>
        </w:rPr>
      </w:pPr>
      <w:r w:rsidRPr="00EB17A8">
        <w:t xml:space="preserve">The point of contact of the contracting authority is: </w:t>
      </w:r>
      <w:hyperlink r:id="rId35" w:history="1">
        <w:r w:rsidRPr="00EB17A8">
          <w:rPr>
            <w:rStyle w:val="Hyperlink"/>
          </w:rPr>
          <w:t>dpo@enabel.be</w:t>
        </w:r>
      </w:hyperlink>
      <w:r w:rsidRPr="00EB17A8">
        <w:t xml:space="preserve"> </w:t>
      </w:r>
    </w:p>
    <w:p w14:paraId="0A3DB1F9" w14:textId="77777777" w:rsidR="004F07DF" w:rsidRPr="00EB17A8" w:rsidRDefault="004F07DF" w:rsidP="004F07DF"/>
    <w:p w14:paraId="7BE1416B" w14:textId="77777777" w:rsidR="004F07DF" w:rsidRPr="00EB17A8" w:rsidRDefault="004F07DF" w:rsidP="004F07DF">
      <w:pPr>
        <w:numPr>
          <w:ilvl w:val="1"/>
          <w:numId w:val="25"/>
        </w:numPr>
      </w:pPr>
      <w:r w:rsidRPr="00EB17A8">
        <w:t>The contracting authority guarantees that it will not issue any instructions, guidance or requests to the contractor who does not comply with the provisions of the Regulation.</w:t>
      </w:r>
    </w:p>
    <w:p w14:paraId="0B97AD45" w14:textId="77777777" w:rsidR="004F07DF" w:rsidRPr="00EB17A8" w:rsidRDefault="004F07DF" w:rsidP="004F07DF"/>
    <w:p w14:paraId="54DEEC3C" w14:textId="77777777" w:rsidR="004F07DF" w:rsidRPr="00EB17A8" w:rsidRDefault="004F07DF" w:rsidP="004F07DF">
      <w:pPr>
        <w:numPr>
          <w:ilvl w:val="1"/>
          <w:numId w:val="25"/>
        </w:numPr>
      </w:pPr>
      <w:r w:rsidRPr="00EB17A8">
        <w:t xml:space="preserve">The contracting authority provides the necessary assistance to the contractor and/or his or her subsequent subcontractors to comply with a request, order, </w:t>
      </w:r>
      <w:proofErr w:type="gramStart"/>
      <w:r w:rsidRPr="00EB17A8">
        <w:t>investigation</w:t>
      </w:r>
      <w:proofErr w:type="gramEnd"/>
      <w:r w:rsidRPr="00EB17A8">
        <w:t xml:space="preserve"> or subpoena addressed to the contractor or his subsequent subcontractor(s) by a competent government or judicial authority.</w:t>
      </w:r>
    </w:p>
    <w:p w14:paraId="07198E2C" w14:textId="77777777" w:rsidR="004F07DF" w:rsidRPr="00EB17A8" w:rsidRDefault="004F07DF" w:rsidP="004F07DF"/>
    <w:p w14:paraId="7A6FCF53" w14:textId="77777777" w:rsidR="004F07DF" w:rsidRPr="00EB17A8" w:rsidRDefault="004F07DF" w:rsidP="004F07DF">
      <w:pPr>
        <w:numPr>
          <w:ilvl w:val="1"/>
          <w:numId w:val="25"/>
        </w:numPr>
      </w:pPr>
      <w:r w:rsidRPr="00EB17A8">
        <w:t xml:space="preserve">The contracting authority guarantees that it will not instruct, </w:t>
      </w:r>
      <w:proofErr w:type="gramStart"/>
      <w:r w:rsidRPr="00EB17A8">
        <w:t>guide</w:t>
      </w:r>
      <w:proofErr w:type="gramEnd"/>
      <w:r w:rsidRPr="00EB17A8">
        <w:t xml:space="preserve"> or ask the contractor to compel the contractor and/or his subsequent subcontractor(s) to violate any obligation imposed by the applicable mandatory national legislation to which the contractor and/or his subcontractor(s) are subject.</w:t>
      </w:r>
      <w:r w:rsidRPr="00EB17A8">
        <w:cr/>
      </w:r>
      <w:r w:rsidRPr="00EB17A8">
        <w:br/>
      </w:r>
    </w:p>
    <w:p w14:paraId="2E719CD6" w14:textId="77777777" w:rsidR="004F07DF" w:rsidRPr="00EB17A8" w:rsidRDefault="004F07DF" w:rsidP="004F07DF"/>
    <w:p w14:paraId="579A96FB" w14:textId="77777777" w:rsidR="004F07DF" w:rsidRPr="00EB17A8" w:rsidRDefault="004F07DF" w:rsidP="004F07DF">
      <w:pPr>
        <w:numPr>
          <w:ilvl w:val="1"/>
          <w:numId w:val="25"/>
        </w:numPr>
      </w:pPr>
      <w:r w:rsidRPr="00EB17A8">
        <w:t xml:space="preserve">The contracting authority ensures that it will cooperate in good faith with the contractor </w:t>
      </w:r>
      <w:proofErr w:type="gramStart"/>
      <w:r w:rsidRPr="00EB17A8">
        <w:t>in order to</w:t>
      </w:r>
      <w:proofErr w:type="gramEnd"/>
      <w:r w:rsidRPr="00EB17A8">
        <w:t xml:space="preserve"> mitigate the negative effects of a security incident affecting the personal data processed by the contractor and/or his subsequent contractor(s) on behalf of the contracting authority.</w:t>
      </w:r>
    </w:p>
    <w:p w14:paraId="609F01D5" w14:textId="77777777" w:rsidR="004F07DF" w:rsidRPr="00EB17A8" w:rsidRDefault="004F07DF" w:rsidP="004F07DF">
      <w:pPr>
        <w:rPr>
          <w:b/>
          <w:bCs/>
        </w:rPr>
      </w:pPr>
      <w:r w:rsidRPr="00EB17A8">
        <w:rPr>
          <w:b/>
          <w:bCs/>
        </w:rPr>
        <w:t>Article 7: Use of subsequent subcontractors/processors</w:t>
      </w:r>
    </w:p>
    <w:p w14:paraId="4F1642BC" w14:textId="77777777" w:rsidR="004F07DF" w:rsidRPr="00EB17A8" w:rsidRDefault="18348483" w:rsidP="004F07DF">
      <w:pPr>
        <w:numPr>
          <w:ilvl w:val="1"/>
          <w:numId w:val="26"/>
        </w:numPr>
      </w:pPr>
      <w:r w:rsidRPr="00EB17A8">
        <w:t>In accordance with the Tender Specifications, the contractor may use the capacity of a third party to tender for the public contract, which constitutes further subcontracting within the meaning of Article 28 of the GDPR</w:t>
      </w:r>
      <w:r w:rsidR="004F07DF" w:rsidRPr="00EB17A8">
        <w:rPr>
          <w:vertAlign w:val="superscript"/>
          <w:lang w:val="fr-FR"/>
        </w:rPr>
        <w:footnoteReference w:id="21"/>
      </w:r>
      <w:r w:rsidRPr="00EB17A8">
        <w:t>.</w:t>
      </w:r>
    </w:p>
    <w:p w14:paraId="240B17E4" w14:textId="77777777" w:rsidR="004F07DF" w:rsidRPr="00EB17A8" w:rsidRDefault="004F07DF" w:rsidP="004F07DF"/>
    <w:p w14:paraId="58A04764" w14:textId="77777777" w:rsidR="004F07DF" w:rsidRPr="00EB17A8" w:rsidRDefault="004F07DF" w:rsidP="004F07DF">
      <w:pPr>
        <w:numPr>
          <w:ilvl w:val="1"/>
          <w:numId w:val="26"/>
        </w:numPr>
      </w:pPr>
      <w:r w:rsidRPr="00EB17A8">
        <w:t>The contractor may engage another subcontractor (hereinafter, the ‘subsequent subcontractor’) for carrying out specific processing activities. In this case, he informs the contracting authority in advance and in writing of any change considered with regards to adding or replacing other subcontractors. This information must clearly indicate the processing activities that are subcontracted, the identity and contact details of the subcontractor and the dates of the subcontracting contract. The contracting authority disposes of a minimum period of […] from the date of reception of said information to voice any objections. Such subsequent subcontracting may only be carried out if the contracting authority has not voiced any objection during said period.</w:t>
      </w:r>
    </w:p>
    <w:p w14:paraId="17DF9EB3" w14:textId="77777777" w:rsidR="004F07DF" w:rsidRPr="00EB17A8" w:rsidRDefault="004F07DF" w:rsidP="004F07DF"/>
    <w:p w14:paraId="78D7E48F" w14:textId="77777777" w:rsidR="004F07DF" w:rsidRPr="00EB17A8" w:rsidRDefault="004F07DF" w:rsidP="004F07DF">
      <w:pPr>
        <w:numPr>
          <w:ilvl w:val="1"/>
          <w:numId w:val="26"/>
        </w:numPr>
      </w:pPr>
      <w:r w:rsidRPr="00EB17A8">
        <w:lastRenderedPageBreak/>
        <w:t>The contractor will use only subsequent subcontractors who provide sufficient guarantees to implement appropriate technical and organisational measures in such a manner that the processing will meet the requirements of this public contract, of Belgian legislation and of the GPDR and assures the rights of the data subject concerned.</w:t>
      </w:r>
    </w:p>
    <w:p w14:paraId="0D68303F" w14:textId="77777777" w:rsidR="004F07DF" w:rsidRPr="00EB17A8" w:rsidRDefault="004F07DF" w:rsidP="004F07DF"/>
    <w:p w14:paraId="710FA2BF" w14:textId="77777777" w:rsidR="004F07DF" w:rsidRPr="00EB17A8" w:rsidRDefault="004F07DF" w:rsidP="004F07DF">
      <w:pPr>
        <w:numPr>
          <w:ilvl w:val="1"/>
          <w:numId w:val="26"/>
        </w:numPr>
      </w:pPr>
      <w:r w:rsidRPr="00EB17A8">
        <w:t xml:space="preserve">When the contractor uses another subcontractor to carry out specific processing activities in the name of the contracting authority, obligations in any respect identical to those provided for in this Agreement will have to be imposed on this subsequent subcontractor; the latter </w:t>
      </w:r>
      <w:proofErr w:type="gramStart"/>
      <w:r w:rsidRPr="00EB17A8">
        <w:t>in particular must</w:t>
      </w:r>
      <w:proofErr w:type="gramEnd"/>
      <w:r w:rsidRPr="00EB17A8">
        <w:t xml:space="preserve"> provide the same sufficient guarantees to implement appropriate technical and organisational measures in such a manner that the processing will meet the requirements of the Regulation.</w:t>
      </w:r>
    </w:p>
    <w:p w14:paraId="7FE36C9F" w14:textId="77777777" w:rsidR="004F07DF" w:rsidRPr="00EB17A8" w:rsidRDefault="004F07DF" w:rsidP="004F07DF">
      <w:r w:rsidRPr="00EB17A8">
        <w:t>Agreements with the subsequent subcontractor are written down. Upon request, the contractor will be required to provide the contracting authority with a copy of this contract or these contracts.</w:t>
      </w:r>
    </w:p>
    <w:p w14:paraId="52CB1E0D" w14:textId="77777777" w:rsidR="004F07DF" w:rsidRPr="00EB17A8" w:rsidRDefault="004F07DF" w:rsidP="004F07DF"/>
    <w:p w14:paraId="554CB02A" w14:textId="77777777" w:rsidR="004F07DF" w:rsidRPr="00EB17A8" w:rsidRDefault="004F07DF" w:rsidP="004F07DF">
      <w:pPr>
        <w:numPr>
          <w:ilvl w:val="1"/>
          <w:numId w:val="26"/>
        </w:numPr>
      </w:pPr>
      <w:r w:rsidRPr="00EB17A8">
        <w:t>Where the subsequent subcontractor fails to fulfil his data protection obligations, the contractor shall remain fully liable to the contracting authority for the performance of the subsequent subcontractor's obligations.</w:t>
      </w:r>
    </w:p>
    <w:p w14:paraId="7A0F141F" w14:textId="77777777" w:rsidR="004F07DF" w:rsidRPr="00EB17A8" w:rsidRDefault="004F07DF" w:rsidP="004F07DF"/>
    <w:p w14:paraId="2F83D370" w14:textId="77777777" w:rsidR="004F07DF" w:rsidRPr="00EB17A8" w:rsidRDefault="004F07DF" w:rsidP="004F07DF">
      <w:pPr>
        <w:numPr>
          <w:ilvl w:val="1"/>
          <w:numId w:val="26"/>
        </w:numPr>
      </w:pPr>
      <w:r w:rsidRPr="00EB17A8">
        <w:t>The contractor must pass on the specific objectives and instructions issued by the contracting authority in a precise and timely manner to the subsequent subcontractor(s) when and where these objectives and instructions relate to the part of the processing in which the subsequent subcontractor(s) is or are involved.</w:t>
      </w:r>
    </w:p>
    <w:p w14:paraId="6F5331FF" w14:textId="77777777" w:rsidR="004F07DF" w:rsidRPr="00EB17A8" w:rsidRDefault="004F07DF" w:rsidP="004F07DF"/>
    <w:p w14:paraId="65B1FA52" w14:textId="77777777" w:rsidR="004F07DF" w:rsidRPr="00EB17A8" w:rsidRDefault="004F07DF" w:rsidP="004F07DF">
      <w:pPr>
        <w:rPr>
          <w:b/>
          <w:bCs/>
        </w:rPr>
      </w:pPr>
      <w:r w:rsidRPr="00EB17A8">
        <w:rPr>
          <w:b/>
          <w:bCs/>
        </w:rPr>
        <w:t xml:space="preserve">Article 8: Rights of the data subject concerned </w:t>
      </w:r>
    </w:p>
    <w:p w14:paraId="77DD1133" w14:textId="77777777" w:rsidR="004F07DF" w:rsidRPr="00EB17A8" w:rsidRDefault="004F07DF" w:rsidP="004F07DF">
      <w:pPr>
        <w:numPr>
          <w:ilvl w:val="1"/>
          <w:numId w:val="27"/>
        </w:numPr>
        <w:rPr>
          <w:lang w:val="en-US"/>
        </w:rPr>
      </w:pPr>
      <w:r w:rsidRPr="00EB17A8">
        <w:rPr>
          <w:lang w:val="en-US"/>
        </w:rPr>
        <w:t xml:space="preserve">Where possible, </w:t>
      </w:r>
      <w:proofErr w:type="gramStart"/>
      <w:r w:rsidRPr="00EB17A8">
        <w:rPr>
          <w:lang w:val="en-US"/>
        </w:rPr>
        <w:t>taking into account</w:t>
      </w:r>
      <w:proofErr w:type="gramEnd"/>
      <w:r w:rsidRPr="00EB17A8">
        <w:rPr>
          <w:lang w:val="en-US"/>
        </w:rPr>
        <w:t xml:space="preserve"> the nature of the processing and through appropriate technical and </w:t>
      </w:r>
      <w:proofErr w:type="spellStart"/>
      <w:r w:rsidRPr="00EB17A8">
        <w:rPr>
          <w:lang w:val="en-US"/>
        </w:rPr>
        <w:t>organisational</w:t>
      </w:r>
      <w:proofErr w:type="spellEnd"/>
      <w:r w:rsidRPr="00EB17A8">
        <w:rPr>
          <w:lang w:val="en-US"/>
        </w:rPr>
        <w:t xml:space="preserve"> measures, the contractor undertakes to assist the contracting authority in fulfilling its obligation to respond to requests of exercise of data subject rights in accordance with Chapter III of the Regulation.</w:t>
      </w:r>
    </w:p>
    <w:p w14:paraId="76E9C391" w14:textId="77777777" w:rsidR="004F07DF" w:rsidRPr="00EB17A8" w:rsidRDefault="004F07DF" w:rsidP="004F07DF">
      <w:pPr>
        <w:rPr>
          <w:lang w:val="en-US"/>
        </w:rPr>
      </w:pPr>
    </w:p>
    <w:p w14:paraId="01007D34" w14:textId="77777777" w:rsidR="004F07DF" w:rsidRPr="00EB17A8" w:rsidRDefault="004F07DF" w:rsidP="004F07DF">
      <w:pPr>
        <w:numPr>
          <w:ilvl w:val="1"/>
          <w:numId w:val="27"/>
        </w:numPr>
        <w:rPr>
          <w:lang w:val="en-US"/>
        </w:rPr>
      </w:pPr>
      <w:r w:rsidRPr="00EB17A8">
        <w:rPr>
          <w:lang w:val="en-US"/>
        </w:rPr>
        <w:t>With respect to any request from the data subjects concerned in connection with their rights regarding the processing of personal data concerning them by the contracting authority and/or his subsequent subcontractor(s), the following conditions apply:</w:t>
      </w:r>
    </w:p>
    <w:p w14:paraId="0ACFDA2F" w14:textId="77777777" w:rsidR="004F07DF" w:rsidRPr="00EB17A8" w:rsidRDefault="004F07DF" w:rsidP="004F07DF">
      <w:pPr>
        <w:rPr>
          <w:lang w:val="en-US"/>
        </w:rPr>
      </w:pPr>
    </w:p>
    <w:p w14:paraId="62F1E995" w14:textId="77777777" w:rsidR="004F07DF" w:rsidRPr="00EB17A8" w:rsidRDefault="004F07DF" w:rsidP="004F07DF">
      <w:pPr>
        <w:numPr>
          <w:ilvl w:val="0"/>
          <w:numId w:val="15"/>
        </w:numPr>
        <w:rPr>
          <w:lang w:val="en-US"/>
        </w:rPr>
      </w:pPr>
      <w:r w:rsidRPr="00EB17A8">
        <w:rPr>
          <w:lang w:val="en-US"/>
        </w:rPr>
        <w:t xml:space="preserve">The contractor will immediately inform the contracting authority of any request made by a data subject concerned relating to personal data that the contractor and/or his subsequent subcontractor(s)s are processing on behalf of the contracting </w:t>
      </w:r>
      <w:proofErr w:type="gramStart"/>
      <w:r w:rsidRPr="00EB17A8">
        <w:rPr>
          <w:lang w:val="en-US"/>
        </w:rPr>
        <w:t>authority;</w:t>
      </w:r>
      <w:proofErr w:type="gramEnd"/>
    </w:p>
    <w:p w14:paraId="759ADA6C" w14:textId="77777777" w:rsidR="004F07DF" w:rsidRPr="00EB17A8" w:rsidRDefault="004F07DF" w:rsidP="004F07DF">
      <w:pPr>
        <w:rPr>
          <w:lang w:val="en-US"/>
        </w:rPr>
      </w:pPr>
    </w:p>
    <w:p w14:paraId="50BA48EF" w14:textId="77777777" w:rsidR="004F07DF" w:rsidRPr="00EB17A8" w:rsidRDefault="004F07DF" w:rsidP="004F07DF">
      <w:pPr>
        <w:numPr>
          <w:ilvl w:val="0"/>
          <w:numId w:val="15"/>
        </w:numPr>
        <w:rPr>
          <w:lang w:val="en-US"/>
        </w:rPr>
      </w:pPr>
      <w:r w:rsidRPr="00EB17A8">
        <w:rPr>
          <w:lang w:val="en-US"/>
        </w:rPr>
        <w:t xml:space="preserve">The contractor will comply promptly and require his subsequent subcontractor(s) to promptly comply with any request from the contracting authority to comply with a request by the data subject concerned to exercise one of their </w:t>
      </w:r>
      <w:proofErr w:type="gramStart"/>
      <w:r w:rsidRPr="00EB17A8">
        <w:rPr>
          <w:lang w:val="en-US"/>
        </w:rPr>
        <w:t>rights;</w:t>
      </w:r>
      <w:proofErr w:type="gramEnd"/>
    </w:p>
    <w:p w14:paraId="158CE1A7" w14:textId="77777777" w:rsidR="004F07DF" w:rsidRPr="00EB17A8" w:rsidRDefault="004F07DF" w:rsidP="004F07DF">
      <w:pPr>
        <w:rPr>
          <w:lang w:val="en-US"/>
        </w:rPr>
      </w:pPr>
    </w:p>
    <w:p w14:paraId="58B97B90" w14:textId="77777777" w:rsidR="004F07DF" w:rsidRPr="00EB17A8" w:rsidRDefault="004F07DF" w:rsidP="004F07DF">
      <w:pPr>
        <w:numPr>
          <w:ilvl w:val="0"/>
          <w:numId w:val="15"/>
        </w:numPr>
        <w:rPr>
          <w:lang w:val="en-US"/>
        </w:rPr>
      </w:pPr>
      <w:r w:rsidRPr="00EB17A8">
        <w:rPr>
          <w:lang w:val="en-US"/>
        </w:rPr>
        <w:t xml:space="preserve">The contractor will ensure that he and his subsequent subcontractor(s) have the technical and </w:t>
      </w:r>
      <w:proofErr w:type="spellStart"/>
      <w:r w:rsidRPr="00EB17A8">
        <w:rPr>
          <w:lang w:val="en-US"/>
        </w:rPr>
        <w:t>organisational</w:t>
      </w:r>
      <w:proofErr w:type="spellEnd"/>
      <w:r w:rsidRPr="00EB17A8">
        <w:rPr>
          <w:lang w:val="en-US"/>
        </w:rPr>
        <w:t xml:space="preserve"> capabilities to block access to personal data and to physically destroy the data without the possibility of recovery </w:t>
      </w:r>
      <w:proofErr w:type="gramStart"/>
      <w:r w:rsidRPr="00EB17A8">
        <w:rPr>
          <w:lang w:val="en-US"/>
        </w:rPr>
        <w:t>if and when</w:t>
      </w:r>
      <w:proofErr w:type="gramEnd"/>
      <w:r w:rsidRPr="00EB17A8">
        <w:rPr>
          <w:lang w:val="en-US"/>
        </w:rPr>
        <w:t xml:space="preserve"> such a request is made by the contracting authority. Without prejudice to the above, the contractor retains the opportunity to consider whether the request of the contracting authority does not constitute a violation of the Regulation.</w:t>
      </w:r>
    </w:p>
    <w:p w14:paraId="5EC6307B" w14:textId="77777777" w:rsidR="004F07DF" w:rsidRPr="00EB17A8" w:rsidRDefault="004F07DF" w:rsidP="004F07DF"/>
    <w:p w14:paraId="743ED179" w14:textId="77777777" w:rsidR="004F07DF" w:rsidRPr="00EB17A8" w:rsidRDefault="004F07DF" w:rsidP="004F07DF">
      <w:pPr>
        <w:numPr>
          <w:ilvl w:val="1"/>
          <w:numId w:val="27"/>
        </w:numPr>
      </w:pPr>
      <w:r w:rsidRPr="00EB17A8">
        <w:t xml:space="preserve">The contractor must, at the request of the contracting authority, provide all necessary assistance and provide all necessary information for the contracting authority to defend its interests in any proceeding - judicial, </w:t>
      </w:r>
      <w:proofErr w:type="gramStart"/>
      <w:r w:rsidRPr="00EB17A8">
        <w:t>arbitral</w:t>
      </w:r>
      <w:proofErr w:type="gramEnd"/>
      <w:r w:rsidRPr="00EB17A8">
        <w:t xml:space="preserve"> or otherwise - brought against the contracting authority or its staff for any violation of the fundamental rights to privacy and the protection of the personal data of the data subjects concerned.</w:t>
      </w:r>
    </w:p>
    <w:p w14:paraId="28F6F34A" w14:textId="77777777" w:rsidR="004F07DF" w:rsidRPr="00EB17A8" w:rsidRDefault="004F07DF" w:rsidP="004F07DF">
      <w:pPr>
        <w:rPr>
          <w:b/>
          <w:bCs/>
        </w:rPr>
      </w:pPr>
      <w:r w:rsidRPr="00EB17A8">
        <w:rPr>
          <w:b/>
          <w:bCs/>
        </w:rPr>
        <w:t xml:space="preserve">Article 9: Security measures </w:t>
      </w:r>
    </w:p>
    <w:p w14:paraId="24E019C1" w14:textId="77777777" w:rsidR="004F07DF" w:rsidRPr="00EB17A8" w:rsidRDefault="004F07DF" w:rsidP="004F07DF">
      <w:pPr>
        <w:numPr>
          <w:ilvl w:val="1"/>
          <w:numId w:val="28"/>
        </w:numPr>
      </w:pPr>
      <w:r w:rsidRPr="00EB17A8">
        <w:t xml:space="preserve">Throughout the duration of this Agreement, the contractor must have appropriate technical and organisational measures in place to ensure that the processing meets the requirements of the Regulation and ensures the protection of the rights of the data subject concerned.  </w:t>
      </w:r>
    </w:p>
    <w:p w14:paraId="4448B99C" w14:textId="77777777" w:rsidR="004F07DF" w:rsidRPr="00EB17A8" w:rsidRDefault="004F07DF" w:rsidP="004F07DF"/>
    <w:p w14:paraId="35056DDD" w14:textId="77777777" w:rsidR="004F07DF" w:rsidRPr="00EB17A8" w:rsidRDefault="004F07DF" w:rsidP="004F07DF">
      <w:pPr>
        <w:numPr>
          <w:ilvl w:val="1"/>
          <w:numId w:val="28"/>
        </w:numPr>
      </w:pPr>
      <w:r w:rsidRPr="00EB17A8">
        <w:t xml:space="preserve">The contractor undertakes to implement appropriate technical and organisational measures to ensure a level of security appropriate to the risk, in accordance with Article 32 of the Regulation.  </w:t>
      </w:r>
    </w:p>
    <w:p w14:paraId="2C54891C" w14:textId="77777777" w:rsidR="004F07DF" w:rsidRPr="00EB17A8" w:rsidRDefault="004F07DF" w:rsidP="004F07DF"/>
    <w:p w14:paraId="421CB823" w14:textId="77777777" w:rsidR="004F07DF" w:rsidRPr="00EB17A8" w:rsidRDefault="004F07DF" w:rsidP="004F07DF">
      <w:pPr>
        <w:numPr>
          <w:ilvl w:val="1"/>
          <w:numId w:val="28"/>
        </w:numPr>
      </w:pPr>
      <w:r w:rsidRPr="00EB17A8">
        <w:t xml:space="preserve">In assessing the appropriate level of security account shall be taken </w:t>
      </w:r>
      <w:proofErr w:type="gramStart"/>
      <w:r w:rsidRPr="00EB17A8">
        <w:t>in particular of</w:t>
      </w:r>
      <w:proofErr w:type="gramEnd"/>
      <w:r w:rsidRPr="00EB17A8">
        <w:t xml:space="preserve"> the risks that are presented by processing, in particular from accidental or unlawful destruction, loss, alteration, unauthorised disclosure of, or access to personal data transmitted, stored or otherwise processed.</w:t>
      </w:r>
    </w:p>
    <w:p w14:paraId="62D0DCB2" w14:textId="77777777" w:rsidR="004F07DF" w:rsidRPr="00EB17A8" w:rsidRDefault="004F07DF" w:rsidP="004F07DF"/>
    <w:p w14:paraId="01AF8B89" w14:textId="77777777" w:rsidR="004F07DF" w:rsidRPr="00EB17A8" w:rsidRDefault="004F07DF" w:rsidP="004F07DF">
      <w:pPr>
        <w:numPr>
          <w:ilvl w:val="1"/>
          <w:numId w:val="28"/>
        </w:numPr>
      </w:pPr>
      <w:r w:rsidRPr="00EB17A8">
        <w:t xml:space="preserve">The parties recognise that security requirements are continually </w:t>
      </w:r>
      <w:proofErr w:type="gramStart"/>
      <w:r w:rsidRPr="00EB17A8">
        <w:t>evolving</w:t>
      </w:r>
      <w:proofErr w:type="gramEnd"/>
      <w:r w:rsidRPr="00EB17A8">
        <w:t xml:space="preserve"> and that effective security requires frequent assessment and regular improvement of outdated security measures. The contractor will therefore have to continually assess and strengthen, </w:t>
      </w:r>
      <w:proofErr w:type="gramStart"/>
      <w:r w:rsidRPr="00EB17A8">
        <w:t>complete</w:t>
      </w:r>
      <w:proofErr w:type="gramEnd"/>
      <w:r w:rsidRPr="00EB17A8">
        <w:t xml:space="preserve"> or improve the measures implemented with a view to the continued compliance of his obligations.</w:t>
      </w:r>
    </w:p>
    <w:p w14:paraId="4688A557" w14:textId="77777777" w:rsidR="004F07DF" w:rsidRPr="00EB17A8" w:rsidRDefault="004F07DF" w:rsidP="004F07DF"/>
    <w:p w14:paraId="033BD8A6" w14:textId="77777777" w:rsidR="004F07DF" w:rsidRPr="00EB17A8" w:rsidRDefault="004F07DF" w:rsidP="004F07DF">
      <w:pPr>
        <w:numPr>
          <w:ilvl w:val="1"/>
          <w:numId w:val="28"/>
        </w:numPr>
      </w:pPr>
      <w:r w:rsidRPr="00EB17A8">
        <w:t>The contractor provides the contracting authority with a complete and clear description, in a transparent and understandable manner, of how he handles its personal data (Annex 3).</w:t>
      </w:r>
    </w:p>
    <w:p w14:paraId="29F2FAD9" w14:textId="77777777" w:rsidR="004F07DF" w:rsidRPr="00EB17A8" w:rsidRDefault="004F07DF" w:rsidP="004F07DF"/>
    <w:p w14:paraId="698E268E" w14:textId="77777777" w:rsidR="004F07DF" w:rsidRPr="00EB17A8" w:rsidRDefault="004F07DF" w:rsidP="004F07DF">
      <w:pPr>
        <w:numPr>
          <w:ilvl w:val="1"/>
          <w:numId w:val="28"/>
        </w:numPr>
      </w:pPr>
      <w:proofErr w:type="gramStart"/>
      <w:r w:rsidRPr="00EB17A8">
        <w:t>In the event that</w:t>
      </w:r>
      <w:proofErr w:type="gramEnd"/>
      <w:r w:rsidRPr="00EB17A8">
        <w:t xml:space="preserve"> the contractor changes the security measures applied, the contractor undertakes to notify so immediately to the contracting authority.</w:t>
      </w:r>
    </w:p>
    <w:p w14:paraId="0D6A109F" w14:textId="77777777" w:rsidR="004F07DF" w:rsidRPr="00EB17A8" w:rsidRDefault="004F07DF" w:rsidP="004F07DF"/>
    <w:p w14:paraId="390C60FB" w14:textId="77777777" w:rsidR="004F07DF" w:rsidRPr="00EB17A8" w:rsidRDefault="004F07DF" w:rsidP="004F07DF">
      <w:pPr>
        <w:numPr>
          <w:ilvl w:val="1"/>
          <w:numId w:val="28"/>
        </w:numPr>
      </w:pPr>
      <w:r w:rsidRPr="00EB17A8">
        <w:lastRenderedPageBreak/>
        <w:t xml:space="preserve">The contracting authority reserves the right to suspend and/or terminate the public contract, where the contractor can no longer provide appropriate technical and organisational measures regarding processing risks. </w:t>
      </w:r>
    </w:p>
    <w:p w14:paraId="2AF14005" w14:textId="77777777" w:rsidR="004F07DF" w:rsidRPr="00EB17A8" w:rsidRDefault="004F07DF" w:rsidP="004F07DF"/>
    <w:p w14:paraId="0431DA8F" w14:textId="77777777" w:rsidR="004F07DF" w:rsidRPr="00EB17A8" w:rsidRDefault="004F07DF" w:rsidP="004F07DF">
      <w:pPr>
        <w:rPr>
          <w:b/>
          <w:bCs/>
        </w:rPr>
      </w:pPr>
      <w:r w:rsidRPr="00EB17A8">
        <w:rPr>
          <w:b/>
          <w:bCs/>
        </w:rPr>
        <w:t xml:space="preserve">Article 10: Audit </w:t>
      </w:r>
    </w:p>
    <w:p w14:paraId="079A5228" w14:textId="77777777" w:rsidR="004F07DF" w:rsidRPr="00EB17A8" w:rsidRDefault="004F07DF" w:rsidP="004F07DF">
      <w:pPr>
        <w:numPr>
          <w:ilvl w:val="1"/>
          <w:numId w:val="29"/>
        </w:numPr>
      </w:pPr>
      <w:r w:rsidRPr="00EB17A8">
        <w:t xml:space="preserve">The contractor acknowledges that the contracting authority is under the supervision of one Supervisory Authority or several Supervisory Authorities. The contractor acknowledges that the contracting authority and any Supervisory Authority concerned will have the right to conduct an audit at any time, and at least during the contracting authority’s regular office hours, during the term of this Agreement </w:t>
      </w:r>
      <w:proofErr w:type="gramStart"/>
      <w:r w:rsidRPr="00EB17A8">
        <w:t>in order to</w:t>
      </w:r>
      <w:proofErr w:type="gramEnd"/>
      <w:r w:rsidRPr="00EB17A8">
        <w:t xml:space="preserve"> assess whether the contractor complies with the Regulation and the provisions of this Agreement. The contractor provides the necessary cooperation. </w:t>
      </w:r>
    </w:p>
    <w:p w14:paraId="464E7078" w14:textId="77777777" w:rsidR="004F07DF" w:rsidRPr="00EB17A8" w:rsidRDefault="004F07DF" w:rsidP="004F07DF">
      <w:pPr>
        <w:rPr>
          <w:lang w:val="fr-FR"/>
        </w:rPr>
      </w:pPr>
    </w:p>
    <w:p w14:paraId="4A3D7E50" w14:textId="77777777" w:rsidR="004F07DF" w:rsidRPr="00EB17A8" w:rsidRDefault="004F07DF" w:rsidP="004F07DF">
      <w:pPr>
        <w:numPr>
          <w:ilvl w:val="1"/>
          <w:numId w:val="29"/>
        </w:numPr>
      </w:pPr>
      <w:r w:rsidRPr="00EB17A8">
        <w:t>This auditing right may not be used more than once in a calendar year, unless the contracting authority and/or the Supervisory Authority has reasonable grounds to assume that the contractor is acting in conflict with this Agreement and/or the provisions of the Regulation. The restriction of the right of control does not apply to the Supervisory Authority.</w:t>
      </w:r>
    </w:p>
    <w:p w14:paraId="3423B148" w14:textId="77777777" w:rsidR="004F07DF" w:rsidRPr="00EB17A8" w:rsidRDefault="004F07DF" w:rsidP="004F07DF"/>
    <w:p w14:paraId="5854F869" w14:textId="77777777" w:rsidR="004F07DF" w:rsidRPr="00EB17A8" w:rsidRDefault="004F07DF" w:rsidP="004F07DF">
      <w:pPr>
        <w:numPr>
          <w:ilvl w:val="1"/>
          <w:numId w:val="29"/>
        </w:numPr>
      </w:pPr>
      <w:r w:rsidRPr="00EB17A8">
        <w:t xml:space="preserve">At the written request of the contracting authority, the contractor will provide the contracting authority or the relevant Supervisory Authority with access to the relevant parts of the contractor's administration and to all places and information of interest to the contractor (as well as, applicable to those of its agents, </w:t>
      </w:r>
      <w:proofErr w:type="gramStart"/>
      <w:r w:rsidRPr="00EB17A8">
        <w:t>subsidiaries</w:t>
      </w:r>
      <w:proofErr w:type="gramEnd"/>
      <w:r w:rsidRPr="00EB17A8">
        <w:t xml:space="preserve"> and subsequent subcontractors) to determine whether the contractor complies with the Regulation and provisions of this Agreement.  At the request of the contractor, the parties concerned agree to a confidentiality agreement.</w:t>
      </w:r>
    </w:p>
    <w:p w14:paraId="4ECACB81" w14:textId="77777777" w:rsidR="004F07DF" w:rsidRPr="00EB17A8" w:rsidRDefault="004F07DF" w:rsidP="004F07DF"/>
    <w:p w14:paraId="54EDFB43" w14:textId="77777777" w:rsidR="004F07DF" w:rsidRPr="00EB17A8" w:rsidRDefault="004F07DF" w:rsidP="004F07DF">
      <w:pPr>
        <w:numPr>
          <w:ilvl w:val="1"/>
          <w:numId w:val="29"/>
        </w:numPr>
      </w:pPr>
      <w:r w:rsidRPr="00EB17A8">
        <w:t xml:space="preserve">The contracting authority must take all appropriate measures to minimise any obstruction caused by the audit on the day-to-day functioning of the contractor or the services performed by the contractor.  </w:t>
      </w:r>
    </w:p>
    <w:p w14:paraId="48CD2CA7" w14:textId="77777777" w:rsidR="004F07DF" w:rsidRPr="00EB17A8" w:rsidRDefault="004F07DF" w:rsidP="004F07DF"/>
    <w:p w14:paraId="0236F16B" w14:textId="77777777" w:rsidR="004F07DF" w:rsidRPr="00EB17A8" w:rsidRDefault="004F07DF" w:rsidP="004F07DF">
      <w:pPr>
        <w:numPr>
          <w:ilvl w:val="1"/>
          <w:numId w:val="29"/>
        </w:numPr>
      </w:pPr>
      <w:r w:rsidRPr="00EB17A8">
        <w:t>If there is agreement between the contractor and the contracting authority on a significant breach in compliance with the Regulation and/or the Agreement, as reported in the audit, the contractor will remedy this breach as soon as possible.  Parties may agree to put in place a plan, including a timetable for implementing the plan, to address the gaps revealed by the audit.</w:t>
      </w:r>
    </w:p>
    <w:p w14:paraId="10D834D2" w14:textId="77777777" w:rsidR="004F07DF" w:rsidRPr="00EB17A8" w:rsidRDefault="004F07DF" w:rsidP="004F07DF"/>
    <w:p w14:paraId="516F1071" w14:textId="77777777" w:rsidR="004F07DF" w:rsidRPr="00EB17A8" w:rsidRDefault="004F07DF" w:rsidP="004F07DF">
      <w:pPr>
        <w:numPr>
          <w:ilvl w:val="1"/>
          <w:numId w:val="29"/>
        </w:numPr>
      </w:pPr>
      <w:r w:rsidRPr="00EB17A8">
        <w:t>The contracting authority will cover the costs of any audit carried out within the meaning of this article. Without prejudice to the above, the contractor will bear the costs of his employees. However, where the audit has revealed that the contractor is clearly not in compliance with the Regulation and/or provisions of this Agreement, the contractor bears the costs of said audit. The costs of re-compliance with the Regulation and/or the provisions of this Agreement are borne by the contractor.</w:t>
      </w:r>
    </w:p>
    <w:p w14:paraId="2CD699B7" w14:textId="77777777" w:rsidR="004F07DF" w:rsidRPr="00EB17A8" w:rsidRDefault="004F07DF" w:rsidP="004F07DF">
      <w:pPr>
        <w:rPr>
          <w:b/>
          <w:bCs/>
        </w:rPr>
      </w:pPr>
      <w:r w:rsidRPr="00EB17A8">
        <w:rPr>
          <w:b/>
          <w:bCs/>
        </w:rPr>
        <w:lastRenderedPageBreak/>
        <w:t xml:space="preserve">Article 11: Transfers to third parties </w:t>
      </w:r>
    </w:p>
    <w:p w14:paraId="3FD3D314" w14:textId="77777777" w:rsidR="004F07DF" w:rsidRPr="00EB17A8" w:rsidRDefault="004F07DF" w:rsidP="004F07DF">
      <w:pPr>
        <w:numPr>
          <w:ilvl w:val="1"/>
          <w:numId w:val="30"/>
        </w:numPr>
      </w:pPr>
      <w:r w:rsidRPr="00EB17A8">
        <w:t xml:space="preserve">The transmission of personal data to third parties in any way is in principle prohibited, unless required by law or if the contractor has obtained explicit authorisation from the contracting authority to do so.  </w:t>
      </w:r>
    </w:p>
    <w:p w14:paraId="3C5578B0" w14:textId="77777777" w:rsidR="004F07DF" w:rsidRPr="00EB17A8" w:rsidRDefault="004F07DF" w:rsidP="004F07DF"/>
    <w:p w14:paraId="3603CA49" w14:textId="77777777" w:rsidR="004F07DF" w:rsidRPr="00EB17A8" w:rsidRDefault="004F07DF" w:rsidP="004F07DF">
      <w:pPr>
        <w:numPr>
          <w:ilvl w:val="1"/>
          <w:numId w:val="30"/>
        </w:numPr>
      </w:pPr>
      <w:proofErr w:type="gramStart"/>
      <w:r w:rsidRPr="00EB17A8">
        <w:t>In the event that</w:t>
      </w:r>
      <w:proofErr w:type="gramEnd"/>
      <w:r w:rsidRPr="00EB17A8">
        <w:t xml:space="preserve"> a legal obligation applies to the transfer of personal data, which is the subject of this Agreement, to third parties, the contractor shall inform the contracting authority before the transfer.</w:t>
      </w:r>
    </w:p>
    <w:p w14:paraId="4A741DE6" w14:textId="77777777" w:rsidR="004F07DF" w:rsidRPr="00EB17A8" w:rsidRDefault="004F07DF" w:rsidP="004F07DF">
      <w:pPr>
        <w:rPr>
          <w:b/>
          <w:bCs/>
        </w:rPr>
      </w:pPr>
      <w:r w:rsidRPr="00EB17A8">
        <w:rPr>
          <w:b/>
          <w:bCs/>
        </w:rPr>
        <w:t>Article 12: Transfer outside the EEA</w:t>
      </w:r>
    </w:p>
    <w:p w14:paraId="63ABD00D" w14:textId="77777777" w:rsidR="004F07DF" w:rsidRPr="00EB17A8" w:rsidRDefault="004F07DF" w:rsidP="004F07DF">
      <w:pPr>
        <w:numPr>
          <w:ilvl w:val="1"/>
          <w:numId w:val="31"/>
        </w:numPr>
      </w:pPr>
      <w:r w:rsidRPr="00EB17A8">
        <w:t xml:space="preserve"> The contractor will process personal data from the contracting authority only in a location in the EEA.</w:t>
      </w:r>
    </w:p>
    <w:p w14:paraId="51597836" w14:textId="77777777" w:rsidR="004F07DF" w:rsidRPr="00EB17A8" w:rsidRDefault="004F07DF" w:rsidP="004F07DF"/>
    <w:p w14:paraId="70658243" w14:textId="77777777" w:rsidR="004F07DF" w:rsidRPr="00EB17A8" w:rsidRDefault="004F07DF" w:rsidP="004F07DF">
      <w:pPr>
        <w:numPr>
          <w:ilvl w:val="1"/>
          <w:numId w:val="31"/>
        </w:numPr>
      </w:pPr>
      <w:r w:rsidRPr="00EB17A8">
        <w:t>The contractor shall not process or transfer the personal data of the contracting authority, or process them himself or through third parties, outside the European Union, unless after express and explicit prior authorisation from the contracting authority.</w:t>
      </w:r>
    </w:p>
    <w:p w14:paraId="01432B98" w14:textId="77777777" w:rsidR="004F07DF" w:rsidRPr="00EB17A8" w:rsidRDefault="004F07DF" w:rsidP="004F07DF"/>
    <w:p w14:paraId="08EC2563" w14:textId="77777777" w:rsidR="004F07DF" w:rsidRPr="00EB17A8" w:rsidRDefault="004F07DF" w:rsidP="004F07DF">
      <w:r w:rsidRPr="00EB17A8">
        <w:t>The contractor will have to ensure that no access to the personal data of the contracting authority by a third party in any way leads to the transfer of these data outside the European Union.</w:t>
      </w:r>
    </w:p>
    <w:p w14:paraId="6662FF29" w14:textId="77777777" w:rsidR="004F07DF" w:rsidRPr="00EB17A8" w:rsidRDefault="004F07DF" w:rsidP="004F07DF">
      <w:pPr>
        <w:rPr>
          <w:b/>
          <w:bCs/>
        </w:rPr>
      </w:pPr>
      <w:r w:rsidRPr="00EB17A8">
        <w:rPr>
          <w:b/>
          <w:bCs/>
        </w:rPr>
        <w:t>Article 13: Behaviour towards national government and judicial authorities</w:t>
      </w:r>
    </w:p>
    <w:p w14:paraId="7EE3B613" w14:textId="77777777" w:rsidR="004F07DF" w:rsidRPr="00EB17A8" w:rsidRDefault="004F07DF" w:rsidP="004F07DF">
      <w:pPr>
        <w:numPr>
          <w:ilvl w:val="1"/>
          <w:numId w:val="32"/>
        </w:numPr>
      </w:pPr>
      <w:r w:rsidRPr="00EB17A8">
        <w:t>The contractor will immediately notify the contracting authority of any request, injunction, investigation or subpoena of a competent national government or judicial authority addressed to the contractor or its subsequent subcontractor(s) that involves the disclosure of personal data processed by the contractor or a subsequent subcontractor for and on behalf of the contracting authority or any data and/or information relating to that processing.</w:t>
      </w:r>
    </w:p>
    <w:p w14:paraId="00CCE7E6" w14:textId="77777777" w:rsidR="004F07DF" w:rsidRPr="00EB17A8" w:rsidRDefault="004F07DF" w:rsidP="004F07DF">
      <w:pPr>
        <w:rPr>
          <w:b/>
          <w:bCs/>
        </w:rPr>
      </w:pPr>
      <w:r w:rsidRPr="00EB17A8">
        <w:rPr>
          <w:b/>
          <w:bCs/>
        </w:rPr>
        <w:t xml:space="preserve">Article 14: Intellectual property rights </w:t>
      </w:r>
    </w:p>
    <w:p w14:paraId="4FE912BC" w14:textId="77777777" w:rsidR="004F07DF" w:rsidRPr="00EB17A8" w:rsidRDefault="004F07DF" w:rsidP="004F07DF">
      <w:r w:rsidRPr="00EB17A8">
        <w:t>14.1.</w:t>
      </w:r>
      <w:r w:rsidRPr="00EB17A8">
        <w:tab/>
        <w:t>All intellectual property rights relating to personal data and databases containing such personal data are reserved for the contracting authority, unless otherwise agreed between the Parties.</w:t>
      </w:r>
    </w:p>
    <w:p w14:paraId="3B808845" w14:textId="77777777" w:rsidR="004F07DF" w:rsidRPr="00EB17A8" w:rsidRDefault="004F07DF" w:rsidP="004F07DF">
      <w:pPr>
        <w:rPr>
          <w:b/>
          <w:bCs/>
        </w:rPr>
      </w:pPr>
      <w:r w:rsidRPr="00EB17A8">
        <w:rPr>
          <w:b/>
          <w:bCs/>
        </w:rPr>
        <w:t xml:space="preserve">Article 15: Confidentiality </w:t>
      </w:r>
    </w:p>
    <w:p w14:paraId="4CF8996E" w14:textId="77777777" w:rsidR="004F07DF" w:rsidRPr="00EB17A8" w:rsidRDefault="004F07DF" w:rsidP="004F07DF">
      <w:pPr>
        <w:numPr>
          <w:ilvl w:val="1"/>
          <w:numId w:val="33"/>
        </w:numPr>
        <w:rPr>
          <w:bCs/>
        </w:rPr>
      </w:pPr>
      <w:r w:rsidRPr="00EB17A8">
        <w:t>The contractor undertakes to guarantee the confidentiality and processing of personal data.</w:t>
      </w:r>
    </w:p>
    <w:p w14:paraId="7822ED0B" w14:textId="77777777" w:rsidR="004F07DF" w:rsidRPr="00EB17A8" w:rsidRDefault="004F07DF" w:rsidP="004F07DF">
      <w:pPr>
        <w:rPr>
          <w:b/>
        </w:rPr>
      </w:pPr>
    </w:p>
    <w:p w14:paraId="6EECC843" w14:textId="77777777" w:rsidR="004F07DF" w:rsidRPr="00EB17A8" w:rsidRDefault="004F07DF" w:rsidP="004F07DF">
      <w:pPr>
        <w:numPr>
          <w:ilvl w:val="1"/>
          <w:numId w:val="33"/>
        </w:numPr>
        <w:rPr>
          <w:b/>
        </w:rPr>
      </w:pPr>
      <w:r w:rsidRPr="00EB17A8">
        <w:t>The contractor ensures that employees or subsequent subcontractors authorised to process personal data have committed to conducting the processing confidentially and are also bound by a contractual obligation of confidentiality.</w:t>
      </w:r>
    </w:p>
    <w:p w14:paraId="0CCBA98E" w14:textId="77777777" w:rsidR="004F07DF" w:rsidRPr="00EB17A8" w:rsidRDefault="004F07DF" w:rsidP="004F07DF">
      <w:pPr>
        <w:rPr>
          <w:b/>
          <w:bCs/>
        </w:rPr>
      </w:pPr>
      <w:r w:rsidRPr="00EB17A8">
        <w:rPr>
          <w:b/>
          <w:bCs/>
        </w:rPr>
        <w:t>Article 16: Liability</w:t>
      </w:r>
    </w:p>
    <w:p w14:paraId="7C345FC2" w14:textId="77777777" w:rsidR="004F07DF" w:rsidRPr="00EB17A8" w:rsidRDefault="004F07DF" w:rsidP="004F07DF">
      <w:pPr>
        <w:numPr>
          <w:ilvl w:val="1"/>
          <w:numId w:val="34"/>
        </w:numPr>
      </w:pPr>
      <w:r w:rsidRPr="00EB17A8">
        <w:lastRenderedPageBreak/>
        <w:t xml:space="preserve">Without prejudice to the public contract, the contractor is only liable for the damage caused by the processing if he has not complied with the obligations of the Regulation specifically for subcontractors or if he acted outside or contrary to the legal instructions of the contracting authority. </w:t>
      </w:r>
    </w:p>
    <w:p w14:paraId="004A9802" w14:textId="77777777" w:rsidR="004F07DF" w:rsidRPr="00EB17A8" w:rsidRDefault="004F07DF" w:rsidP="004F07DF"/>
    <w:p w14:paraId="48B62206" w14:textId="77777777" w:rsidR="004F07DF" w:rsidRPr="00EB17A8" w:rsidRDefault="004F07DF" w:rsidP="004F07DF">
      <w:pPr>
        <w:numPr>
          <w:ilvl w:val="1"/>
          <w:numId w:val="34"/>
        </w:numPr>
      </w:pPr>
      <w:r w:rsidRPr="00EB17A8">
        <w:t xml:space="preserve"> The contractor is liable for the payment of administrative fines resulting from a violation of the Regulation.</w:t>
      </w:r>
    </w:p>
    <w:p w14:paraId="0E441AD9" w14:textId="77777777" w:rsidR="004F07DF" w:rsidRPr="00EB17A8" w:rsidRDefault="004F07DF" w:rsidP="004F07DF"/>
    <w:p w14:paraId="65C6B073" w14:textId="77777777" w:rsidR="004F07DF" w:rsidRPr="00EB17A8" w:rsidRDefault="004F07DF" w:rsidP="004F07DF">
      <w:pPr>
        <w:numPr>
          <w:ilvl w:val="1"/>
          <w:numId w:val="34"/>
        </w:numPr>
      </w:pPr>
      <w:r w:rsidRPr="00EB17A8">
        <w:t>The contractor will be exempt from liability only if he can prove that he is not responsible for the event that caused a violation of the Regulation.</w:t>
      </w:r>
    </w:p>
    <w:p w14:paraId="126C1FC5" w14:textId="77777777" w:rsidR="004F07DF" w:rsidRPr="00EB17A8" w:rsidRDefault="004F07DF" w:rsidP="004F07DF">
      <w:pPr>
        <w:rPr>
          <w:lang w:val="en-US"/>
        </w:rPr>
      </w:pPr>
    </w:p>
    <w:p w14:paraId="590B82EF" w14:textId="77777777" w:rsidR="004F07DF" w:rsidRPr="00EB17A8" w:rsidRDefault="004F07DF" w:rsidP="004F07DF">
      <w:pPr>
        <w:numPr>
          <w:ilvl w:val="1"/>
          <w:numId w:val="34"/>
        </w:numPr>
      </w:pPr>
      <w:r w:rsidRPr="00EB17A8">
        <w:t>If it appears that the contracting authority and the contractor are responsible for the damage caused by the processing of personal data, both Parties will be liable and will pay damages, in accordance with their individual share of liability for the damage caused by the processing.</w:t>
      </w:r>
    </w:p>
    <w:p w14:paraId="29AAF7C6" w14:textId="77777777" w:rsidR="004F07DF" w:rsidRPr="00EB17A8" w:rsidRDefault="004F07DF" w:rsidP="004F07DF">
      <w:pPr>
        <w:rPr>
          <w:b/>
          <w:bCs/>
        </w:rPr>
      </w:pPr>
      <w:r w:rsidRPr="00EB17A8">
        <w:rPr>
          <w:b/>
          <w:bCs/>
        </w:rPr>
        <w:t>Article 17: End of contract</w:t>
      </w:r>
    </w:p>
    <w:p w14:paraId="1EF01E74" w14:textId="77777777" w:rsidR="004F07DF" w:rsidRPr="00EB17A8" w:rsidRDefault="004F07DF" w:rsidP="004F07DF">
      <w:pPr>
        <w:numPr>
          <w:ilvl w:val="1"/>
          <w:numId w:val="18"/>
        </w:numPr>
      </w:pPr>
      <w:r w:rsidRPr="00EB17A8">
        <w:t xml:space="preserve">This Agreement applies </w:t>
      </w:r>
      <w:proofErr w:type="gramStart"/>
      <w:r w:rsidRPr="00EB17A8">
        <w:t>as long as</w:t>
      </w:r>
      <w:proofErr w:type="gramEnd"/>
      <w:r w:rsidRPr="00EB17A8">
        <w:t xml:space="preserve"> the contractor processes personal data in the name and on behalf of the contracting authority under this public contract. If the public contract ends, this Agreement will also end. </w:t>
      </w:r>
    </w:p>
    <w:p w14:paraId="7CCD1277" w14:textId="77777777" w:rsidR="004F07DF" w:rsidRPr="00EB17A8" w:rsidRDefault="004F07DF" w:rsidP="004F07DF"/>
    <w:p w14:paraId="624A66A0" w14:textId="77777777" w:rsidR="004F07DF" w:rsidRPr="00EB17A8" w:rsidRDefault="004F07DF" w:rsidP="004F07DF">
      <w:pPr>
        <w:numPr>
          <w:ilvl w:val="1"/>
          <w:numId w:val="18"/>
        </w:numPr>
      </w:pPr>
      <w:r w:rsidRPr="00EB17A8">
        <w:t>In the event of a serious breach of this Agreement or the applicable provisions of the Regulation, the contracting authority may order the contractor to terminate the processing of personal data with immediate effect.</w:t>
      </w:r>
    </w:p>
    <w:p w14:paraId="5B4FEAA8" w14:textId="77777777" w:rsidR="004F07DF" w:rsidRPr="00EB17A8" w:rsidRDefault="004F07DF" w:rsidP="004F07DF"/>
    <w:p w14:paraId="23EA0367" w14:textId="77777777" w:rsidR="004F07DF" w:rsidRPr="00EB17A8" w:rsidRDefault="004F07DF" w:rsidP="004F07DF">
      <w:pPr>
        <w:numPr>
          <w:ilvl w:val="1"/>
          <w:numId w:val="18"/>
        </w:numPr>
      </w:pPr>
      <w:r w:rsidRPr="00EB17A8">
        <w:t xml:space="preserve">In the event of termination of the Agreement, or if the personal data are no longer relevant to the provision of services, the contractor will, by decision of the contracting authority, remove all personal data or return them to the contracting authority and delete personal data and other copies. The contractor will provide proof in </w:t>
      </w:r>
      <w:proofErr w:type="gramStart"/>
      <w:r w:rsidRPr="00EB17A8">
        <w:t>writing, unless</w:t>
      </w:r>
      <w:proofErr w:type="gramEnd"/>
      <w:r w:rsidRPr="00EB17A8">
        <w:t xml:space="preserve"> applicable legislation requires the storage of personal data. Personal data will be returned to the contracting authority free of charge, unless otherwise agreed upon.  </w:t>
      </w:r>
    </w:p>
    <w:p w14:paraId="63914E1F" w14:textId="77777777" w:rsidR="004F07DF" w:rsidRPr="00EB17A8" w:rsidRDefault="004F07DF" w:rsidP="004F07DF"/>
    <w:p w14:paraId="586EF4F2" w14:textId="77777777" w:rsidR="004F07DF" w:rsidRPr="00EB17A8" w:rsidRDefault="004F07DF" w:rsidP="004F07DF">
      <w:pPr>
        <w:rPr>
          <w:b/>
          <w:bCs/>
        </w:rPr>
      </w:pPr>
      <w:r w:rsidRPr="00EB17A8">
        <w:rPr>
          <w:b/>
          <w:bCs/>
        </w:rPr>
        <w:t>Article 18: Mediation and competence</w:t>
      </w:r>
    </w:p>
    <w:p w14:paraId="33B7C128" w14:textId="77777777" w:rsidR="004F07DF" w:rsidRPr="00EB17A8" w:rsidRDefault="004F07DF" w:rsidP="004F07DF">
      <w:pPr>
        <w:numPr>
          <w:ilvl w:val="1"/>
          <w:numId w:val="35"/>
        </w:numPr>
      </w:pPr>
      <w:r w:rsidRPr="00EB17A8">
        <w:t>The contractor agrees that if the data subject concerned alleges claims for damages under this Agreement, the contractor will accept the decision of the data subject concerned:</w:t>
      </w:r>
    </w:p>
    <w:p w14:paraId="2B79DBD2" w14:textId="77777777" w:rsidR="004F07DF" w:rsidRPr="00EB17A8" w:rsidRDefault="004F07DF" w:rsidP="004F07DF">
      <w:pPr>
        <w:numPr>
          <w:ilvl w:val="0"/>
          <w:numId w:val="36"/>
        </w:numPr>
      </w:pPr>
      <w:r w:rsidRPr="00EB17A8">
        <w:t>To refer the dispute to mediation with an independent person</w:t>
      </w:r>
    </w:p>
    <w:p w14:paraId="7CF2DB48" w14:textId="77777777" w:rsidR="004F07DF" w:rsidRPr="00EB17A8" w:rsidRDefault="004F07DF" w:rsidP="004F07DF">
      <w:pPr>
        <w:numPr>
          <w:ilvl w:val="0"/>
          <w:numId w:val="36"/>
        </w:numPr>
      </w:pPr>
      <w:r w:rsidRPr="00EB17A8">
        <w:t>To refer the dispute to the courts of the place of establishment of the contracting authority</w:t>
      </w:r>
    </w:p>
    <w:p w14:paraId="0BD34AC0" w14:textId="77777777" w:rsidR="004F07DF" w:rsidRPr="00EB17A8" w:rsidRDefault="004F07DF" w:rsidP="004F07DF">
      <w:pPr>
        <w:numPr>
          <w:ilvl w:val="0"/>
          <w:numId w:val="36"/>
        </w:numPr>
      </w:pPr>
    </w:p>
    <w:p w14:paraId="43E76950" w14:textId="77777777" w:rsidR="004F07DF" w:rsidRPr="00EB17A8" w:rsidRDefault="004F07DF" w:rsidP="004F07DF">
      <w:pPr>
        <w:numPr>
          <w:ilvl w:val="1"/>
          <w:numId w:val="35"/>
        </w:numPr>
      </w:pPr>
      <w:r w:rsidRPr="00EB17A8">
        <w:lastRenderedPageBreak/>
        <w:t>The Parties agree that the choice made by the data subject concerned will not infringe on the substantial or procedural rights of the data subject concerned to seek redress in accordance with other provisions of applicable national or international law.</w:t>
      </w:r>
    </w:p>
    <w:p w14:paraId="1FBFF96E" w14:textId="77777777" w:rsidR="004F07DF" w:rsidRPr="00EB17A8" w:rsidRDefault="004F07DF" w:rsidP="004F07DF"/>
    <w:p w14:paraId="22D0C2DC" w14:textId="77777777" w:rsidR="004F07DF" w:rsidRPr="00EB17A8" w:rsidRDefault="004F07DF" w:rsidP="004F07DF">
      <w:pPr>
        <w:numPr>
          <w:ilvl w:val="1"/>
          <w:numId w:val="17"/>
        </w:numPr>
      </w:pPr>
      <w:r w:rsidRPr="00EB17A8">
        <w:t>Any dispute between the Parties over the terms of this Agreement must be brought before the appropriate courts, as determined in the main agreement.</w:t>
      </w:r>
    </w:p>
    <w:p w14:paraId="3DD039DA" w14:textId="77777777" w:rsidR="004F07DF" w:rsidRPr="00EB17A8" w:rsidRDefault="004F07DF" w:rsidP="004F07DF"/>
    <w:p w14:paraId="7848486B" w14:textId="77777777" w:rsidR="004F07DF" w:rsidRPr="00EB17A8" w:rsidRDefault="004F07DF" w:rsidP="004F07DF">
      <w:r w:rsidRPr="00EB17A8">
        <w:t>Thus, agreed on the [..........................................] and established in two copies of which each Party acknowledges having received a signed copy.</w:t>
      </w:r>
    </w:p>
    <w:p w14:paraId="080F241D" w14:textId="77777777" w:rsidR="004F07DF" w:rsidRPr="00EB17A8" w:rsidRDefault="004F07DF" w:rsidP="004F07DF"/>
    <w:p w14:paraId="47E92E19" w14:textId="77777777" w:rsidR="004F07DF" w:rsidRPr="00EB17A8" w:rsidRDefault="004F07DF" w:rsidP="004F07DF"/>
    <w:p w14:paraId="579A4C73" w14:textId="77777777" w:rsidR="004F07DF" w:rsidRPr="00EB17A8" w:rsidRDefault="004F07DF" w:rsidP="004F07DF"/>
    <w:p w14:paraId="5573A9AC" w14:textId="77777777" w:rsidR="004F07DF" w:rsidRPr="00EB17A8" w:rsidRDefault="004F07DF" w:rsidP="004F07DF">
      <w:r w:rsidRPr="00EB17A8">
        <w:t>FOR THE CONTRACTING AUTHORITY                     FOR THE CONTRACTOR</w:t>
      </w:r>
    </w:p>
    <w:p w14:paraId="514119C7" w14:textId="77777777" w:rsidR="004F07DF" w:rsidRPr="00EB17A8" w:rsidRDefault="004F07DF" w:rsidP="004F07DF"/>
    <w:p w14:paraId="4986CF85" w14:textId="77777777" w:rsidR="004F07DF" w:rsidRPr="00EB17A8" w:rsidRDefault="004F07DF" w:rsidP="004F07DF"/>
    <w:p w14:paraId="53D3EE31" w14:textId="77777777" w:rsidR="004F07DF" w:rsidRPr="00EB17A8" w:rsidRDefault="004F07DF" w:rsidP="004F07DF">
      <w:r w:rsidRPr="00EB17A8">
        <w:t>____________________________________                     ____________________________________</w:t>
      </w:r>
    </w:p>
    <w:p w14:paraId="0465B595" w14:textId="77777777" w:rsidR="004F07DF" w:rsidRPr="00EB17A8" w:rsidRDefault="004F07DF" w:rsidP="004F07DF"/>
    <w:p w14:paraId="4CF3B832" w14:textId="77777777" w:rsidR="004F07DF" w:rsidRPr="00EB17A8" w:rsidRDefault="004F07DF" w:rsidP="004F07DF">
      <w:r w:rsidRPr="00EB17A8">
        <w:t xml:space="preserve">Name: […………………………….……....]                         Name: […………………………….……....]                             </w:t>
      </w:r>
    </w:p>
    <w:p w14:paraId="3CEE304E" w14:textId="77777777" w:rsidR="004F07DF" w:rsidRPr="00EB17A8" w:rsidRDefault="004F07DF" w:rsidP="004F07DF">
      <w:r w:rsidRPr="00EB17A8">
        <w:t>Function: [……………………………</w:t>
      </w:r>
      <w:proofErr w:type="gramStart"/>
      <w:r w:rsidRPr="00EB17A8">
        <w:t>…..</w:t>
      </w:r>
      <w:proofErr w:type="gramEnd"/>
      <w:r w:rsidRPr="00EB17A8">
        <w:t>]                        Function: [……………………………</w:t>
      </w:r>
      <w:proofErr w:type="gramStart"/>
      <w:r w:rsidRPr="00EB17A8">
        <w:t>…..</w:t>
      </w:r>
      <w:proofErr w:type="gramEnd"/>
      <w:r w:rsidRPr="00EB17A8">
        <w:t xml:space="preserve">]                                                     </w:t>
      </w:r>
    </w:p>
    <w:p w14:paraId="18BFE785" w14:textId="77777777" w:rsidR="004F07DF" w:rsidRPr="00EB17A8" w:rsidRDefault="004F07DF" w:rsidP="004F07DF">
      <w:pPr>
        <w:rPr>
          <w:lang w:val="en-US"/>
        </w:rPr>
      </w:pPr>
    </w:p>
    <w:p w14:paraId="1521A239" w14:textId="77777777" w:rsidR="004F07DF" w:rsidRPr="00EB17A8" w:rsidRDefault="004F07DF" w:rsidP="004F07DF">
      <w:pPr>
        <w:rPr>
          <w:lang w:val="en-US"/>
        </w:rPr>
      </w:pPr>
    </w:p>
    <w:p w14:paraId="4659346E" w14:textId="77777777" w:rsidR="004F07DF" w:rsidRPr="00EB17A8" w:rsidRDefault="004F07DF" w:rsidP="004F07DF">
      <w:pPr>
        <w:rPr>
          <w:lang w:val="en-US"/>
        </w:rPr>
      </w:pPr>
    </w:p>
    <w:p w14:paraId="673D43FD" w14:textId="77777777" w:rsidR="004F07DF" w:rsidRPr="00EB17A8" w:rsidRDefault="004F07DF" w:rsidP="004F07DF">
      <w:pPr>
        <w:rPr>
          <w:lang w:val="en-US"/>
        </w:rPr>
      </w:pPr>
    </w:p>
    <w:p w14:paraId="34662D8F" w14:textId="77777777" w:rsidR="004F07DF" w:rsidRPr="00EB17A8" w:rsidRDefault="18348483" w:rsidP="004F07DF">
      <w:pPr>
        <w:rPr>
          <w:b/>
          <w:bCs/>
        </w:rPr>
      </w:pPr>
      <w:r w:rsidRPr="00EB17A8">
        <w:rPr>
          <w:b/>
          <w:bCs/>
        </w:rPr>
        <w:t>Annex 1: Description of personal data processing activities by the contractor</w:t>
      </w:r>
      <w:r w:rsidR="004F07DF" w:rsidRPr="00EB17A8">
        <w:rPr>
          <w:b/>
          <w:bCs/>
          <w:vertAlign w:val="superscript"/>
          <w:lang w:val="fr-FR"/>
        </w:rPr>
        <w:footnoteReference w:id="22"/>
      </w:r>
    </w:p>
    <w:p w14:paraId="4EEE88F6" w14:textId="77777777" w:rsidR="004F07DF" w:rsidRPr="00EB17A8" w:rsidRDefault="004F07DF" w:rsidP="004F07DF">
      <w:pPr>
        <w:rPr>
          <w:b/>
          <w:i/>
          <w:lang w:val="en-US"/>
        </w:rPr>
      </w:pPr>
    </w:p>
    <w:p w14:paraId="3009202E" w14:textId="77777777" w:rsidR="004F07DF" w:rsidRPr="00EB17A8" w:rsidRDefault="004F07DF" w:rsidP="004F07DF">
      <w:pPr>
        <w:numPr>
          <w:ilvl w:val="0"/>
          <w:numId w:val="37"/>
        </w:numPr>
        <w:rPr>
          <w:b/>
          <w:bCs/>
          <w:u w:val="single"/>
          <w:lang w:val="en-US"/>
        </w:rPr>
      </w:pPr>
      <w:r w:rsidRPr="00EB17A8">
        <w:rPr>
          <w:b/>
          <w:bCs/>
          <w:u w:val="single"/>
          <w:lang w:val="en-US"/>
        </w:rPr>
        <w:t>Processing activities carried out by the subcontractor</w:t>
      </w:r>
    </w:p>
    <w:p w14:paraId="6924643E" w14:textId="77777777" w:rsidR="004F07DF" w:rsidRPr="00EB17A8" w:rsidRDefault="004F07DF" w:rsidP="004F07DF">
      <w:pPr>
        <w:rPr>
          <w:b/>
          <w:bCs/>
          <w:lang w:val="en-US"/>
        </w:rPr>
      </w:pPr>
    </w:p>
    <w:p w14:paraId="34268F11" w14:textId="77777777" w:rsidR="004F07DF" w:rsidRPr="00EB17A8" w:rsidRDefault="004F07DF" w:rsidP="004F07DF">
      <w:pPr>
        <w:rPr>
          <w:bCs/>
          <w:lang w:val="en-US"/>
        </w:rPr>
      </w:pPr>
      <w:r w:rsidRPr="00EB17A8">
        <w:rPr>
          <w:lang w:val="en-US"/>
        </w:rPr>
        <w:t xml:space="preserve">Subject matter of processing: </w:t>
      </w:r>
    </w:p>
    <w:p w14:paraId="464B5245" w14:textId="77777777" w:rsidR="004F07DF" w:rsidRPr="00EB17A8" w:rsidRDefault="004F07DF" w:rsidP="004F07DF">
      <w:pPr>
        <w:rPr>
          <w:bCs/>
          <w:lang w:val="en-US"/>
        </w:rPr>
      </w:pPr>
    </w:p>
    <w:p w14:paraId="52A00BC3" w14:textId="77777777" w:rsidR="004F07DF" w:rsidRPr="00EB17A8" w:rsidRDefault="004F07DF" w:rsidP="004F07DF">
      <w:pPr>
        <w:rPr>
          <w:lang w:val="en-US"/>
        </w:rPr>
      </w:pPr>
      <w:r w:rsidRPr="00EB17A8">
        <w:rPr>
          <w:lang w:val="en-US"/>
        </w:rPr>
        <w:t xml:space="preserve">Nature of processing: </w:t>
      </w:r>
      <w:r w:rsidRPr="00EB17A8">
        <w:rPr>
          <w:i/>
          <w:iCs/>
          <w:lang w:val="en-US"/>
        </w:rPr>
        <w:t xml:space="preserve">[For instance, </w:t>
      </w:r>
      <w:proofErr w:type="spellStart"/>
      <w:r w:rsidRPr="00EB17A8">
        <w:rPr>
          <w:i/>
          <w:iCs/>
          <w:lang w:val="en-US"/>
        </w:rPr>
        <w:t>organisation</w:t>
      </w:r>
      <w:proofErr w:type="spellEnd"/>
      <w:r w:rsidRPr="00EB17A8">
        <w:rPr>
          <w:i/>
          <w:iCs/>
          <w:lang w:val="en-US"/>
        </w:rPr>
        <w:t xml:space="preserve">, consultation, </w:t>
      </w:r>
      <w:proofErr w:type="gramStart"/>
      <w:r w:rsidRPr="00EB17A8">
        <w:rPr>
          <w:i/>
          <w:iCs/>
          <w:lang w:val="en-US"/>
        </w:rPr>
        <w:t>storage</w:t>
      </w:r>
      <w:proofErr w:type="gramEnd"/>
      <w:r w:rsidRPr="00EB17A8">
        <w:rPr>
          <w:i/>
          <w:iCs/>
          <w:lang w:val="en-US"/>
        </w:rPr>
        <w:t xml:space="preserve"> and collection, etc.]</w:t>
      </w:r>
      <w:r w:rsidRPr="00EB17A8">
        <w:rPr>
          <w:lang w:val="en-US"/>
        </w:rPr>
        <w:t xml:space="preserve"> </w:t>
      </w:r>
    </w:p>
    <w:p w14:paraId="60F02ADA" w14:textId="77777777" w:rsidR="004F07DF" w:rsidRPr="00EB17A8" w:rsidRDefault="004F07DF" w:rsidP="004F07DF">
      <w:pPr>
        <w:rPr>
          <w:bCs/>
          <w:lang w:val="en-US"/>
        </w:rPr>
      </w:pPr>
    </w:p>
    <w:p w14:paraId="78A8E66D" w14:textId="77777777" w:rsidR="004F07DF" w:rsidRPr="00EB17A8" w:rsidRDefault="004F07DF" w:rsidP="004F07DF">
      <w:pPr>
        <w:rPr>
          <w:bCs/>
          <w:lang w:val="en-US"/>
        </w:rPr>
      </w:pPr>
      <w:r w:rsidRPr="00EB17A8">
        <w:rPr>
          <w:lang w:val="en-US"/>
        </w:rPr>
        <w:t xml:space="preserve">Duration of the processing: </w:t>
      </w:r>
    </w:p>
    <w:p w14:paraId="029CDFC2" w14:textId="77777777" w:rsidR="004F07DF" w:rsidRPr="00EB17A8" w:rsidRDefault="004F07DF" w:rsidP="004F07DF">
      <w:pPr>
        <w:rPr>
          <w:bCs/>
          <w:lang w:val="en-US"/>
        </w:rPr>
      </w:pPr>
    </w:p>
    <w:p w14:paraId="5740C834" w14:textId="77777777" w:rsidR="004F07DF" w:rsidRPr="00EB17A8" w:rsidRDefault="004F07DF" w:rsidP="004F07DF">
      <w:pPr>
        <w:rPr>
          <w:bCs/>
          <w:lang w:val="en-US"/>
        </w:rPr>
      </w:pPr>
      <w:r w:rsidRPr="00EB17A8">
        <w:rPr>
          <w:lang w:val="en-US"/>
        </w:rPr>
        <w:t xml:space="preserve">Purpose of the processing: </w:t>
      </w:r>
    </w:p>
    <w:p w14:paraId="6B4D4B9B" w14:textId="77777777" w:rsidR="004F07DF" w:rsidRPr="00EB17A8" w:rsidRDefault="004F07DF" w:rsidP="004F07DF">
      <w:pPr>
        <w:rPr>
          <w:b/>
          <w:bCs/>
          <w:lang w:val="en-US"/>
        </w:rPr>
      </w:pPr>
    </w:p>
    <w:p w14:paraId="0F5A6C8D" w14:textId="77777777" w:rsidR="004F07DF" w:rsidRPr="00EB17A8" w:rsidRDefault="004F07DF" w:rsidP="004F07DF">
      <w:pPr>
        <w:numPr>
          <w:ilvl w:val="0"/>
          <w:numId w:val="37"/>
        </w:numPr>
        <w:rPr>
          <w:b/>
          <w:bCs/>
          <w:u w:val="single"/>
          <w:lang w:val="en-US"/>
        </w:rPr>
      </w:pPr>
      <w:r w:rsidRPr="00EB17A8">
        <w:rPr>
          <w:b/>
          <w:bCs/>
          <w:u w:val="single"/>
          <w:lang w:val="en-US"/>
        </w:rPr>
        <w:t>The categories of personal data that the subcontractor will process on behalf of the controller (where applicable (* indicate as appropriate).</w:t>
      </w:r>
    </w:p>
    <w:p w14:paraId="1B031ECA" w14:textId="77777777" w:rsidR="004F07DF" w:rsidRPr="00EB17A8" w:rsidRDefault="004F07DF" w:rsidP="004F07DF">
      <w:pPr>
        <w:rPr>
          <w:b/>
          <w:bCs/>
          <w:u w:val="single"/>
          <w:lang w:val="en-US"/>
        </w:rPr>
      </w:pPr>
    </w:p>
    <w:p w14:paraId="61C0DC62" w14:textId="77777777" w:rsidR="004F07DF" w:rsidRPr="00EB17A8" w:rsidRDefault="004F07DF" w:rsidP="004F07DF">
      <w:pPr>
        <w:numPr>
          <w:ilvl w:val="0"/>
          <w:numId w:val="39"/>
        </w:numPr>
        <w:rPr>
          <w:bCs/>
          <w:lang w:val="en-US"/>
        </w:rPr>
      </w:pPr>
      <w:r w:rsidRPr="00EB17A8">
        <w:rPr>
          <w:lang w:val="en-US"/>
        </w:rPr>
        <w:t>Personal identification data (</w:t>
      </w:r>
      <w:proofErr w:type="gramStart"/>
      <w:r w:rsidRPr="00EB17A8">
        <w:rPr>
          <w:lang w:val="en-US"/>
        </w:rPr>
        <w:t>e.g.</w:t>
      </w:r>
      <w:proofErr w:type="gramEnd"/>
      <w:r w:rsidRPr="00EB17A8">
        <w:rPr>
          <w:lang w:val="en-US"/>
        </w:rPr>
        <w:t xml:space="preserve"> name, address and telephone, etc.) </w:t>
      </w:r>
    </w:p>
    <w:p w14:paraId="3ED393DD" w14:textId="77777777" w:rsidR="004F07DF" w:rsidRPr="00EB17A8" w:rsidRDefault="004F07DF" w:rsidP="004F07DF">
      <w:pPr>
        <w:numPr>
          <w:ilvl w:val="0"/>
          <w:numId w:val="39"/>
        </w:numPr>
        <w:rPr>
          <w:bCs/>
          <w:lang w:val="en-US"/>
        </w:rPr>
      </w:pPr>
      <w:r w:rsidRPr="00EB17A8">
        <w:rPr>
          <w:lang w:val="en-US"/>
        </w:rPr>
        <w:t>Electronic identification data (</w:t>
      </w:r>
      <w:proofErr w:type="gramStart"/>
      <w:r w:rsidRPr="00EB17A8">
        <w:rPr>
          <w:lang w:val="en-US"/>
        </w:rPr>
        <w:t>e.g.</w:t>
      </w:r>
      <w:proofErr w:type="gramEnd"/>
      <w:r w:rsidRPr="00EB17A8">
        <w:rPr>
          <w:lang w:val="en-US"/>
        </w:rPr>
        <w:t xml:space="preserve"> e-mail address, ID Facebook, ID Twitter, user names, passwords or other connection data, etc.)</w:t>
      </w:r>
    </w:p>
    <w:p w14:paraId="55DC4D37" w14:textId="77777777" w:rsidR="004F07DF" w:rsidRPr="00EB17A8" w:rsidRDefault="004F07DF" w:rsidP="004F07DF">
      <w:pPr>
        <w:numPr>
          <w:ilvl w:val="0"/>
          <w:numId w:val="39"/>
        </w:numPr>
        <w:rPr>
          <w:bCs/>
          <w:lang w:val="nl-BE"/>
        </w:rPr>
      </w:pPr>
      <w:r w:rsidRPr="00EB17A8">
        <w:rPr>
          <w:lang w:val="nl-BE"/>
        </w:rPr>
        <w:t>Electronic location data (e.g. IP addresses, mobile phone, GPS, connection points, etc.)</w:t>
      </w:r>
    </w:p>
    <w:p w14:paraId="7F8B1F34" w14:textId="77777777" w:rsidR="004F07DF" w:rsidRPr="00EB17A8" w:rsidRDefault="004F07DF" w:rsidP="004F07DF">
      <w:pPr>
        <w:numPr>
          <w:ilvl w:val="0"/>
          <w:numId w:val="39"/>
        </w:numPr>
        <w:rPr>
          <w:bCs/>
          <w:lang w:val="nl-BE"/>
        </w:rPr>
      </w:pPr>
      <w:r w:rsidRPr="00EB17A8">
        <w:rPr>
          <w:lang w:val="nl-BE"/>
        </w:rPr>
        <w:t>Biometric identification data (e.g. fingerprints, iris scan, etc.)</w:t>
      </w:r>
    </w:p>
    <w:p w14:paraId="17390122" w14:textId="77777777" w:rsidR="004F07DF" w:rsidRPr="00EB17A8" w:rsidRDefault="004F07DF" w:rsidP="004F07DF">
      <w:pPr>
        <w:numPr>
          <w:ilvl w:val="0"/>
          <w:numId w:val="39"/>
        </w:numPr>
        <w:rPr>
          <w:bCs/>
          <w:lang w:val="nl-BE"/>
        </w:rPr>
      </w:pPr>
      <w:r w:rsidRPr="00EB17A8">
        <w:rPr>
          <w:lang w:val="nl-BE"/>
        </w:rPr>
        <w:t>Copies of identity documents</w:t>
      </w:r>
    </w:p>
    <w:p w14:paraId="00ED36EB" w14:textId="77777777" w:rsidR="004F07DF" w:rsidRPr="00EB17A8" w:rsidRDefault="004F07DF" w:rsidP="004F07DF">
      <w:pPr>
        <w:numPr>
          <w:ilvl w:val="0"/>
          <w:numId w:val="39"/>
        </w:numPr>
        <w:rPr>
          <w:bCs/>
          <w:lang w:val="en-US"/>
        </w:rPr>
      </w:pPr>
      <w:r w:rsidRPr="00EB17A8">
        <w:rPr>
          <w:lang w:val="en-US"/>
        </w:rPr>
        <w:t>Financial identification data (</w:t>
      </w:r>
      <w:proofErr w:type="gramStart"/>
      <w:r w:rsidRPr="00EB17A8">
        <w:rPr>
          <w:lang w:val="en-US"/>
        </w:rPr>
        <w:t>e.g.</w:t>
      </w:r>
      <w:proofErr w:type="gramEnd"/>
      <w:r w:rsidRPr="00EB17A8">
        <w:rPr>
          <w:lang w:val="en-US"/>
        </w:rPr>
        <w:t xml:space="preserve"> account numbers (bank), credit card numbers, salary and payment information, etc.)</w:t>
      </w:r>
    </w:p>
    <w:p w14:paraId="27608660" w14:textId="77777777" w:rsidR="004F07DF" w:rsidRPr="00EB17A8" w:rsidRDefault="004F07DF" w:rsidP="004F07DF">
      <w:pPr>
        <w:numPr>
          <w:ilvl w:val="0"/>
          <w:numId w:val="39"/>
        </w:numPr>
        <w:rPr>
          <w:bCs/>
          <w:lang w:val="en-US"/>
        </w:rPr>
      </w:pPr>
      <w:r w:rsidRPr="00EB17A8">
        <w:rPr>
          <w:lang w:val="en-US"/>
        </w:rPr>
        <w:t>Personal characteristics (</w:t>
      </w:r>
      <w:proofErr w:type="gramStart"/>
      <w:r w:rsidRPr="00EB17A8">
        <w:rPr>
          <w:lang w:val="en-US"/>
        </w:rPr>
        <w:t>e.g.</w:t>
      </w:r>
      <w:proofErr w:type="gramEnd"/>
      <w:r w:rsidRPr="00EB17A8">
        <w:rPr>
          <w:lang w:val="en-US"/>
        </w:rPr>
        <w:t xml:space="preserve"> gender, age, date of birth, marital status, nationality, etc.)</w:t>
      </w:r>
    </w:p>
    <w:p w14:paraId="3D0FE2C6" w14:textId="77777777" w:rsidR="004F07DF" w:rsidRPr="00EB17A8" w:rsidRDefault="004F07DF" w:rsidP="004F07DF">
      <w:pPr>
        <w:numPr>
          <w:ilvl w:val="0"/>
          <w:numId w:val="39"/>
        </w:numPr>
        <w:rPr>
          <w:bCs/>
          <w:lang w:val="en-US"/>
        </w:rPr>
      </w:pPr>
      <w:r w:rsidRPr="00EB17A8">
        <w:rPr>
          <w:lang w:val="en-US"/>
        </w:rPr>
        <w:t>Physical data (</w:t>
      </w:r>
      <w:proofErr w:type="gramStart"/>
      <w:r w:rsidRPr="00EB17A8">
        <w:rPr>
          <w:lang w:val="en-US"/>
        </w:rPr>
        <w:t>e.g.</w:t>
      </w:r>
      <w:proofErr w:type="gramEnd"/>
      <w:r w:rsidRPr="00EB17A8">
        <w:rPr>
          <w:lang w:val="en-US"/>
        </w:rPr>
        <w:t xml:space="preserve"> height, weight, etc.)</w:t>
      </w:r>
    </w:p>
    <w:p w14:paraId="257B995D" w14:textId="77777777" w:rsidR="004F07DF" w:rsidRPr="00EB17A8" w:rsidRDefault="004F07DF" w:rsidP="004F07DF">
      <w:pPr>
        <w:numPr>
          <w:ilvl w:val="0"/>
          <w:numId w:val="39"/>
        </w:numPr>
        <w:rPr>
          <w:bCs/>
          <w:lang w:val="nl-BE"/>
        </w:rPr>
      </w:pPr>
      <w:r w:rsidRPr="00EB17A8">
        <w:rPr>
          <w:lang w:val="nl-BE"/>
        </w:rPr>
        <w:t>Habits of life</w:t>
      </w:r>
    </w:p>
    <w:p w14:paraId="11B75543" w14:textId="77777777" w:rsidR="004F07DF" w:rsidRPr="00EB17A8" w:rsidRDefault="004F07DF" w:rsidP="004F07DF">
      <w:pPr>
        <w:numPr>
          <w:ilvl w:val="0"/>
          <w:numId w:val="39"/>
        </w:numPr>
        <w:rPr>
          <w:bCs/>
          <w:lang w:val="nl-BE"/>
        </w:rPr>
      </w:pPr>
      <w:r w:rsidRPr="00EB17A8">
        <w:rPr>
          <w:lang w:val="nl-BE"/>
        </w:rPr>
        <w:t>Psychological data (e.g. personality, character, etc.)</w:t>
      </w:r>
    </w:p>
    <w:p w14:paraId="414EA1F6" w14:textId="77777777" w:rsidR="004F07DF" w:rsidRPr="00EB17A8" w:rsidRDefault="004F07DF" w:rsidP="004F07DF">
      <w:pPr>
        <w:numPr>
          <w:ilvl w:val="0"/>
          <w:numId w:val="39"/>
        </w:numPr>
        <w:rPr>
          <w:bCs/>
          <w:lang w:val="nl-BE"/>
        </w:rPr>
      </w:pPr>
      <w:r w:rsidRPr="00EB17A8">
        <w:rPr>
          <w:lang w:val="nl-BE"/>
        </w:rPr>
        <w:t>Family composition</w:t>
      </w:r>
    </w:p>
    <w:p w14:paraId="00A8442C" w14:textId="77777777" w:rsidR="004F07DF" w:rsidRPr="00EB17A8" w:rsidRDefault="004F07DF" w:rsidP="004F07DF">
      <w:pPr>
        <w:numPr>
          <w:ilvl w:val="0"/>
          <w:numId w:val="39"/>
        </w:numPr>
        <w:rPr>
          <w:bCs/>
          <w:lang w:val="nl-BE"/>
        </w:rPr>
      </w:pPr>
      <w:r w:rsidRPr="00EB17A8">
        <w:rPr>
          <w:lang w:val="nl-BE"/>
        </w:rPr>
        <w:t>Leisure and interests</w:t>
      </w:r>
    </w:p>
    <w:p w14:paraId="524BEB61" w14:textId="77777777" w:rsidR="004F07DF" w:rsidRPr="00EB17A8" w:rsidRDefault="004F07DF" w:rsidP="004F07DF">
      <w:pPr>
        <w:numPr>
          <w:ilvl w:val="0"/>
          <w:numId w:val="39"/>
        </w:numPr>
        <w:rPr>
          <w:bCs/>
          <w:lang w:val="nl-BE"/>
        </w:rPr>
      </w:pPr>
      <w:r w:rsidRPr="00EB17A8">
        <w:rPr>
          <w:lang w:val="nl-BE"/>
        </w:rPr>
        <w:t>Memberships</w:t>
      </w:r>
    </w:p>
    <w:p w14:paraId="4591C633" w14:textId="77777777" w:rsidR="004F07DF" w:rsidRPr="00EB17A8" w:rsidRDefault="004F07DF" w:rsidP="004F07DF">
      <w:pPr>
        <w:numPr>
          <w:ilvl w:val="0"/>
          <w:numId w:val="39"/>
        </w:numPr>
        <w:rPr>
          <w:bCs/>
          <w:lang w:val="nl-BE"/>
        </w:rPr>
      </w:pPr>
      <w:r w:rsidRPr="00EB17A8">
        <w:rPr>
          <w:lang w:val="nl-BE"/>
        </w:rPr>
        <w:t>Consumption habits</w:t>
      </w:r>
    </w:p>
    <w:p w14:paraId="046D6F4B" w14:textId="77777777" w:rsidR="004F07DF" w:rsidRPr="00EB17A8" w:rsidRDefault="004F07DF" w:rsidP="004F07DF">
      <w:pPr>
        <w:numPr>
          <w:ilvl w:val="0"/>
          <w:numId w:val="39"/>
        </w:numPr>
        <w:rPr>
          <w:bCs/>
          <w:lang w:val="nl-BE"/>
        </w:rPr>
      </w:pPr>
      <w:r w:rsidRPr="00EB17A8">
        <w:rPr>
          <w:lang w:val="nl-BE"/>
        </w:rPr>
        <w:t>Education and training</w:t>
      </w:r>
    </w:p>
    <w:p w14:paraId="75533EC6" w14:textId="77777777" w:rsidR="004F07DF" w:rsidRPr="00EB17A8" w:rsidRDefault="004F07DF" w:rsidP="004F07DF">
      <w:pPr>
        <w:numPr>
          <w:ilvl w:val="0"/>
          <w:numId w:val="39"/>
        </w:numPr>
        <w:rPr>
          <w:bCs/>
          <w:lang w:val="en-US"/>
        </w:rPr>
      </w:pPr>
      <w:r w:rsidRPr="00EB17A8">
        <w:rPr>
          <w:lang w:val="en-US"/>
        </w:rPr>
        <w:t>Career and occupation (</w:t>
      </w:r>
      <w:proofErr w:type="gramStart"/>
      <w:r w:rsidRPr="00EB17A8">
        <w:rPr>
          <w:lang w:val="en-US"/>
        </w:rPr>
        <w:t>e.g.</w:t>
      </w:r>
      <w:proofErr w:type="gramEnd"/>
      <w:r w:rsidRPr="00EB17A8">
        <w:rPr>
          <w:lang w:val="en-US"/>
        </w:rPr>
        <w:t xml:space="preserve"> function, title, etc.)</w:t>
      </w:r>
    </w:p>
    <w:p w14:paraId="159C2A6B" w14:textId="77777777" w:rsidR="004F07DF" w:rsidRPr="00EB17A8" w:rsidRDefault="004F07DF" w:rsidP="004F07DF">
      <w:pPr>
        <w:numPr>
          <w:ilvl w:val="0"/>
          <w:numId w:val="39"/>
        </w:numPr>
        <w:rPr>
          <w:bCs/>
          <w:lang w:val="nl-BE"/>
        </w:rPr>
      </w:pPr>
      <w:r w:rsidRPr="00EB17A8">
        <w:rPr>
          <w:lang w:val="nl-BE"/>
        </w:rPr>
        <w:t>Images/photos</w:t>
      </w:r>
    </w:p>
    <w:p w14:paraId="23140159" w14:textId="77777777" w:rsidR="004F07DF" w:rsidRPr="00EB17A8" w:rsidRDefault="004F07DF" w:rsidP="004F07DF">
      <w:pPr>
        <w:numPr>
          <w:ilvl w:val="0"/>
          <w:numId w:val="39"/>
        </w:numPr>
        <w:rPr>
          <w:bCs/>
          <w:lang w:val="nl-BE"/>
        </w:rPr>
      </w:pPr>
      <w:r w:rsidRPr="00EB17A8">
        <w:rPr>
          <w:lang w:val="nl-BE"/>
        </w:rPr>
        <w:t>Sound recordings</w:t>
      </w:r>
    </w:p>
    <w:p w14:paraId="518468D5" w14:textId="77777777" w:rsidR="004F07DF" w:rsidRPr="00EB17A8" w:rsidRDefault="004F07DF" w:rsidP="004F07DF">
      <w:pPr>
        <w:numPr>
          <w:ilvl w:val="0"/>
          <w:numId w:val="39"/>
        </w:numPr>
        <w:rPr>
          <w:bCs/>
          <w:lang w:val="en-US"/>
        </w:rPr>
      </w:pPr>
      <w:r w:rsidRPr="00EB17A8">
        <w:rPr>
          <w:lang w:val="en-US"/>
        </w:rPr>
        <w:t>National Social Security Register Number/Identification Number</w:t>
      </w:r>
    </w:p>
    <w:p w14:paraId="5FB68161" w14:textId="77777777" w:rsidR="004F07DF" w:rsidRPr="00EB17A8" w:rsidRDefault="004F07DF" w:rsidP="004F07DF">
      <w:pPr>
        <w:numPr>
          <w:ilvl w:val="0"/>
          <w:numId w:val="39"/>
        </w:numPr>
        <w:rPr>
          <w:bCs/>
          <w:lang w:val="en-US"/>
        </w:rPr>
      </w:pPr>
      <w:r w:rsidRPr="00EB17A8">
        <w:rPr>
          <w:lang w:val="en-US"/>
        </w:rPr>
        <w:t>Details of the contract (</w:t>
      </w:r>
      <w:proofErr w:type="gramStart"/>
      <w:r w:rsidRPr="00EB17A8">
        <w:rPr>
          <w:lang w:val="en-US"/>
        </w:rPr>
        <w:t>e.g.</w:t>
      </w:r>
      <w:proofErr w:type="gramEnd"/>
      <w:r w:rsidRPr="00EB17A8">
        <w:rPr>
          <w:lang w:val="en-US"/>
        </w:rPr>
        <w:t xml:space="preserve"> contractual relationship, order history, order numbers, invoicing and payment, etc.) </w:t>
      </w:r>
    </w:p>
    <w:p w14:paraId="778E4372" w14:textId="77777777" w:rsidR="004F07DF" w:rsidRPr="00EB17A8" w:rsidRDefault="004F07DF" w:rsidP="004F07DF">
      <w:pPr>
        <w:numPr>
          <w:ilvl w:val="0"/>
          <w:numId w:val="39"/>
        </w:numPr>
        <w:rPr>
          <w:bCs/>
          <w:lang w:val="en-US"/>
        </w:rPr>
      </w:pPr>
      <w:r w:rsidRPr="00EB17A8">
        <w:rPr>
          <w:lang w:val="en-US"/>
        </w:rPr>
        <w:t xml:space="preserve">Other categories of data, </w:t>
      </w:r>
      <w:r w:rsidRPr="00EB17A8">
        <w:rPr>
          <w:bCs/>
          <w:lang w:val="en-US"/>
        </w:rPr>
        <w:t>&lt;Describe&gt;</w:t>
      </w:r>
    </w:p>
    <w:p w14:paraId="27BE6B1F" w14:textId="77777777" w:rsidR="004F07DF" w:rsidRPr="00EB17A8" w:rsidRDefault="004F07DF" w:rsidP="004F07DF">
      <w:pPr>
        <w:rPr>
          <w:bCs/>
          <w:lang w:val="en-US"/>
        </w:rPr>
      </w:pPr>
    </w:p>
    <w:p w14:paraId="4F203DBB" w14:textId="77777777" w:rsidR="004F07DF" w:rsidRPr="00EB17A8" w:rsidRDefault="004F07DF" w:rsidP="004F07DF">
      <w:pPr>
        <w:numPr>
          <w:ilvl w:val="0"/>
          <w:numId w:val="37"/>
        </w:numPr>
        <w:rPr>
          <w:b/>
          <w:bCs/>
          <w:u w:val="single"/>
          <w:lang w:val="en-US"/>
        </w:rPr>
      </w:pPr>
      <w:r w:rsidRPr="00EB17A8">
        <w:rPr>
          <w:b/>
          <w:bCs/>
          <w:u w:val="single"/>
          <w:lang w:val="en-US"/>
        </w:rPr>
        <w:t>The special categories of personal data that the subcontractor will process on behalf of the controller (where applicable) (indicate as appropriate)</w:t>
      </w:r>
    </w:p>
    <w:p w14:paraId="22ED14FD" w14:textId="77777777" w:rsidR="004F07DF" w:rsidRPr="00EB17A8" w:rsidRDefault="004F07DF" w:rsidP="004F07DF">
      <w:pPr>
        <w:rPr>
          <w:b/>
          <w:bCs/>
          <w:lang w:val="en-US"/>
        </w:rPr>
      </w:pPr>
    </w:p>
    <w:p w14:paraId="7C4AF085" w14:textId="77777777" w:rsidR="004F07DF" w:rsidRPr="00EB17A8" w:rsidRDefault="004F07DF" w:rsidP="004F07DF">
      <w:pPr>
        <w:numPr>
          <w:ilvl w:val="0"/>
          <w:numId w:val="40"/>
        </w:numPr>
        <w:rPr>
          <w:bCs/>
          <w:lang w:val="en-US"/>
        </w:rPr>
      </w:pPr>
      <w:r w:rsidRPr="00EB17A8">
        <w:rPr>
          <w:lang w:val="en-US"/>
        </w:rPr>
        <w:t xml:space="preserve">Special categories of personal data (Art. 9 GDPR) </w:t>
      </w:r>
    </w:p>
    <w:p w14:paraId="61FA0A83" w14:textId="77777777" w:rsidR="004F07DF" w:rsidRPr="00EB17A8" w:rsidRDefault="004F07DF" w:rsidP="004F07DF">
      <w:pPr>
        <w:numPr>
          <w:ilvl w:val="0"/>
          <w:numId w:val="41"/>
        </w:numPr>
        <w:rPr>
          <w:bCs/>
          <w:lang w:val="en-US"/>
        </w:rPr>
      </w:pPr>
      <w:r w:rsidRPr="00EB17A8">
        <w:rPr>
          <w:lang w:val="en-US"/>
        </w:rPr>
        <w:t>Data revealing racial or ethnic origin</w:t>
      </w:r>
    </w:p>
    <w:p w14:paraId="50722884" w14:textId="77777777" w:rsidR="004F07DF" w:rsidRPr="00EB17A8" w:rsidRDefault="004F07DF" w:rsidP="004F07DF">
      <w:pPr>
        <w:numPr>
          <w:ilvl w:val="0"/>
          <w:numId w:val="41"/>
        </w:numPr>
        <w:rPr>
          <w:bCs/>
          <w:lang w:val="nl-BE"/>
        </w:rPr>
      </w:pPr>
      <w:r w:rsidRPr="00EB17A8">
        <w:rPr>
          <w:lang w:val="nl-BE"/>
        </w:rPr>
        <w:t>Data concerning sexual orientation</w:t>
      </w:r>
    </w:p>
    <w:p w14:paraId="4689437E" w14:textId="77777777" w:rsidR="004F07DF" w:rsidRPr="00EB17A8" w:rsidRDefault="004F07DF" w:rsidP="004F07DF">
      <w:pPr>
        <w:numPr>
          <w:ilvl w:val="0"/>
          <w:numId w:val="41"/>
        </w:numPr>
        <w:rPr>
          <w:bCs/>
          <w:lang w:val="nl-BE"/>
        </w:rPr>
      </w:pPr>
      <w:r w:rsidRPr="00EB17A8">
        <w:rPr>
          <w:lang w:val="nl-BE"/>
        </w:rPr>
        <w:t>Political opinions</w:t>
      </w:r>
    </w:p>
    <w:p w14:paraId="1AEF1610" w14:textId="77777777" w:rsidR="004F07DF" w:rsidRPr="00EB17A8" w:rsidRDefault="004F07DF" w:rsidP="004F07DF">
      <w:pPr>
        <w:numPr>
          <w:ilvl w:val="0"/>
          <w:numId w:val="41"/>
        </w:numPr>
        <w:rPr>
          <w:bCs/>
          <w:lang w:val="nl-BE"/>
        </w:rPr>
      </w:pPr>
      <w:r w:rsidRPr="00EB17A8">
        <w:rPr>
          <w:lang w:val="nl-BE"/>
        </w:rPr>
        <w:t>Trade union membership</w:t>
      </w:r>
    </w:p>
    <w:p w14:paraId="612E1CC2" w14:textId="77777777" w:rsidR="004F07DF" w:rsidRPr="00EB17A8" w:rsidRDefault="004F07DF" w:rsidP="004F07DF">
      <w:pPr>
        <w:numPr>
          <w:ilvl w:val="0"/>
          <w:numId w:val="41"/>
        </w:numPr>
        <w:rPr>
          <w:bCs/>
          <w:lang w:val="nl-BE"/>
        </w:rPr>
      </w:pPr>
      <w:r w:rsidRPr="00EB17A8">
        <w:rPr>
          <w:lang w:val="nl-BE"/>
        </w:rPr>
        <w:t>Religious or philosophical beliefs</w:t>
      </w:r>
    </w:p>
    <w:p w14:paraId="41121A1D" w14:textId="77777777" w:rsidR="004F07DF" w:rsidRPr="00EB17A8" w:rsidRDefault="004F07DF" w:rsidP="004F07DF">
      <w:pPr>
        <w:rPr>
          <w:bCs/>
          <w:lang w:val="fr-FR"/>
        </w:rPr>
      </w:pPr>
    </w:p>
    <w:p w14:paraId="6E80A9FE" w14:textId="77777777" w:rsidR="004F07DF" w:rsidRPr="00EB17A8" w:rsidRDefault="004F07DF" w:rsidP="004F07DF">
      <w:pPr>
        <w:numPr>
          <w:ilvl w:val="0"/>
          <w:numId w:val="40"/>
        </w:numPr>
        <w:rPr>
          <w:bCs/>
          <w:lang w:val="en-US"/>
        </w:rPr>
      </w:pPr>
      <w:r w:rsidRPr="00EB17A8">
        <w:rPr>
          <w:lang w:val="en-US"/>
        </w:rPr>
        <w:t xml:space="preserve">Data concerning health (Art. 9 DGPR) </w:t>
      </w:r>
    </w:p>
    <w:p w14:paraId="59065ED9" w14:textId="77777777" w:rsidR="004F07DF" w:rsidRPr="00EB17A8" w:rsidRDefault="004F07DF" w:rsidP="004F07DF">
      <w:pPr>
        <w:numPr>
          <w:ilvl w:val="0"/>
          <w:numId w:val="42"/>
        </w:numPr>
        <w:rPr>
          <w:bCs/>
          <w:lang w:val="nl-BE"/>
        </w:rPr>
      </w:pPr>
      <w:r w:rsidRPr="00EB17A8">
        <w:rPr>
          <w:lang w:val="nl-BE"/>
        </w:rPr>
        <w:t>Physical health</w:t>
      </w:r>
    </w:p>
    <w:p w14:paraId="6471821F" w14:textId="77777777" w:rsidR="004F07DF" w:rsidRPr="00EB17A8" w:rsidRDefault="004F07DF" w:rsidP="004F07DF">
      <w:pPr>
        <w:numPr>
          <w:ilvl w:val="0"/>
          <w:numId w:val="42"/>
        </w:numPr>
        <w:rPr>
          <w:bCs/>
          <w:lang w:val="nl-BE"/>
        </w:rPr>
      </w:pPr>
      <w:r w:rsidRPr="00EB17A8">
        <w:rPr>
          <w:lang w:val="nl-BE"/>
        </w:rPr>
        <w:t>Mental health</w:t>
      </w:r>
    </w:p>
    <w:p w14:paraId="7199D08D" w14:textId="77777777" w:rsidR="004F07DF" w:rsidRPr="00EB17A8" w:rsidRDefault="004F07DF" w:rsidP="004F07DF">
      <w:pPr>
        <w:numPr>
          <w:ilvl w:val="0"/>
          <w:numId w:val="42"/>
        </w:numPr>
        <w:rPr>
          <w:bCs/>
          <w:lang w:val="nl-BE"/>
        </w:rPr>
      </w:pPr>
      <w:r w:rsidRPr="00EB17A8">
        <w:rPr>
          <w:lang w:val="nl-BE"/>
        </w:rPr>
        <w:t>Risk situations and risk behaviours</w:t>
      </w:r>
    </w:p>
    <w:p w14:paraId="34E2A3A4" w14:textId="77777777" w:rsidR="004F07DF" w:rsidRPr="00EB17A8" w:rsidRDefault="004F07DF" w:rsidP="004F07DF">
      <w:pPr>
        <w:numPr>
          <w:ilvl w:val="0"/>
          <w:numId w:val="42"/>
        </w:numPr>
        <w:rPr>
          <w:bCs/>
          <w:lang w:val="nl-BE"/>
        </w:rPr>
      </w:pPr>
      <w:r w:rsidRPr="00EB17A8">
        <w:rPr>
          <w:lang w:val="nl-BE"/>
        </w:rPr>
        <w:t>Genetic data</w:t>
      </w:r>
    </w:p>
    <w:p w14:paraId="75AC8C23" w14:textId="77777777" w:rsidR="004F07DF" w:rsidRPr="00EB17A8" w:rsidRDefault="004F07DF" w:rsidP="004F07DF">
      <w:pPr>
        <w:numPr>
          <w:ilvl w:val="0"/>
          <w:numId w:val="42"/>
        </w:numPr>
        <w:rPr>
          <w:bCs/>
          <w:lang w:val="nl-BE"/>
        </w:rPr>
      </w:pPr>
      <w:r w:rsidRPr="00EB17A8">
        <w:rPr>
          <w:lang w:val="nl-BE"/>
        </w:rPr>
        <w:t>Healthcare data</w:t>
      </w:r>
    </w:p>
    <w:p w14:paraId="77891871" w14:textId="77777777" w:rsidR="004F07DF" w:rsidRPr="00EB17A8" w:rsidRDefault="004F07DF" w:rsidP="004F07DF">
      <w:pPr>
        <w:rPr>
          <w:bCs/>
          <w:lang w:val="fr-FR"/>
        </w:rPr>
      </w:pPr>
    </w:p>
    <w:p w14:paraId="617B9F75" w14:textId="77777777" w:rsidR="004F07DF" w:rsidRPr="00EB17A8" w:rsidRDefault="004F07DF" w:rsidP="004F07DF">
      <w:pPr>
        <w:numPr>
          <w:ilvl w:val="0"/>
          <w:numId w:val="43"/>
        </w:numPr>
        <w:rPr>
          <w:bCs/>
          <w:lang w:val="en-US"/>
        </w:rPr>
      </w:pPr>
      <w:r w:rsidRPr="00EB17A8">
        <w:rPr>
          <w:lang w:val="en-US"/>
        </w:rPr>
        <w:t xml:space="preserve">Judicial data (Article 10 of the general data protection law) </w:t>
      </w:r>
    </w:p>
    <w:p w14:paraId="5EA147CF" w14:textId="77777777" w:rsidR="004F07DF" w:rsidRPr="00EB17A8" w:rsidRDefault="004F07DF" w:rsidP="004F07DF">
      <w:pPr>
        <w:numPr>
          <w:ilvl w:val="0"/>
          <w:numId w:val="44"/>
        </w:numPr>
        <w:rPr>
          <w:bCs/>
          <w:lang w:val="nl-BE"/>
        </w:rPr>
      </w:pPr>
      <w:r w:rsidRPr="00EB17A8">
        <w:rPr>
          <w:lang w:val="nl-BE"/>
        </w:rPr>
        <w:t>Suspicions and indictments</w:t>
      </w:r>
    </w:p>
    <w:p w14:paraId="6C4CB726" w14:textId="77777777" w:rsidR="004F07DF" w:rsidRPr="00EB17A8" w:rsidRDefault="004F07DF" w:rsidP="004F07DF">
      <w:pPr>
        <w:numPr>
          <w:ilvl w:val="0"/>
          <w:numId w:val="44"/>
        </w:numPr>
        <w:rPr>
          <w:bCs/>
          <w:lang w:val="nl-BE"/>
        </w:rPr>
      </w:pPr>
      <w:r w:rsidRPr="00EB17A8">
        <w:rPr>
          <w:lang w:val="nl-BE"/>
        </w:rPr>
        <w:t>Convictions and sentences</w:t>
      </w:r>
    </w:p>
    <w:p w14:paraId="561B1CAC" w14:textId="77777777" w:rsidR="004F07DF" w:rsidRPr="00EB17A8" w:rsidRDefault="004F07DF" w:rsidP="004F07DF">
      <w:pPr>
        <w:numPr>
          <w:ilvl w:val="0"/>
          <w:numId w:val="44"/>
        </w:numPr>
        <w:rPr>
          <w:bCs/>
          <w:lang w:val="nl-BE"/>
        </w:rPr>
      </w:pPr>
      <w:r w:rsidRPr="00EB17A8">
        <w:rPr>
          <w:lang w:val="nl-BE"/>
        </w:rPr>
        <w:t>Judicial measures</w:t>
      </w:r>
    </w:p>
    <w:p w14:paraId="6927D3AA" w14:textId="77777777" w:rsidR="004F07DF" w:rsidRPr="00EB17A8" w:rsidRDefault="004F07DF" w:rsidP="004F07DF">
      <w:pPr>
        <w:numPr>
          <w:ilvl w:val="0"/>
          <w:numId w:val="44"/>
        </w:numPr>
        <w:rPr>
          <w:bCs/>
          <w:lang w:val="nl-BE"/>
        </w:rPr>
      </w:pPr>
      <w:r w:rsidRPr="00EB17A8">
        <w:rPr>
          <w:lang w:val="nl-BE"/>
        </w:rPr>
        <w:t>Administrative sanctions</w:t>
      </w:r>
    </w:p>
    <w:p w14:paraId="37F01127" w14:textId="77777777" w:rsidR="004F07DF" w:rsidRPr="00EB17A8" w:rsidRDefault="004F07DF" w:rsidP="004F07DF">
      <w:pPr>
        <w:numPr>
          <w:ilvl w:val="0"/>
          <w:numId w:val="44"/>
        </w:numPr>
        <w:rPr>
          <w:bCs/>
          <w:lang w:val="nl-BE"/>
        </w:rPr>
      </w:pPr>
      <w:r w:rsidRPr="00EB17A8">
        <w:rPr>
          <w:lang w:val="nl-BE"/>
        </w:rPr>
        <w:t xml:space="preserve">DNA data </w:t>
      </w:r>
    </w:p>
    <w:p w14:paraId="0FCECA54" w14:textId="77777777" w:rsidR="004F07DF" w:rsidRPr="00EB17A8" w:rsidRDefault="004F07DF" w:rsidP="004F07DF">
      <w:pPr>
        <w:rPr>
          <w:b/>
          <w:bCs/>
          <w:lang w:val="fr-FR"/>
        </w:rPr>
      </w:pPr>
    </w:p>
    <w:p w14:paraId="0B34C519" w14:textId="77777777" w:rsidR="004F07DF" w:rsidRPr="00EB17A8" w:rsidRDefault="004F07DF" w:rsidP="004F07DF">
      <w:pPr>
        <w:numPr>
          <w:ilvl w:val="0"/>
          <w:numId w:val="37"/>
        </w:numPr>
        <w:rPr>
          <w:b/>
          <w:bCs/>
          <w:u w:val="single"/>
          <w:lang w:val="en-US"/>
        </w:rPr>
      </w:pPr>
      <w:r w:rsidRPr="00EB17A8">
        <w:rPr>
          <w:b/>
          <w:bCs/>
          <w:u w:val="single"/>
          <w:lang w:val="en-US"/>
        </w:rPr>
        <w:t>The categories of data subjects concerned (*indicate as appropriate)</w:t>
      </w:r>
    </w:p>
    <w:p w14:paraId="0279F5A0" w14:textId="77777777" w:rsidR="004F07DF" w:rsidRPr="00EB17A8" w:rsidRDefault="004F07DF" w:rsidP="004F07DF">
      <w:pPr>
        <w:rPr>
          <w:b/>
          <w:bCs/>
          <w:u w:val="single"/>
          <w:lang w:val="en-US"/>
        </w:rPr>
      </w:pPr>
    </w:p>
    <w:p w14:paraId="1BD0AEAE" w14:textId="77777777" w:rsidR="004F07DF" w:rsidRPr="00EB17A8" w:rsidRDefault="004F07DF" w:rsidP="004F07DF">
      <w:pPr>
        <w:numPr>
          <w:ilvl w:val="0"/>
          <w:numId w:val="38"/>
        </w:numPr>
        <w:rPr>
          <w:b/>
          <w:bCs/>
          <w:lang w:val="nl-BE"/>
        </w:rPr>
      </w:pPr>
      <w:r w:rsidRPr="00EB17A8">
        <w:rPr>
          <w:lang w:val="nl-BE"/>
        </w:rPr>
        <w:t>(Potential)/(former) clients</w:t>
      </w:r>
    </w:p>
    <w:p w14:paraId="2FC9FB7E" w14:textId="77777777" w:rsidR="004F07DF" w:rsidRPr="00EB17A8" w:rsidRDefault="004F07DF" w:rsidP="004F07DF">
      <w:pPr>
        <w:rPr>
          <w:bCs/>
          <w:lang w:val="nl-BE"/>
        </w:rPr>
      </w:pPr>
      <w:r w:rsidRPr="00EB17A8">
        <w:rPr>
          <w:lang w:val="nl-BE"/>
        </w:rPr>
        <w:t xml:space="preserve">If yes, </w:t>
      </w:r>
      <w:r w:rsidRPr="00EB17A8">
        <w:rPr>
          <w:bCs/>
          <w:lang w:val="nl-BE"/>
        </w:rPr>
        <w:t>&lt;describe&gt;</w:t>
      </w:r>
    </w:p>
    <w:p w14:paraId="72C1D6AE" w14:textId="77777777" w:rsidR="004F07DF" w:rsidRPr="00EB17A8" w:rsidRDefault="004F07DF" w:rsidP="004F07DF">
      <w:pPr>
        <w:numPr>
          <w:ilvl w:val="0"/>
          <w:numId w:val="38"/>
        </w:numPr>
        <w:rPr>
          <w:b/>
          <w:bCs/>
          <w:lang w:val="en-US"/>
        </w:rPr>
      </w:pPr>
      <w:r w:rsidRPr="00EB17A8">
        <w:rPr>
          <w:lang w:val="en-US"/>
        </w:rPr>
        <w:t>Applicants and (former) employees, interns, etc.</w:t>
      </w:r>
    </w:p>
    <w:p w14:paraId="1155BD1C" w14:textId="77777777" w:rsidR="004F07DF" w:rsidRPr="00EB17A8" w:rsidRDefault="004F07DF" w:rsidP="004F07DF">
      <w:pPr>
        <w:rPr>
          <w:bCs/>
          <w:lang w:val="nl-BE"/>
        </w:rPr>
      </w:pPr>
      <w:r w:rsidRPr="00EB17A8">
        <w:rPr>
          <w:lang w:val="nl-BE"/>
        </w:rPr>
        <w:t xml:space="preserve">If yes, </w:t>
      </w:r>
      <w:r w:rsidRPr="00EB17A8">
        <w:rPr>
          <w:bCs/>
          <w:lang w:val="nl-BE"/>
        </w:rPr>
        <w:t>&lt;describe&gt;</w:t>
      </w:r>
    </w:p>
    <w:p w14:paraId="2144A43B" w14:textId="77777777" w:rsidR="004F07DF" w:rsidRPr="00EB17A8" w:rsidRDefault="004F07DF" w:rsidP="004F07DF">
      <w:pPr>
        <w:numPr>
          <w:ilvl w:val="0"/>
          <w:numId w:val="38"/>
        </w:numPr>
        <w:rPr>
          <w:b/>
          <w:bCs/>
          <w:lang w:val="nl-BE"/>
        </w:rPr>
      </w:pPr>
      <w:r w:rsidRPr="00EB17A8">
        <w:rPr>
          <w:lang w:val="nl-BE"/>
        </w:rPr>
        <w:t>(Potential)/(former) suppliers</w:t>
      </w:r>
    </w:p>
    <w:p w14:paraId="615D22BB" w14:textId="77777777" w:rsidR="004F07DF" w:rsidRPr="00EB17A8" w:rsidRDefault="004F07DF" w:rsidP="004F07DF">
      <w:pPr>
        <w:rPr>
          <w:bCs/>
          <w:lang w:val="nl-BE"/>
        </w:rPr>
      </w:pPr>
      <w:r w:rsidRPr="00EB17A8">
        <w:rPr>
          <w:lang w:val="nl-BE"/>
        </w:rPr>
        <w:t xml:space="preserve">If yes, </w:t>
      </w:r>
      <w:r w:rsidRPr="00EB17A8">
        <w:rPr>
          <w:bCs/>
          <w:lang w:val="nl-BE"/>
        </w:rPr>
        <w:t>&lt;describe&gt;</w:t>
      </w:r>
    </w:p>
    <w:p w14:paraId="4D0A3BB8" w14:textId="77777777" w:rsidR="004F07DF" w:rsidRPr="00EB17A8" w:rsidRDefault="004F07DF" w:rsidP="004F07DF">
      <w:pPr>
        <w:numPr>
          <w:ilvl w:val="0"/>
          <w:numId w:val="38"/>
        </w:numPr>
        <w:rPr>
          <w:b/>
          <w:bCs/>
          <w:lang w:val="nl-BE"/>
        </w:rPr>
      </w:pPr>
      <w:r w:rsidRPr="00EB17A8">
        <w:rPr>
          <w:lang w:val="nl-BE"/>
        </w:rPr>
        <w:t xml:space="preserve"> (Potential)/(former) (business) partners</w:t>
      </w:r>
    </w:p>
    <w:p w14:paraId="1CA1EF3E" w14:textId="77777777" w:rsidR="004F07DF" w:rsidRPr="00EB17A8" w:rsidRDefault="004F07DF" w:rsidP="004F07DF">
      <w:pPr>
        <w:rPr>
          <w:bCs/>
          <w:lang w:val="nl-BE"/>
        </w:rPr>
      </w:pPr>
      <w:r w:rsidRPr="00EB17A8">
        <w:rPr>
          <w:lang w:val="nl-BE"/>
        </w:rPr>
        <w:t xml:space="preserve">If yes, </w:t>
      </w:r>
      <w:r w:rsidRPr="00EB17A8">
        <w:rPr>
          <w:bCs/>
          <w:lang w:val="nl-BE"/>
        </w:rPr>
        <w:t>&lt;describe&gt;</w:t>
      </w:r>
    </w:p>
    <w:p w14:paraId="0B63D87F" w14:textId="77777777" w:rsidR="004F07DF" w:rsidRPr="00EB17A8" w:rsidRDefault="004F07DF" w:rsidP="004F07DF">
      <w:pPr>
        <w:numPr>
          <w:ilvl w:val="0"/>
          <w:numId w:val="38"/>
        </w:numPr>
        <w:rPr>
          <w:bCs/>
          <w:lang w:val="nl-BE"/>
        </w:rPr>
      </w:pPr>
      <w:r w:rsidRPr="00EB17A8">
        <w:rPr>
          <w:lang w:val="nl-BE"/>
        </w:rPr>
        <w:lastRenderedPageBreak/>
        <w:t>Other category</w:t>
      </w:r>
    </w:p>
    <w:p w14:paraId="107531BE" w14:textId="77777777" w:rsidR="004F07DF" w:rsidRPr="00EB17A8" w:rsidRDefault="004F07DF" w:rsidP="004F07DF">
      <w:pPr>
        <w:rPr>
          <w:bCs/>
          <w:lang w:val="nl-BE"/>
        </w:rPr>
      </w:pPr>
      <w:r w:rsidRPr="00EB17A8">
        <w:rPr>
          <w:lang w:val="nl-BE"/>
        </w:rPr>
        <w:t xml:space="preserve">If yes, </w:t>
      </w:r>
      <w:r w:rsidRPr="00EB17A8">
        <w:rPr>
          <w:bCs/>
          <w:lang w:val="nl-BE"/>
        </w:rPr>
        <w:t>&lt;describe&gt;</w:t>
      </w:r>
    </w:p>
    <w:p w14:paraId="7B0202F0" w14:textId="77777777" w:rsidR="004F07DF" w:rsidRPr="00EB17A8" w:rsidRDefault="004F07DF" w:rsidP="004F07DF">
      <w:pPr>
        <w:rPr>
          <w:bCs/>
          <w:lang w:val="fr-FR"/>
        </w:rPr>
      </w:pPr>
    </w:p>
    <w:p w14:paraId="1737A4E1" w14:textId="77777777" w:rsidR="004F07DF" w:rsidRPr="00EB17A8" w:rsidRDefault="004F07DF" w:rsidP="004F07DF">
      <w:pPr>
        <w:numPr>
          <w:ilvl w:val="0"/>
          <w:numId w:val="37"/>
        </w:numPr>
        <w:rPr>
          <w:b/>
          <w:bCs/>
          <w:lang w:val="en-US"/>
        </w:rPr>
      </w:pPr>
      <w:r w:rsidRPr="00EB17A8">
        <w:rPr>
          <w:b/>
          <w:bCs/>
          <w:lang w:val="en-US"/>
        </w:rPr>
        <w:t>Extent of processing (</w:t>
      </w:r>
      <w:proofErr w:type="gramStart"/>
      <w:r w:rsidRPr="00EB17A8">
        <w:rPr>
          <w:b/>
          <w:bCs/>
          <w:lang w:val="en-US"/>
        </w:rPr>
        <w:t>number</w:t>
      </w:r>
      <w:proofErr w:type="gramEnd"/>
      <w:r w:rsidRPr="00EB17A8">
        <w:rPr>
          <w:b/>
          <w:bCs/>
          <w:lang w:val="en-US"/>
        </w:rPr>
        <w:t xml:space="preserve"> of records/number of data subject concerned)</w:t>
      </w:r>
    </w:p>
    <w:p w14:paraId="4CBD1099" w14:textId="77777777" w:rsidR="004F07DF" w:rsidRPr="00EB17A8" w:rsidRDefault="004F07DF" w:rsidP="004F07DF">
      <w:pPr>
        <w:rPr>
          <w:b/>
          <w:bCs/>
          <w:lang w:val="en-US"/>
        </w:rPr>
      </w:pPr>
    </w:p>
    <w:p w14:paraId="0C3294A7" w14:textId="77777777" w:rsidR="004F07DF" w:rsidRPr="00EB17A8" w:rsidRDefault="004F07DF" w:rsidP="004F07DF">
      <w:pPr>
        <w:rPr>
          <w:bCs/>
          <w:lang w:val="nl-BE"/>
        </w:rPr>
      </w:pPr>
      <w:r w:rsidRPr="00EB17A8">
        <w:rPr>
          <w:bCs/>
          <w:lang w:val="nl-BE"/>
        </w:rPr>
        <w:t>&lt;Describe&gt;</w:t>
      </w:r>
    </w:p>
    <w:p w14:paraId="0B7D80B2" w14:textId="77777777" w:rsidR="004F07DF" w:rsidRPr="00EB17A8" w:rsidRDefault="004F07DF" w:rsidP="004F07DF">
      <w:pPr>
        <w:rPr>
          <w:bCs/>
          <w:lang w:val="fr-FR"/>
        </w:rPr>
      </w:pPr>
    </w:p>
    <w:p w14:paraId="68BEDEB7" w14:textId="77777777" w:rsidR="004F07DF" w:rsidRPr="00EB17A8" w:rsidRDefault="004F07DF" w:rsidP="004F07DF">
      <w:pPr>
        <w:numPr>
          <w:ilvl w:val="0"/>
          <w:numId w:val="37"/>
        </w:numPr>
        <w:rPr>
          <w:b/>
          <w:bCs/>
          <w:lang w:val="en-US"/>
        </w:rPr>
      </w:pPr>
      <w:r w:rsidRPr="00EB17A8">
        <w:rPr>
          <w:b/>
          <w:bCs/>
          <w:lang w:val="en-US"/>
        </w:rPr>
        <w:t>Period of use and period for which the (various categories of) personal data are stored:</w:t>
      </w:r>
    </w:p>
    <w:p w14:paraId="7D72F934" w14:textId="77777777" w:rsidR="004F07DF" w:rsidRPr="00EB17A8" w:rsidRDefault="004F07DF" w:rsidP="004F07DF">
      <w:pPr>
        <w:rPr>
          <w:b/>
          <w:bCs/>
          <w:lang w:val="en-US"/>
        </w:rPr>
      </w:pPr>
    </w:p>
    <w:p w14:paraId="3ECF4138" w14:textId="77777777" w:rsidR="004F07DF" w:rsidRPr="00EB17A8" w:rsidRDefault="004F07DF" w:rsidP="004F07DF">
      <w:pPr>
        <w:rPr>
          <w:bCs/>
          <w:lang w:val="nl-BE"/>
        </w:rPr>
      </w:pPr>
      <w:r w:rsidRPr="00EB17A8">
        <w:rPr>
          <w:bCs/>
          <w:lang w:val="nl-BE"/>
        </w:rPr>
        <w:t>&lt;Describe&gt;</w:t>
      </w:r>
    </w:p>
    <w:p w14:paraId="3005C89A" w14:textId="77777777" w:rsidR="004F07DF" w:rsidRPr="00EB17A8" w:rsidRDefault="004F07DF" w:rsidP="004F07DF">
      <w:pPr>
        <w:rPr>
          <w:bCs/>
          <w:lang w:val="fr-FR"/>
        </w:rPr>
      </w:pPr>
    </w:p>
    <w:p w14:paraId="68ED8BD1" w14:textId="77777777" w:rsidR="004F07DF" w:rsidRPr="00EB17A8" w:rsidRDefault="004F07DF" w:rsidP="004F07DF">
      <w:pPr>
        <w:rPr>
          <w:b/>
          <w:bCs/>
          <w:lang w:val="fr-FR"/>
        </w:rPr>
      </w:pPr>
    </w:p>
    <w:p w14:paraId="7C19C2E3" w14:textId="77777777" w:rsidR="004F07DF" w:rsidRPr="00EB17A8" w:rsidRDefault="004F07DF" w:rsidP="004F07DF">
      <w:pPr>
        <w:numPr>
          <w:ilvl w:val="0"/>
          <w:numId w:val="37"/>
        </w:numPr>
        <w:rPr>
          <w:b/>
          <w:bCs/>
          <w:lang w:val="nl-BE"/>
        </w:rPr>
      </w:pPr>
      <w:r w:rsidRPr="00EB17A8">
        <w:rPr>
          <w:b/>
          <w:bCs/>
          <w:lang w:val="nl-BE"/>
        </w:rPr>
        <w:t>Processing place</w:t>
      </w:r>
    </w:p>
    <w:p w14:paraId="0356893C" w14:textId="77777777" w:rsidR="004F07DF" w:rsidRPr="00EB17A8" w:rsidRDefault="004F07DF" w:rsidP="004F07DF">
      <w:pPr>
        <w:rPr>
          <w:b/>
          <w:bCs/>
          <w:lang w:val="fr-FR"/>
        </w:rPr>
      </w:pPr>
    </w:p>
    <w:p w14:paraId="29DB858F" w14:textId="77777777" w:rsidR="004F07DF" w:rsidRPr="00EB17A8" w:rsidRDefault="004F07DF" w:rsidP="004F07DF">
      <w:pPr>
        <w:rPr>
          <w:bCs/>
          <w:lang w:val="nl-BE"/>
        </w:rPr>
      </w:pPr>
      <w:r w:rsidRPr="00EB17A8">
        <w:rPr>
          <w:bCs/>
          <w:lang w:val="nl-BE"/>
        </w:rPr>
        <w:t>&lt;Describe&gt;</w:t>
      </w:r>
    </w:p>
    <w:p w14:paraId="659F92B8" w14:textId="77777777" w:rsidR="004F07DF" w:rsidRPr="00EB17A8" w:rsidRDefault="004F07DF" w:rsidP="004F07DF">
      <w:pPr>
        <w:rPr>
          <w:bCs/>
          <w:lang w:val="fr-FR"/>
        </w:rPr>
      </w:pPr>
    </w:p>
    <w:p w14:paraId="35CC7988" w14:textId="77777777" w:rsidR="004F07DF" w:rsidRPr="00EB17A8" w:rsidRDefault="004F07DF" w:rsidP="004F07DF">
      <w:pPr>
        <w:rPr>
          <w:bCs/>
          <w:lang w:val="en-US"/>
        </w:rPr>
      </w:pPr>
      <w:r w:rsidRPr="00EB17A8">
        <w:rPr>
          <w:lang w:val="en-US"/>
        </w:rPr>
        <w:t>If processing is outside the EEA, please specify the appropriate guarantees that are put in place</w:t>
      </w:r>
    </w:p>
    <w:p w14:paraId="005F2456" w14:textId="77777777" w:rsidR="004F07DF" w:rsidRPr="00EB17A8" w:rsidRDefault="004F07DF" w:rsidP="004F07DF">
      <w:pPr>
        <w:rPr>
          <w:bCs/>
          <w:lang w:val="en-US"/>
        </w:rPr>
      </w:pPr>
    </w:p>
    <w:p w14:paraId="5D01A71F" w14:textId="77777777" w:rsidR="004F07DF" w:rsidRPr="00EB17A8" w:rsidRDefault="004F07DF" w:rsidP="004F07DF">
      <w:pPr>
        <w:rPr>
          <w:bCs/>
          <w:lang w:val="nl-BE"/>
        </w:rPr>
      </w:pPr>
      <w:r w:rsidRPr="00EB17A8">
        <w:rPr>
          <w:bCs/>
          <w:lang w:val="nl-BE"/>
        </w:rPr>
        <w:t>&lt;Describe&gt;</w:t>
      </w:r>
    </w:p>
    <w:p w14:paraId="23752CBA" w14:textId="77777777" w:rsidR="004F07DF" w:rsidRPr="00EB17A8" w:rsidRDefault="004F07DF" w:rsidP="004F07DF">
      <w:pPr>
        <w:rPr>
          <w:bCs/>
          <w:lang w:val="fr-FR"/>
        </w:rPr>
      </w:pPr>
    </w:p>
    <w:p w14:paraId="6141A2FA" w14:textId="77777777" w:rsidR="004F07DF" w:rsidRPr="00EB17A8" w:rsidRDefault="004F07DF" w:rsidP="004F07DF">
      <w:pPr>
        <w:numPr>
          <w:ilvl w:val="0"/>
          <w:numId w:val="37"/>
        </w:numPr>
        <w:rPr>
          <w:b/>
          <w:bCs/>
          <w:lang w:val="en-US"/>
        </w:rPr>
      </w:pPr>
      <w:r w:rsidRPr="00EB17A8">
        <w:rPr>
          <w:b/>
          <w:bCs/>
          <w:lang w:val="en-US"/>
        </w:rPr>
        <w:t>Use of subsequent subcontractors/processors:</w:t>
      </w:r>
    </w:p>
    <w:p w14:paraId="2E162EA2" w14:textId="77777777" w:rsidR="004F07DF" w:rsidRPr="00EB17A8" w:rsidRDefault="004F07DF" w:rsidP="004F07DF">
      <w:pPr>
        <w:rPr>
          <w:b/>
          <w:bCs/>
          <w:lang w:val="en-US"/>
        </w:rPr>
      </w:pPr>
    </w:p>
    <w:p w14:paraId="2407C037" w14:textId="77777777" w:rsidR="004F07DF" w:rsidRPr="00EB17A8" w:rsidRDefault="004F07DF" w:rsidP="004F07DF">
      <w:pPr>
        <w:rPr>
          <w:b/>
          <w:bCs/>
          <w:lang w:val="nl-BE"/>
        </w:rPr>
      </w:pPr>
      <w:r w:rsidRPr="00EB17A8">
        <w:rPr>
          <w:bCs/>
          <w:lang w:val="nl-BE"/>
        </w:rPr>
        <w:t>&lt;Describe&gt;</w:t>
      </w:r>
    </w:p>
    <w:p w14:paraId="5865BCC5" w14:textId="77777777" w:rsidR="004F07DF" w:rsidRPr="00EB17A8" w:rsidRDefault="004F07DF" w:rsidP="004F07DF">
      <w:pPr>
        <w:rPr>
          <w:b/>
          <w:bCs/>
          <w:lang w:val="fr-FR"/>
        </w:rPr>
      </w:pPr>
    </w:p>
    <w:p w14:paraId="5207B3A6" w14:textId="77777777" w:rsidR="004F07DF" w:rsidRPr="00EB17A8" w:rsidRDefault="004F07DF" w:rsidP="004F07DF">
      <w:pPr>
        <w:numPr>
          <w:ilvl w:val="0"/>
          <w:numId w:val="37"/>
        </w:numPr>
        <w:rPr>
          <w:b/>
          <w:bCs/>
          <w:lang w:val="en-US"/>
        </w:rPr>
      </w:pPr>
      <w:r w:rsidRPr="00EB17A8">
        <w:rPr>
          <w:b/>
          <w:bCs/>
          <w:lang w:val="en-US"/>
        </w:rPr>
        <w:t xml:space="preserve">Contact details of the responsible contact person at the controller’s </w:t>
      </w:r>
    </w:p>
    <w:p w14:paraId="0C83B83B" w14:textId="77777777" w:rsidR="004F07DF" w:rsidRPr="00EB17A8" w:rsidRDefault="004F07DF" w:rsidP="004F07DF">
      <w:pPr>
        <w:rPr>
          <w:b/>
          <w:bCs/>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7"/>
        <w:gridCol w:w="4435"/>
      </w:tblGrid>
      <w:tr w:rsidR="004F07DF" w:rsidRPr="00EB17A8" w14:paraId="68AAA131" w14:textId="77777777" w:rsidTr="20F9238C">
        <w:tc>
          <w:tcPr>
            <w:tcW w:w="4531" w:type="dxa"/>
            <w:shd w:val="clear" w:color="auto" w:fill="auto"/>
          </w:tcPr>
          <w:p w14:paraId="343F6981" w14:textId="77777777" w:rsidR="004F07DF" w:rsidRPr="00EB17A8" w:rsidRDefault="004F07DF" w:rsidP="009F6F46">
            <w:pPr>
              <w:rPr>
                <w:bCs/>
                <w:lang w:val="nl-BE"/>
              </w:rPr>
            </w:pPr>
            <w:r w:rsidRPr="00EB17A8">
              <w:rPr>
                <w:lang w:val="nl-BE"/>
              </w:rPr>
              <w:t>Name:</w:t>
            </w:r>
          </w:p>
        </w:tc>
        <w:tc>
          <w:tcPr>
            <w:tcW w:w="4531" w:type="dxa"/>
            <w:shd w:val="clear" w:color="auto" w:fill="auto"/>
          </w:tcPr>
          <w:p w14:paraId="7FBF4AEF" w14:textId="77777777" w:rsidR="004F07DF" w:rsidRPr="00EB17A8" w:rsidRDefault="004F07DF" w:rsidP="009F6F46">
            <w:pPr>
              <w:rPr>
                <w:bCs/>
                <w:lang w:val="fr-FR"/>
              </w:rPr>
            </w:pPr>
          </w:p>
        </w:tc>
      </w:tr>
      <w:tr w:rsidR="004F07DF" w:rsidRPr="00EB17A8" w14:paraId="7D790C5E" w14:textId="77777777" w:rsidTr="20F9238C">
        <w:tc>
          <w:tcPr>
            <w:tcW w:w="4531" w:type="dxa"/>
            <w:shd w:val="clear" w:color="auto" w:fill="auto"/>
          </w:tcPr>
          <w:p w14:paraId="74F6C411" w14:textId="77777777" w:rsidR="004F07DF" w:rsidRPr="00EB17A8" w:rsidRDefault="004F07DF" w:rsidP="009F6F46">
            <w:pPr>
              <w:rPr>
                <w:bCs/>
                <w:lang w:val="nl-BE"/>
              </w:rPr>
            </w:pPr>
            <w:r w:rsidRPr="00EB17A8">
              <w:rPr>
                <w:lang w:val="nl-BE"/>
              </w:rPr>
              <w:t>Title:</w:t>
            </w:r>
          </w:p>
        </w:tc>
        <w:tc>
          <w:tcPr>
            <w:tcW w:w="4531" w:type="dxa"/>
            <w:shd w:val="clear" w:color="auto" w:fill="auto"/>
          </w:tcPr>
          <w:p w14:paraId="39CCB643" w14:textId="77777777" w:rsidR="004F07DF" w:rsidRPr="00EB17A8" w:rsidRDefault="004F07DF" w:rsidP="009F6F46">
            <w:pPr>
              <w:rPr>
                <w:bCs/>
                <w:lang w:val="fr-FR"/>
              </w:rPr>
            </w:pPr>
          </w:p>
        </w:tc>
      </w:tr>
      <w:tr w:rsidR="004F07DF" w:rsidRPr="00EB17A8" w14:paraId="07B891D2" w14:textId="77777777" w:rsidTr="20F9238C">
        <w:trPr>
          <w:trHeight w:val="70"/>
        </w:trPr>
        <w:tc>
          <w:tcPr>
            <w:tcW w:w="4531" w:type="dxa"/>
            <w:shd w:val="clear" w:color="auto" w:fill="auto"/>
          </w:tcPr>
          <w:p w14:paraId="27DC5ECC" w14:textId="77777777" w:rsidR="004F07DF" w:rsidRPr="00EB17A8" w:rsidRDefault="004F07DF" w:rsidP="009F6F46">
            <w:pPr>
              <w:rPr>
                <w:bCs/>
                <w:lang w:val="nl-BE"/>
              </w:rPr>
            </w:pPr>
            <w:r w:rsidRPr="00EB17A8">
              <w:rPr>
                <w:lang w:val="nl-BE"/>
              </w:rPr>
              <w:t>Telephone number:</w:t>
            </w:r>
          </w:p>
        </w:tc>
        <w:tc>
          <w:tcPr>
            <w:tcW w:w="4531" w:type="dxa"/>
            <w:shd w:val="clear" w:color="auto" w:fill="auto"/>
          </w:tcPr>
          <w:p w14:paraId="4C2D7A45" w14:textId="77777777" w:rsidR="004F07DF" w:rsidRPr="00EB17A8" w:rsidRDefault="004F07DF" w:rsidP="009F6F46">
            <w:pPr>
              <w:rPr>
                <w:bCs/>
                <w:lang w:val="fr-FR"/>
              </w:rPr>
            </w:pPr>
          </w:p>
        </w:tc>
      </w:tr>
      <w:tr w:rsidR="004F07DF" w:rsidRPr="00EB17A8" w14:paraId="7897627B" w14:textId="77777777" w:rsidTr="20F9238C">
        <w:tc>
          <w:tcPr>
            <w:tcW w:w="4531" w:type="dxa"/>
            <w:shd w:val="clear" w:color="auto" w:fill="auto"/>
          </w:tcPr>
          <w:p w14:paraId="4EBED637" w14:textId="77777777" w:rsidR="004F07DF" w:rsidRPr="00EB17A8" w:rsidRDefault="004F07DF" w:rsidP="009F6F46">
            <w:pPr>
              <w:rPr>
                <w:bCs/>
                <w:lang w:val="nl-BE"/>
              </w:rPr>
            </w:pPr>
            <w:r w:rsidRPr="00EB17A8">
              <w:rPr>
                <w:lang w:val="nl-BE"/>
              </w:rPr>
              <w:t>E-mail:</w:t>
            </w:r>
          </w:p>
        </w:tc>
        <w:tc>
          <w:tcPr>
            <w:tcW w:w="4531" w:type="dxa"/>
            <w:shd w:val="clear" w:color="auto" w:fill="auto"/>
          </w:tcPr>
          <w:p w14:paraId="0A2CED47" w14:textId="77777777" w:rsidR="004F07DF" w:rsidRPr="00EB17A8" w:rsidRDefault="004F07DF" w:rsidP="009F6F46">
            <w:pPr>
              <w:rPr>
                <w:bCs/>
                <w:lang w:val="fr-FR"/>
              </w:rPr>
            </w:pPr>
          </w:p>
        </w:tc>
      </w:tr>
      <w:tr w:rsidR="004F07DF" w:rsidRPr="00EB17A8" w14:paraId="2C7D8852" w14:textId="77777777" w:rsidTr="20F9238C">
        <w:tc>
          <w:tcPr>
            <w:tcW w:w="9062" w:type="dxa"/>
            <w:gridSpan w:val="2"/>
            <w:shd w:val="clear" w:color="auto" w:fill="auto"/>
          </w:tcPr>
          <w:p w14:paraId="62A9F088" w14:textId="77777777" w:rsidR="004F07DF" w:rsidRPr="00EB17A8" w:rsidRDefault="004F07DF" w:rsidP="009F6F46">
            <w:pPr>
              <w:rPr>
                <w:bCs/>
                <w:lang w:val="fr-FR"/>
              </w:rPr>
            </w:pPr>
          </w:p>
        </w:tc>
      </w:tr>
      <w:tr w:rsidR="004F07DF" w:rsidRPr="00EB17A8" w14:paraId="09001A82" w14:textId="77777777" w:rsidTr="20F9238C">
        <w:tc>
          <w:tcPr>
            <w:tcW w:w="4531" w:type="dxa"/>
            <w:shd w:val="clear" w:color="auto" w:fill="auto"/>
          </w:tcPr>
          <w:p w14:paraId="66E36F61" w14:textId="77777777" w:rsidR="004F07DF" w:rsidRPr="00EB17A8" w:rsidRDefault="18348483" w:rsidP="009F6F46">
            <w:pPr>
              <w:rPr>
                <w:bCs/>
                <w:lang w:val="nl-BE"/>
              </w:rPr>
            </w:pPr>
            <w:r w:rsidRPr="00EB17A8">
              <w:rPr>
                <w:lang w:val="nl-BE"/>
              </w:rPr>
              <w:lastRenderedPageBreak/>
              <w:t>Name:</w:t>
            </w:r>
            <w:r w:rsidR="004F07DF" w:rsidRPr="20F9238C">
              <w:rPr>
                <w:vertAlign w:val="superscript"/>
                <w:lang w:val="fr-FR"/>
              </w:rPr>
              <w:footnoteReference w:id="23"/>
            </w:r>
          </w:p>
        </w:tc>
        <w:tc>
          <w:tcPr>
            <w:tcW w:w="4531" w:type="dxa"/>
            <w:shd w:val="clear" w:color="auto" w:fill="auto"/>
          </w:tcPr>
          <w:p w14:paraId="3E34C1EB" w14:textId="77777777" w:rsidR="004F07DF" w:rsidRPr="00EB17A8" w:rsidRDefault="004F07DF" w:rsidP="009F6F46">
            <w:pPr>
              <w:rPr>
                <w:bCs/>
                <w:lang w:val="fr-FR"/>
              </w:rPr>
            </w:pPr>
          </w:p>
        </w:tc>
      </w:tr>
      <w:tr w:rsidR="004F07DF" w:rsidRPr="00EB17A8" w14:paraId="6263ED53" w14:textId="77777777" w:rsidTr="20F9238C">
        <w:tc>
          <w:tcPr>
            <w:tcW w:w="4531" w:type="dxa"/>
            <w:shd w:val="clear" w:color="auto" w:fill="auto"/>
          </w:tcPr>
          <w:p w14:paraId="6405A14D" w14:textId="77777777" w:rsidR="004F07DF" w:rsidRPr="00EB17A8" w:rsidRDefault="004F07DF" w:rsidP="009F6F46">
            <w:pPr>
              <w:rPr>
                <w:bCs/>
                <w:lang w:val="nl-BE"/>
              </w:rPr>
            </w:pPr>
            <w:r w:rsidRPr="00EB17A8">
              <w:rPr>
                <w:lang w:val="nl-BE"/>
              </w:rPr>
              <w:t>Title:</w:t>
            </w:r>
          </w:p>
        </w:tc>
        <w:tc>
          <w:tcPr>
            <w:tcW w:w="4531" w:type="dxa"/>
            <w:shd w:val="clear" w:color="auto" w:fill="auto"/>
          </w:tcPr>
          <w:p w14:paraId="4709EA07" w14:textId="77777777" w:rsidR="004F07DF" w:rsidRPr="00EB17A8" w:rsidRDefault="004F07DF" w:rsidP="009F6F46">
            <w:pPr>
              <w:rPr>
                <w:bCs/>
                <w:lang w:val="fr-FR"/>
              </w:rPr>
            </w:pPr>
          </w:p>
        </w:tc>
      </w:tr>
      <w:tr w:rsidR="004F07DF" w:rsidRPr="00EB17A8" w14:paraId="4A2002E6" w14:textId="77777777" w:rsidTr="20F9238C">
        <w:tc>
          <w:tcPr>
            <w:tcW w:w="4531" w:type="dxa"/>
            <w:shd w:val="clear" w:color="auto" w:fill="auto"/>
          </w:tcPr>
          <w:p w14:paraId="2E9480BD" w14:textId="77777777" w:rsidR="004F07DF" w:rsidRPr="00EB17A8" w:rsidRDefault="004F07DF" w:rsidP="009F6F46">
            <w:pPr>
              <w:rPr>
                <w:bCs/>
                <w:lang w:val="nl-BE"/>
              </w:rPr>
            </w:pPr>
            <w:r w:rsidRPr="00EB17A8">
              <w:rPr>
                <w:lang w:val="nl-BE"/>
              </w:rPr>
              <w:t>Telephone number:</w:t>
            </w:r>
          </w:p>
        </w:tc>
        <w:tc>
          <w:tcPr>
            <w:tcW w:w="4531" w:type="dxa"/>
            <w:shd w:val="clear" w:color="auto" w:fill="auto"/>
          </w:tcPr>
          <w:p w14:paraId="121BA89B" w14:textId="77777777" w:rsidR="004F07DF" w:rsidRPr="00EB17A8" w:rsidRDefault="004F07DF" w:rsidP="009F6F46">
            <w:pPr>
              <w:rPr>
                <w:bCs/>
                <w:lang w:val="fr-FR"/>
              </w:rPr>
            </w:pPr>
          </w:p>
        </w:tc>
      </w:tr>
      <w:tr w:rsidR="004F07DF" w:rsidRPr="00EB17A8" w14:paraId="02A7E404" w14:textId="77777777" w:rsidTr="20F9238C">
        <w:tc>
          <w:tcPr>
            <w:tcW w:w="4531" w:type="dxa"/>
            <w:shd w:val="clear" w:color="auto" w:fill="auto"/>
          </w:tcPr>
          <w:p w14:paraId="491BFB0F" w14:textId="77777777" w:rsidR="004F07DF" w:rsidRPr="00EB17A8" w:rsidRDefault="004F07DF" w:rsidP="009F6F46">
            <w:pPr>
              <w:rPr>
                <w:bCs/>
                <w:lang w:val="nl-BE"/>
              </w:rPr>
            </w:pPr>
            <w:r w:rsidRPr="00EB17A8">
              <w:rPr>
                <w:lang w:val="nl-BE"/>
              </w:rPr>
              <w:t>E-mail:</w:t>
            </w:r>
          </w:p>
        </w:tc>
        <w:tc>
          <w:tcPr>
            <w:tcW w:w="4531" w:type="dxa"/>
            <w:shd w:val="clear" w:color="auto" w:fill="auto"/>
          </w:tcPr>
          <w:p w14:paraId="517B4F8E" w14:textId="77777777" w:rsidR="004F07DF" w:rsidRPr="00EB17A8" w:rsidRDefault="004F07DF" w:rsidP="009F6F46">
            <w:pPr>
              <w:rPr>
                <w:bCs/>
                <w:lang w:val="fr-FR"/>
              </w:rPr>
            </w:pPr>
          </w:p>
        </w:tc>
      </w:tr>
    </w:tbl>
    <w:p w14:paraId="7DE3105E" w14:textId="77777777" w:rsidR="004F07DF" w:rsidRPr="00EB17A8" w:rsidRDefault="004F07DF" w:rsidP="004F07DF">
      <w:pPr>
        <w:rPr>
          <w:b/>
          <w:bCs/>
          <w:lang w:val="fr-FR"/>
        </w:rPr>
      </w:pPr>
    </w:p>
    <w:p w14:paraId="0AF7D8B8" w14:textId="77777777" w:rsidR="004F07DF" w:rsidRPr="00EB17A8" w:rsidRDefault="004F07DF" w:rsidP="004F07DF">
      <w:pPr>
        <w:numPr>
          <w:ilvl w:val="0"/>
          <w:numId w:val="37"/>
        </w:numPr>
        <w:rPr>
          <w:b/>
          <w:bCs/>
          <w:lang w:val="en-US"/>
        </w:rPr>
      </w:pPr>
      <w:r w:rsidRPr="00EB17A8">
        <w:rPr>
          <w:b/>
          <w:bCs/>
          <w:lang w:val="en-US"/>
        </w:rPr>
        <w:t xml:space="preserve">Contact details of the responsible contact person at the processor’s: </w:t>
      </w:r>
      <w:r w:rsidRPr="00EB17A8">
        <w:rPr>
          <w:b/>
          <w:bCs/>
          <w:lang w:val="en-US"/>
        </w:rPr>
        <w:tab/>
      </w:r>
    </w:p>
    <w:p w14:paraId="6141CAE8" w14:textId="77777777" w:rsidR="004F07DF" w:rsidRPr="00EB17A8" w:rsidRDefault="004F07DF" w:rsidP="004F07DF">
      <w:pPr>
        <w:rPr>
          <w:bCs/>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7"/>
        <w:gridCol w:w="4435"/>
      </w:tblGrid>
      <w:tr w:rsidR="004F07DF" w:rsidRPr="00EB17A8" w14:paraId="78D0A543" w14:textId="77777777" w:rsidTr="009F6F46">
        <w:tc>
          <w:tcPr>
            <w:tcW w:w="4531" w:type="dxa"/>
            <w:shd w:val="clear" w:color="auto" w:fill="auto"/>
          </w:tcPr>
          <w:p w14:paraId="34120BBC" w14:textId="77777777" w:rsidR="004F07DF" w:rsidRPr="00EB17A8" w:rsidRDefault="004F07DF" w:rsidP="009F6F46">
            <w:pPr>
              <w:rPr>
                <w:bCs/>
                <w:lang w:val="nl-BE"/>
              </w:rPr>
            </w:pPr>
            <w:r w:rsidRPr="00EB17A8">
              <w:rPr>
                <w:lang w:val="nl-BE"/>
              </w:rPr>
              <w:t>Name:</w:t>
            </w:r>
          </w:p>
        </w:tc>
        <w:tc>
          <w:tcPr>
            <w:tcW w:w="4531" w:type="dxa"/>
            <w:shd w:val="clear" w:color="auto" w:fill="auto"/>
          </w:tcPr>
          <w:p w14:paraId="335902E4" w14:textId="77777777" w:rsidR="004F07DF" w:rsidRPr="00EB17A8" w:rsidRDefault="004F07DF" w:rsidP="009F6F46">
            <w:pPr>
              <w:rPr>
                <w:bCs/>
                <w:lang w:val="fr-FR"/>
              </w:rPr>
            </w:pPr>
          </w:p>
        </w:tc>
      </w:tr>
      <w:tr w:rsidR="004F07DF" w:rsidRPr="00EB17A8" w14:paraId="141C3827" w14:textId="77777777" w:rsidTr="009F6F46">
        <w:tc>
          <w:tcPr>
            <w:tcW w:w="4531" w:type="dxa"/>
            <w:shd w:val="clear" w:color="auto" w:fill="auto"/>
          </w:tcPr>
          <w:p w14:paraId="776103A2" w14:textId="77777777" w:rsidR="004F07DF" w:rsidRPr="00EB17A8" w:rsidRDefault="004F07DF" w:rsidP="009F6F46">
            <w:pPr>
              <w:rPr>
                <w:bCs/>
                <w:lang w:val="nl-BE"/>
              </w:rPr>
            </w:pPr>
            <w:r w:rsidRPr="00EB17A8">
              <w:rPr>
                <w:lang w:val="nl-BE"/>
              </w:rPr>
              <w:t>Title:</w:t>
            </w:r>
          </w:p>
        </w:tc>
        <w:tc>
          <w:tcPr>
            <w:tcW w:w="4531" w:type="dxa"/>
            <w:shd w:val="clear" w:color="auto" w:fill="auto"/>
          </w:tcPr>
          <w:p w14:paraId="5FD54746" w14:textId="77777777" w:rsidR="004F07DF" w:rsidRPr="00EB17A8" w:rsidRDefault="004F07DF" w:rsidP="009F6F46">
            <w:pPr>
              <w:rPr>
                <w:bCs/>
                <w:lang w:val="fr-FR"/>
              </w:rPr>
            </w:pPr>
          </w:p>
        </w:tc>
      </w:tr>
      <w:tr w:rsidR="004F07DF" w:rsidRPr="00EB17A8" w14:paraId="736A4A27" w14:textId="77777777" w:rsidTr="009F6F46">
        <w:trPr>
          <w:trHeight w:val="70"/>
        </w:trPr>
        <w:tc>
          <w:tcPr>
            <w:tcW w:w="4531" w:type="dxa"/>
            <w:shd w:val="clear" w:color="auto" w:fill="auto"/>
          </w:tcPr>
          <w:p w14:paraId="19A2DCFA" w14:textId="77777777" w:rsidR="004F07DF" w:rsidRPr="00EB17A8" w:rsidRDefault="004F07DF" w:rsidP="009F6F46">
            <w:pPr>
              <w:rPr>
                <w:bCs/>
                <w:lang w:val="nl-BE"/>
              </w:rPr>
            </w:pPr>
            <w:r w:rsidRPr="00EB17A8">
              <w:rPr>
                <w:lang w:val="nl-BE"/>
              </w:rPr>
              <w:t>Telephone number:</w:t>
            </w:r>
          </w:p>
        </w:tc>
        <w:tc>
          <w:tcPr>
            <w:tcW w:w="4531" w:type="dxa"/>
            <w:shd w:val="clear" w:color="auto" w:fill="auto"/>
          </w:tcPr>
          <w:p w14:paraId="18042E20" w14:textId="77777777" w:rsidR="004F07DF" w:rsidRPr="00EB17A8" w:rsidRDefault="004F07DF" w:rsidP="009F6F46">
            <w:pPr>
              <w:rPr>
                <w:bCs/>
                <w:lang w:val="fr-FR"/>
              </w:rPr>
            </w:pPr>
          </w:p>
        </w:tc>
      </w:tr>
      <w:tr w:rsidR="004F07DF" w:rsidRPr="00EB17A8" w14:paraId="2BF17DF5" w14:textId="77777777" w:rsidTr="009F6F46">
        <w:tc>
          <w:tcPr>
            <w:tcW w:w="4531" w:type="dxa"/>
            <w:shd w:val="clear" w:color="auto" w:fill="auto"/>
          </w:tcPr>
          <w:p w14:paraId="4FABB3C7" w14:textId="77777777" w:rsidR="004F07DF" w:rsidRPr="00EB17A8" w:rsidRDefault="004F07DF" w:rsidP="009F6F46">
            <w:pPr>
              <w:rPr>
                <w:bCs/>
                <w:lang w:val="nl-BE"/>
              </w:rPr>
            </w:pPr>
            <w:r w:rsidRPr="00EB17A8">
              <w:rPr>
                <w:lang w:val="nl-BE"/>
              </w:rPr>
              <w:t>E-mail:</w:t>
            </w:r>
          </w:p>
        </w:tc>
        <w:tc>
          <w:tcPr>
            <w:tcW w:w="4531" w:type="dxa"/>
            <w:shd w:val="clear" w:color="auto" w:fill="auto"/>
          </w:tcPr>
          <w:p w14:paraId="091CABA5" w14:textId="77777777" w:rsidR="004F07DF" w:rsidRPr="00EB17A8" w:rsidRDefault="004F07DF" w:rsidP="009F6F46">
            <w:pPr>
              <w:rPr>
                <w:bCs/>
                <w:lang w:val="fr-FR"/>
              </w:rPr>
            </w:pPr>
          </w:p>
        </w:tc>
      </w:tr>
      <w:tr w:rsidR="004F07DF" w:rsidRPr="00EB17A8" w14:paraId="62E5F6FC" w14:textId="77777777" w:rsidTr="009F6F46">
        <w:tc>
          <w:tcPr>
            <w:tcW w:w="9062" w:type="dxa"/>
            <w:gridSpan w:val="2"/>
            <w:shd w:val="clear" w:color="auto" w:fill="auto"/>
          </w:tcPr>
          <w:p w14:paraId="6A79EF80" w14:textId="77777777" w:rsidR="004F07DF" w:rsidRPr="00EB17A8" w:rsidRDefault="004F07DF" w:rsidP="009F6F46">
            <w:pPr>
              <w:rPr>
                <w:bCs/>
                <w:lang w:val="fr-FR"/>
              </w:rPr>
            </w:pPr>
          </w:p>
        </w:tc>
      </w:tr>
      <w:tr w:rsidR="004F07DF" w:rsidRPr="00EB17A8" w14:paraId="75BB171E" w14:textId="77777777" w:rsidTr="009F6F46">
        <w:tc>
          <w:tcPr>
            <w:tcW w:w="4531" w:type="dxa"/>
            <w:shd w:val="clear" w:color="auto" w:fill="auto"/>
          </w:tcPr>
          <w:p w14:paraId="2B411A8F" w14:textId="77777777" w:rsidR="004F07DF" w:rsidRPr="00EB17A8" w:rsidRDefault="004F07DF" w:rsidP="009F6F46">
            <w:pPr>
              <w:rPr>
                <w:bCs/>
                <w:lang w:val="nl-BE"/>
              </w:rPr>
            </w:pPr>
            <w:r w:rsidRPr="00EB17A8">
              <w:rPr>
                <w:lang w:val="nl-BE"/>
              </w:rPr>
              <w:t>Name:</w:t>
            </w:r>
          </w:p>
        </w:tc>
        <w:tc>
          <w:tcPr>
            <w:tcW w:w="4531" w:type="dxa"/>
            <w:shd w:val="clear" w:color="auto" w:fill="auto"/>
          </w:tcPr>
          <w:p w14:paraId="7BA4A0D5" w14:textId="77777777" w:rsidR="004F07DF" w:rsidRPr="00EB17A8" w:rsidRDefault="004F07DF" w:rsidP="009F6F46">
            <w:pPr>
              <w:rPr>
                <w:bCs/>
                <w:lang w:val="fr-FR"/>
              </w:rPr>
            </w:pPr>
          </w:p>
        </w:tc>
      </w:tr>
      <w:tr w:rsidR="004F07DF" w:rsidRPr="00EB17A8" w14:paraId="35E16680" w14:textId="77777777" w:rsidTr="009F6F46">
        <w:tc>
          <w:tcPr>
            <w:tcW w:w="4531" w:type="dxa"/>
            <w:shd w:val="clear" w:color="auto" w:fill="auto"/>
          </w:tcPr>
          <w:p w14:paraId="2572D0F6" w14:textId="77777777" w:rsidR="004F07DF" w:rsidRPr="00EB17A8" w:rsidRDefault="004F07DF" w:rsidP="009F6F46">
            <w:pPr>
              <w:rPr>
                <w:bCs/>
                <w:lang w:val="nl-BE"/>
              </w:rPr>
            </w:pPr>
            <w:r w:rsidRPr="00EB17A8">
              <w:rPr>
                <w:lang w:val="nl-BE"/>
              </w:rPr>
              <w:t>Title:</w:t>
            </w:r>
          </w:p>
        </w:tc>
        <w:tc>
          <w:tcPr>
            <w:tcW w:w="4531" w:type="dxa"/>
            <w:shd w:val="clear" w:color="auto" w:fill="auto"/>
          </w:tcPr>
          <w:p w14:paraId="40C738F8" w14:textId="77777777" w:rsidR="004F07DF" w:rsidRPr="00EB17A8" w:rsidRDefault="004F07DF" w:rsidP="009F6F46">
            <w:pPr>
              <w:rPr>
                <w:bCs/>
                <w:lang w:val="fr-FR"/>
              </w:rPr>
            </w:pPr>
          </w:p>
        </w:tc>
      </w:tr>
      <w:tr w:rsidR="004F07DF" w:rsidRPr="00EB17A8" w14:paraId="3E6BEBDC" w14:textId="77777777" w:rsidTr="009F6F46">
        <w:tc>
          <w:tcPr>
            <w:tcW w:w="4531" w:type="dxa"/>
            <w:shd w:val="clear" w:color="auto" w:fill="auto"/>
          </w:tcPr>
          <w:p w14:paraId="2325FF43" w14:textId="77777777" w:rsidR="004F07DF" w:rsidRPr="00EB17A8" w:rsidRDefault="004F07DF" w:rsidP="009F6F46">
            <w:pPr>
              <w:rPr>
                <w:bCs/>
                <w:lang w:val="nl-BE"/>
              </w:rPr>
            </w:pPr>
            <w:r w:rsidRPr="00EB17A8">
              <w:rPr>
                <w:lang w:val="nl-BE"/>
              </w:rPr>
              <w:t>Telephone number:</w:t>
            </w:r>
          </w:p>
        </w:tc>
        <w:tc>
          <w:tcPr>
            <w:tcW w:w="4531" w:type="dxa"/>
            <w:shd w:val="clear" w:color="auto" w:fill="auto"/>
          </w:tcPr>
          <w:p w14:paraId="03BE811D" w14:textId="77777777" w:rsidR="004F07DF" w:rsidRPr="00EB17A8" w:rsidRDefault="004F07DF" w:rsidP="009F6F46">
            <w:pPr>
              <w:rPr>
                <w:bCs/>
                <w:lang w:val="fr-FR"/>
              </w:rPr>
            </w:pPr>
          </w:p>
        </w:tc>
      </w:tr>
      <w:tr w:rsidR="004F07DF" w:rsidRPr="00EB17A8" w14:paraId="0B20085E" w14:textId="77777777" w:rsidTr="009F6F46">
        <w:tc>
          <w:tcPr>
            <w:tcW w:w="4531" w:type="dxa"/>
            <w:shd w:val="clear" w:color="auto" w:fill="auto"/>
          </w:tcPr>
          <w:p w14:paraId="4D4424D9" w14:textId="77777777" w:rsidR="004F07DF" w:rsidRPr="00EB17A8" w:rsidRDefault="004F07DF" w:rsidP="009F6F46">
            <w:pPr>
              <w:rPr>
                <w:bCs/>
                <w:lang w:val="nl-BE"/>
              </w:rPr>
            </w:pPr>
            <w:r w:rsidRPr="00EB17A8">
              <w:rPr>
                <w:lang w:val="nl-BE"/>
              </w:rPr>
              <w:t>E-mail:</w:t>
            </w:r>
          </w:p>
        </w:tc>
        <w:tc>
          <w:tcPr>
            <w:tcW w:w="4531" w:type="dxa"/>
            <w:shd w:val="clear" w:color="auto" w:fill="auto"/>
          </w:tcPr>
          <w:p w14:paraId="4A466F13" w14:textId="77777777" w:rsidR="004F07DF" w:rsidRPr="00EB17A8" w:rsidRDefault="004F07DF" w:rsidP="009F6F46">
            <w:pPr>
              <w:rPr>
                <w:bCs/>
                <w:lang w:val="fr-FR"/>
              </w:rPr>
            </w:pPr>
          </w:p>
        </w:tc>
      </w:tr>
    </w:tbl>
    <w:p w14:paraId="66EDB72B" w14:textId="77777777" w:rsidR="004F07DF" w:rsidRPr="00EB17A8" w:rsidRDefault="004F07DF" w:rsidP="004F07DF">
      <w:pPr>
        <w:rPr>
          <w:bCs/>
          <w:lang w:val="fr-FR"/>
        </w:rPr>
      </w:pPr>
    </w:p>
    <w:p w14:paraId="4898CF3A" w14:textId="77777777" w:rsidR="004F07DF" w:rsidRPr="00EB17A8" w:rsidRDefault="004F07DF" w:rsidP="004F07DF">
      <w:pPr>
        <w:rPr>
          <w:bCs/>
          <w:lang w:val="fr-FR"/>
        </w:rPr>
      </w:pPr>
    </w:p>
    <w:p w14:paraId="2952BF69" w14:textId="77777777" w:rsidR="004F07DF" w:rsidRPr="00EB17A8" w:rsidRDefault="004F07DF" w:rsidP="004F07DF">
      <w:pPr>
        <w:rPr>
          <w:lang w:val="fr-FR"/>
        </w:rPr>
      </w:pPr>
    </w:p>
    <w:p w14:paraId="6685E2BA" w14:textId="77777777" w:rsidR="004F07DF" w:rsidRPr="00EB17A8" w:rsidRDefault="004F07DF" w:rsidP="004F07DF">
      <w:pPr>
        <w:rPr>
          <w:lang w:val="fr-FR"/>
        </w:rPr>
      </w:pPr>
      <w:r w:rsidRPr="00EB17A8">
        <w:rPr>
          <w:lang w:val="fr-FR"/>
        </w:rPr>
        <w:br w:type="page"/>
      </w:r>
    </w:p>
    <w:p w14:paraId="3957F3A1" w14:textId="77777777" w:rsidR="004F07DF" w:rsidRPr="00EB17A8" w:rsidRDefault="004F07DF" w:rsidP="004F07DF">
      <w:pPr>
        <w:rPr>
          <w:lang w:val="fr-FR"/>
        </w:rPr>
      </w:pPr>
    </w:p>
    <w:p w14:paraId="7E2A3D34" w14:textId="77777777" w:rsidR="004F07DF" w:rsidRPr="00EB17A8" w:rsidRDefault="18348483" w:rsidP="004F07DF">
      <w:pPr>
        <w:rPr>
          <w:b/>
          <w:bCs/>
        </w:rPr>
      </w:pPr>
      <w:r w:rsidRPr="00EB17A8">
        <w:rPr>
          <w:b/>
          <w:bCs/>
        </w:rPr>
        <w:t>Annexe 2: Security of processing</w:t>
      </w:r>
      <w:r w:rsidR="004F07DF" w:rsidRPr="00EB17A8">
        <w:rPr>
          <w:b/>
          <w:bCs/>
          <w:vertAlign w:val="superscript"/>
          <w:lang w:val="fr-FR"/>
        </w:rPr>
        <w:footnoteReference w:id="24"/>
      </w:r>
    </w:p>
    <w:p w14:paraId="357AEC4D" w14:textId="77777777" w:rsidR="004F07DF" w:rsidRPr="00EB17A8" w:rsidRDefault="004F07DF" w:rsidP="004F07DF">
      <w:pPr>
        <w:rPr>
          <w:lang w:val="en-US"/>
        </w:rPr>
      </w:pPr>
    </w:p>
    <w:p w14:paraId="47C81BEA" w14:textId="77777777" w:rsidR="004F07DF" w:rsidRPr="00EB17A8" w:rsidRDefault="18348483" w:rsidP="004F07DF">
      <w:pPr>
        <w:rPr>
          <w:lang w:val="en-US"/>
        </w:rPr>
      </w:pPr>
      <w:r w:rsidRPr="00EB17A8">
        <w:rPr>
          <w:lang w:val="en-US"/>
        </w:rPr>
        <w:t xml:space="preserve">The controller should use only processors providing sufficient guarantees, </w:t>
      </w:r>
      <w:proofErr w:type="gramStart"/>
      <w:r w:rsidRPr="00EB17A8">
        <w:rPr>
          <w:lang w:val="en-US"/>
        </w:rPr>
        <w:t>in particular in</w:t>
      </w:r>
      <w:proofErr w:type="gramEnd"/>
      <w:r w:rsidRPr="00EB17A8">
        <w:rPr>
          <w:lang w:val="en-US"/>
        </w:rPr>
        <w:t xml:space="preserve"> terms of expert knowledge, reliability and resources, to implement technical and </w:t>
      </w:r>
      <w:proofErr w:type="spellStart"/>
      <w:r w:rsidRPr="00EB17A8">
        <w:rPr>
          <w:lang w:val="en-US"/>
        </w:rPr>
        <w:t>organisational</w:t>
      </w:r>
      <w:proofErr w:type="spellEnd"/>
      <w:r w:rsidRPr="00EB17A8">
        <w:rPr>
          <w:lang w:val="en-US"/>
        </w:rPr>
        <w:t xml:space="preserve"> measures which will meet the requirements of this Regulation (in particular Article 32 of the GDPR), including for the security of processing.</w:t>
      </w:r>
      <w:r w:rsidR="004F07DF" w:rsidRPr="00EB17A8">
        <w:rPr>
          <w:vertAlign w:val="superscript"/>
          <w:lang w:val="fr-FR"/>
        </w:rPr>
        <w:footnoteReference w:id="25"/>
      </w:r>
    </w:p>
    <w:p w14:paraId="62E3C6F5" w14:textId="77777777" w:rsidR="004F07DF" w:rsidRPr="00EB17A8" w:rsidRDefault="004F07DF" w:rsidP="004F07DF">
      <w:pPr>
        <w:rPr>
          <w:lang w:val="en-US"/>
        </w:rPr>
      </w:pPr>
    </w:p>
    <w:p w14:paraId="575494DF" w14:textId="77777777" w:rsidR="004F07DF" w:rsidRPr="00EB17A8" w:rsidRDefault="004F07DF" w:rsidP="004F07DF">
      <w:pPr>
        <w:rPr>
          <w:lang w:val="en-US"/>
        </w:rPr>
      </w:pPr>
      <w:proofErr w:type="gramStart"/>
      <w:r w:rsidRPr="00EB17A8">
        <w:rPr>
          <w:lang w:val="en-US"/>
        </w:rPr>
        <w:t>In order to</w:t>
      </w:r>
      <w:proofErr w:type="gramEnd"/>
      <w:r w:rsidRPr="00EB17A8">
        <w:rPr>
          <w:lang w:val="en-US"/>
        </w:rPr>
        <w:t xml:space="preserve"> ensure a level of security adapted to the risk, given the state of knowledge and the nature, scope, context and purposes of the processing, as well as the risks, of varying degree of probability and severity, of processing for the rights and freedoms of natural persons, the contractor implements appropriate technical and </w:t>
      </w:r>
      <w:proofErr w:type="spellStart"/>
      <w:r w:rsidRPr="00EB17A8">
        <w:rPr>
          <w:lang w:val="en-US"/>
        </w:rPr>
        <w:t>organisational</w:t>
      </w:r>
      <w:proofErr w:type="spellEnd"/>
      <w:r w:rsidRPr="00EB17A8">
        <w:rPr>
          <w:lang w:val="en-US"/>
        </w:rPr>
        <w:t xml:space="preserve"> measures.</w:t>
      </w:r>
    </w:p>
    <w:p w14:paraId="62E0101E" w14:textId="77777777" w:rsidR="004F07DF" w:rsidRPr="00EB17A8" w:rsidRDefault="004F07DF" w:rsidP="004F07DF">
      <w:pPr>
        <w:rPr>
          <w:lang w:val="en-US"/>
        </w:rPr>
      </w:pPr>
    </w:p>
    <w:p w14:paraId="48D73853" w14:textId="77777777" w:rsidR="004F07DF" w:rsidRPr="00EB17A8" w:rsidRDefault="004F07DF" w:rsidP="004F07DF">
      <w:pPr>
        <w:rPr>
          <w:lang w:val="en-US"/>
        </w:rPr>
      </w:pPr>
      <w:r w:rsidRPr="00EB17A8">
        <w:rPr>
          <w:lang w:val="en-US"/>
        </w:rPr>
        <w:t>These security measures comprise the following, among others:</w:t>
      </w:r>
    </w:p>
    <w:p w14:paraId="03989170" w14:textId="77777777" w:rsidR="004F07DF" w:rsidRPr="00EB17A8" w:rsidRDefault="004F07DF" w:rsidP="004F07DF">
      <w:pPr>
        <w:rPr>
          <w:lang w:val="en-US"/>
        </w:rPr>
      </w:pPr>
    </w:p>
    <w:p w14:paraId="0F101B88" w14:textId="77777777" w:rsidR="004F07DF" w:rsidRPr="00EB17A8" w:rsidRDefault="004F07DF" w:rsidP="004F07DF">
      <w:pPr>
        <w:numPr>
          <w:ilvl w:val="0"/>
          <w:numId w:val="14"/>
        </w:numPr>
        <w:rPr>
          <w:bCs/>
          <w:lang w:val="nl-BE"/>
        </w:rPr>
      </w:pPr>
      <w:r w:rsidRPr="00EB17A8">
        <w:rPr>
          <w:lang w:val="nl-BE"/>
        </w:rPr>
        <w:t>[Describe]</w:t>
      </w:r>
    </w:p>
    <w:p w14:paraId="77FCD977" w14:textId="77777777" w:rsidR="004F07DF" w:rsidRPr="00EB17A8" w:rsidRDefault="004F07DF" w:rsidP="004F07DF">
      <w:pPr>
        <w:rPr>
          <w:lang w:val="fr-FR"/>
        </w:rPr>
      </w:pPr>
    </w:p>
    <w:p w14:paraId="3A2F98C0" w14:textId="77777777" w:rsidR="004F07DF" w:rsidRPr="00EB17A8" w:rsidRDefault="004F07DF" w:rsidP="004F07DF">
      <w:pPr>
        <w:rPr>
          <w:lang w:val="fr-FR"/>
        </w:rPr>
      </w:pPr>
    </w:p>
    <w:p w14:paraId="4F03D497" w14:textId="77777777" w:rsidR="004F07DF" w:rsidRPr="00EB17A8" w:rsidRDefault="004F07DF" w:rsidP="004F07DF">
      <w:pPr>
        <w:rPr>
          <w:lang w:val="fr-BE"/>
        </w:rPr>
      </w:pPr>
    </w:p>
    <w:p w14:paraId="60FF92B3" w14:textId="77777777" w:rsidR="004F07DF" w:rsidRPr="00FE503A" w:rsidRDefault="004F07DF" w:rsidP="004F07DF"/>
    <w:p w14:paraId="13CD91CE" w14:textId="77777777" w:rsidR="00C1164E" w:rsidRDefault="00C1164E"/>
    <w:sectPr w:rsidR="00C1164E" w:rsidSect="004223E4">
      <w:pgSz w:w="11906" w:h="16838"/>
      <w:pgMar w:top="426" w:right="1133" w:bottom="851"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27C6" w14:textId="77777777" w:rsidR="00F75AFE" w:rsidRDefault="00F75AFE" w:rsidP="004F07DF">
      <w:pPr>
        <w:spacing w:after="0" w:line="240" w:lineRule="auto"/>
      </w:pPr>
      <w:r>
        <w:separator/>
      </w:r>
    </w:p>
  </w:endnote>
  <w:endnote w:type="continuationSeparator" w:id="0">
    <w:p w14:paraId="24D473C9" w14:textId="77777777" w:rsidR="00F75AFE" w:rsidRDefault="00F75AFE" w:rsidP="004F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A51B" w14:textId="77777777" w:rsidR="004F07DF" w:rsidRDefault="004F07DF" w:rsidP="009F3517">
    <w:pPr>
      <w:pStyle w:val="Footer"/>
      <w:tabs>
        <w:tab w:val="clear" w:pos="9072"/>
        <w:tab w:val="right" w:pos="9070"/>
      </w:tabs>
      <w:jc w:val="center"/>
      <w:rPr>
        <w:sz w:val="16"/>
        <w:szCs w:val="16"/>
      </w:rPr>
    </w:pPr>
  </w:p>
  <w:p w14:paraId="2010B60E" w14:textId="77777777" w:rsidR="004F07DF" w:rsidRDefault="004F07DF" w:rsidP="009F3517">
    <w:pPr>
      <w:pStyle w:val="Footer"/>
      <w:tabs>
        <w:tab w:val="clear" w:pos="9072"/>
        <w:tab w:val="right" w:pos="9070"/>
      </w:tabs>
      <w:jc w:val="center"/>
      <w:rPr>
        <w:sz w:val="16"/>
        <w:szCs w:val="16"/>
      </w:rPr>
    </w:pPr>
  </w:p>
  <w:p w14:paraId="3C25083C" w14:textId="3A5836A0" w:rsidR="004F07DF" w:rsidRPr="004B0850" w:rsidRDefault="004F07DF" w:rsidP="009F3517">
    <w:pPr>
      <w:pStyle w:val="Footer"/>
      <w:tabs>
        <w:tab w:val="clear" w:pos="9072"/>
        <w:tab w:val="right" w:pos="9070"/>
      </w:tabs>
      <w:jc w:val="center"/>
      <w:rPr>
        <w:sz w:val="16"/>
        <w:szCs w:val="16"/>
      </w:rPr>
    </w:pPr>
    <w:r>
      <w:rPr>
        <w:sz w:val="16"/>
        <w:szCs w:val="16"/>
      </w:rPr>
      <w:t>Tender Specifications_RWA19009-10064</w:t>
    </w:r>
  </w:p>
  <w:p w14:paraId="73B9B4C5" w14:textId="2EC3A7FF" w:rsidR="004F07DF" w:rsidRDefault="004F07DF">
    <w:pPr>
      <w:pStyle w:val="Footer"/>
      <w:jc w:val="right"/>
    </w:pPr>
    <w:r>
      <w:rPr>
        <w:noProof/>
      </w:rPr>
      <mc:AlternateContent>
        <mc:Choice Requires="wps">
          <w:drawing>
            <wp:anchor distT="45720" distB="45720" distL="114300" distR="114300" simplePos="0" relativeHeight="251660288" behindDoc="1" locked="0" layoutInCell="1" allowOverlap="1" wp14:anchorId="5A61E5DF" wp14:editId="3133E422">
              <wp:simplePos x="0" y="0"/>
              <wp:positionH relativeFrom="margin">
                <wp:posOffset>76200</wp:posOffset>
              </wp:positionH>
              <wp:positionV relativeFrom="page">
                <wp:posOffset>10018395</wp:posOffset>
              </wp:positionV>
              <wp:extent cx="4763135" cy="1101725"/>
              <wp:effectExtent l="0" t="0" r="0" b="317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1101725"/>
                      </a:xfrm>
                      <a:prstGeom prst="rect">
                        <a:avLst/>
                      </a:prstGeom>
                      <a:solidFill>
                        <a:srgbClr val="FFFFFF"/>
                      </a:solidFill>
                      <a:ln w="9525">
                        <a:noFill/>
                        <a:miter lim="800000"/>
                        <a:headEnd/>
                        <a:tailEnd/>
                      </a:ln>
                    </wps:spPr>
                    <wps:txbx>
                      <w:txbxContent>
                        <w:p w14:paraId="7EFBC2B4" w14:textId="77777777" w:rsidR="004F07DF" w:rsidRPr="00126C92" w:rsidRDefault="004F07D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1E5DF" id="_x0000_t202" coordsize="21600,21600" o:spt="202" path="m,l,21600r21600,l21600,xe">
              <v:stroke joinstyle="miter"/>
              <v:path gradientshapeok="t" o:connecttype="rect"/>
            </v:shapetype>
            <v:shape id="Text Box 310" o:spid="_x0000_s1027" type="#_x0000_t202" style="position:absolute;left:0;text-align:left;margin-left:6pt;margin-top:788.85pt;width:375.05pt;height:86.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" stroked="f">
              <v:textbox>
                <w:txbxContent>
                  <w:p w14:paraId="7EFBC2B4" w14:textId="77777777" w:rsidR="004F07DF" w:rsidRPr="00126C92" w:rsidRDefault="004F07DF" w:rsidP="008367A0">
                    <w:pPr>
                      <w:pStyle w:val="Basdepage"/>
                    </w:pPr>
                  </w:p>
                </w:txbxContent>
              </v:textbox>
              <w10:wrap anchorx="margin" anchory="page"/>
            </v:shape>
          </w:pict>
        </mc:Fallback>
      </mc:AlternateContent>
    </w:r>
    <w:r>
      <w:fldChar w:fldCharType="begin"/>
    </w:r>
    <w:r>
      <w:instrText>PAGE   \* MERGEFORMAT</w:instrText>
    </w:r>
    <w:r>
      <w:fldChar w:fldCharType="separate"/>
    </w:r>
    <w:r>
      <w:rPr>
        <w:noProof/>
      </w:rPr>
      <w:t>9</w:t>
    </w:r>
    <w:r>
      <w:fldChar w:fldCharType="end"/>
    </w:r>
  </w:p>
  <w:p w14:paraId="3658D4A4" w14:textId="77777777" w:rsidR="004F07DF" w:rsidRDefault="004F07DF" w:rsidP="00F04881">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7DC1" w14:textId="06F3A295" w:rsidR="004F07DF" w:rsidRDefault="004F07DF">
    <w:pPr>
      <w:pStyle w:val="Footer"/>
      <w:jc w:val="right"/>
    </w:pPr>
    <w:r>
      <w:rPr>
        <w:noProof/>
      </w:rPr>
      <mc:AlternateContent>
        <mc:Choice Requires="wps">
          <w:drawing>
            <wp:anchor distT="45720" distB="45720" distL="114300" distR="114300" simplePos="0" relativeHeight="251662336" behindDoc="1" locked="0" layoutInCell="1" allowOverlap="1" wp14:anchorId="713B7B47" wp14:editId="10ED9ED9">
              <wp:simplePos x="0" y="0"/>
              <wp:positionH relativeFrom="margin">
                <wp:posOffset>84455</wp:posOffset>
              </wp:positionH>
              <wp:positionV relativeFrom="page">
                <wp:posOffset>9829800</wp:posOffset>
              </wp:positionV>
              <wp:extent cx="5006340" cy="594360"/>
              <wp:effectExtent l="0"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66AACA4" w14:textId="77777777" w:rsidR="004F07DF" w:rsidRPr="00126C92" w:rsidRDefault="004F07DF"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356DDDCE" w14:textId="77777777" w:rsidR="004F07DF" w:rsidRPr="00AA22AF" w:rsidRDefault="004F07DF" w:rsidP="008367A0">
                          <w:pPr>
                            <w:pStyle w:val="Basdepage"/>
                            <w:rPr>
                              <w:lang w:val="fr-FR"/>
                            </w:rPr>
                          </w:pPr>
                          <w:r w:rsidRPr="00AA22AF">
                            <w:rPr>
                              <w:lang w:val="fr-FR"/>
                            </w:rPr>
                            <w:t xml:space="preserve">Rue Haute 147 </w:t>
                          </w:r>
                          <w:r w:rsidRPr="00AA22AF">
                            <w:rPr>
                              <w:color w:val="EC0308"/>
                              <w:lang w:val="fr-FR"/>
                            </w:rPr>
                            <w:t xml:space="preserve">• </w:t>
                          </w:r>
                          <w:r w:rsidRPr="00AA22AF">
                            <w:rPr>
                              <w:lang w:val="fr-FR"/>
                            </w:rPr>
                            <w:t xml:space="preserve">1000 Brussels </w:t>
                          </w:r>
                          <w:r w:rsidRPr="00AA22AF">
                            <w:rPr>
                              <w:color w:val="EC0308"/>
                              <w:lang w:val="fr-FR"/>
                            </w:rPr>
                            <w:t xml:space="preserve">• </w:t>
                          </w:r>
                          <w:r w:rsidRPr="00AA22AF">
                            <w:rPr>
                              <w:lang w:val="fr-FR"/>
                            </w:rPr>
                            <w:t xml:space="preserve">T +32 (0)2 505 37 00 </w:t>
                          </w:r>
                          <w:r w:rsidRPr="00AA22AF">
                            <w:rPr>
                              <w:color w:val="EC0308"/>
                              <w:lang w:val="fr-FR"/>
                            </w:rPr>
                            <w:t xml:space="preserve">• </w:t>
                          </w:r>
                          <w:r w:rsidRPr="00AA22AF">
                            <w:rPr>
                              <w:lang w:val="fr-FR"/>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B7B47" id="_x0000_t202" coordsize="21600,21600" o:spt="202" path="m,l,21600r21600,l21600,xe">
              <v:stroke joinstyle="miter"/>
              <v:path gradientshapeok="t" o:connecttype="rect"/>
            </v:shapetype>
            <v:shape id="Text Box 13" o:spid="_x0000_s1028" type="#_x0000_t202" style="position:absolute;left:0;text-align:left;margin-left:6.65pt;margin-top:774pt;width:394.2pt;height:46.8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366AACA4" w14:textId="77777777" w:rsidR="004F07DF" w:rsidRPr="00126C92" w:rsidRDefault="004F07DF"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356DDDCE" w14:textId="77777777" w:rsidR="004F07DF" w:rsidRPr="00AA22AF" w:rsidRDefault="004F07DF" w:rsidP="008367A0">
                    <w:pPr>
                      <w:pStyle w:val="Basdepage"/>
                      <w:rPr>
                        <w:lang w:val="fr-FR"/>
                      </w:rPr>
                    </w:pPr>
                    <w:r w:rsidRPr="00AA22AF">
                      <w:rPr>
                        <w:lang w:val="fr-FR"/>
                      </w:rPr>
                      <w:t xml:space="preserve">Rue Haute 147 </w:t>
                    </w:r>
                    <w:r w:rsidRPr="00AA22AF">
                      <w:rPr>
                        <w:color w:val="EC0308"/>
                        <w:lang w:val="fr-FR"/>
                      </w:rPr>
                      <w:t xml:space="preserve">• </w:t>
                    </w:r>
                    <w:r w:rsidRPr="00AA22AF">
                      <w:rPr>
                        <w:lang w:val="fr-FR"/>
                      </w:rPr>
                      <w:t xml:space="preserve">1000 Brussels </w:t>
                    </w:r>
                    <w:r w:rsidRPr="00AA22AF">
                      <w:rPr>
                        <w:color w:val="EC0308"/>
                        <w:lang w:val="fr-FR"/>
                      </w:rPr>
                      <w:t xml:space="preserve">• </w:t>
                    </w:r>
                    <w:r w:rsidRPr="00AA22AF">
                      <w:rPr>
                        <w:lang w:val="fr-FR"/>
                      </w:rPr>
                      <w:t xml:space="preserve">T +32 (0)2 505 37 00 </w:t>
                    </w:r>
                    <w:r w:rsidRPr="00AA22AF">
                      <w:rPr>
                        <w:color w:val="EC0308"/>
                        <w:lang w:val="fr-FR"/>
                      </w:rPr>
                      <w:t xml:space="preserve">• </w:t>
                    </w:r>
                    <w:r w:rsidRPr="00AA22AF">
                      <w:rPr>
                        <w:lang w:val="fr-FR"/>
                      </w:rPr>
                      <w:t>enabel.be</w:t>
                    </w:r>
                  </w:p>
                </w:txbxContent>
              </v:textbox>
              <w10:wrap anchorx="margin" anchory="page"/>
            </v:shape>
          </w:pict>
        </mc:Fallback>
      </mc:AlternateContent>
    </w:r>
    <w:r>
      <w:fldChar w:fldCharType="begin"/>
    </w:r>
    <w:r>
      <w:instrText>PAGE   \* MERGEFORMAT</w:instrText>
    </w:r>
    <w:r>
      <w:fldChar w:fldCharType="separate"/>
    </w:r>
    <w:r>
      <w:rPr>
        <w:noProof/>
      </w:rPr>
      <w:t>1</w:t>
    </w:r>
    <w:r>
      <w:fldChar w:fldCharType="end"/>
    </w:r>
  </w:p>
  <w:p w14:paraId="283D1002" w14:textId="77777777" w:rsidR="004F07DF" w:rsidRDefault="004F0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5C95" w14:textId="60D0A89F" w:rsidR="004F07DF" w:rsidRDefault="004F07DF">
    <w:pPr>
      <w:pStyle w:val="Footer"/>
      <w:jc w:val="right"/>
    </w:pPr>
    <w:r>
      <w:rPr>
        <w:noProof/>
      </w:rPr>
      <mc:AlternateContent>
        <mc:Choice Requires="wps">
          <w:drawing>
            <wp:anchor distT="45720" distB="45720" distL="114300" distR="114300" simplePos="0" relativeHeight="251663360" behindDoc="1" locked="0" layoutInCell="1" allowOverlap="1" wp14:anchorId="0A97DCBC" wp14:editId="5B016D73">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7A7B3D5" w14:textId="77777777" w:rsidR="004F07DF" w:rsidRPr="00126C92" w:rsidRDefault="004F07DF"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27AAD343" w14:textId="77777777" w:rsidR="004F07DF" w:rsidRPr="00AA22AF" w:rsidRDefault="004F07DF" w:rsidP="008367A0">
                          <w:pPr>
                            <w:pStyle w:val="Basdepage"/>
                            <w:rPr>
                              <w:lang w:val="fr-FR"/>
                            </w:rPr>
                          </w:pPr>
                          <w:r w:rsidRPr="00AA22AF">
                            <w:rPr>
                              <w:lang w:val="fr-FR"/>
                            </w:rPr>
                            <w:t xml:space="preserve">Rue Haute 147 </w:t>
                          </w:r>
                          <w:r w:rsidRPr="00AA22AF">
                            <w:rPr>
                              <w:color w:val="EC0308"/>
                              <w:lang w:val="fr-FR"/>
                            </w:rPr>
                            <w:t xml:space="preserve">• </w:t>
                          </w:r>
                          <w:r w:rsidRPr="00AA22AF">
                            <w:rPr>
                              <w:lang w:val="fr-FR"/>
                            </w:rPr>
                            <w:t xml:space="preserve">1000 Brussels </w:t>
                          </w:r>
                          <w:r w:rsidRPr="00AA22AF">
                            <w:rPr>
                              <w:color w:val="EC0308"/>
                              <w:lang w:val="fr-FR"/>
                            </w:rPr>
                            <w:t xml:space="preserve">• </w:t>
                          </w:r>
                          <w:r w:rsidRPr="00AA22AF">
                            <w:rPr>
                              <w:lang w:val="fr-FR"/>
                            </w:rPr>
                            <w:t xml:space="preserve">T +32 (0)2 505 37 00 </w:t>
                          </w:r>
                          <w:r w:rsidRPr="00AA22AF">
                            <w:rPr>
                              <w:color w:val="EC0308"/>
                              <w:lang w:val="fr-FR"/>
                            </w:rPr>
                            <w:t xml:space="preserve">• </w:t>
                          </w:r>
                          <w:r w:rsidRPr="00AA22AF">
                            <w:rPr>
                              <w:lang w:val="fr-FR"/>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7DCBC" id="_x0000_t202" coordsize="21600,21600" o:spt="202" path="m,l,21600r21600,l21600,xe">
              <v:stroke joinstyle="miter"/>
              <v:path gradientshapeok="t" o:connecttype="rect"/>
            </v:shapetype>
            <v:shape id="Text Box 4" o:spid="_x0000_s1029" type="#_x0000_t202" style="position:absolute;left:0;text-align:left;margin-left:6.65pt;margin-top:774pt;width:394.2pt;height:46.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7A7B3D5" w14:textId="77777777" w:rsidR="004F07DF" w:rsidRPr="00126C92" w:rsidRDefault="004F07DF"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27AAD343" w14:textId="77777777" w:rsidR="004F07DF" w:rsidRPr="00AA22AF" w:rsidRDefault="004F07DF" w:rsidP="008367A0">
                    <w:pPr>
                      <w:pStyle w:val="Basdepage"/>
                      <w:rPr>
                        <w:lang w:val="fr-FR"/>
                      </w:rPr>
                    </w:pPr>
                    <w:r w:rsidRPr="00AA22AF">
                      <w:rPr>
                        <w:lang w:val="fr-FR"/>
                      </w:rPr>
                      <w:t xml:space="preserve">Rue Haute 147 </w:t>
                    </w:r>
                    <w:r w:rsidRPr="00AA22AF">
                      <w:rPr>
                        <w:color w:val="EC0308"/>
                        <w:lang w:val="fr-FR"/>
                      </w:rPr>
                      <w:t xml:space="preserve">• </w:t>
                    </w:r>
                    <w:r w:rsidRPr="00AA22AF">
                      <w:rPr>
                        <w:lang w:val="fr-FR"/>
                      </w:rPr>
                      <w:t xml:space="preserve">1000 Brussels </w:t>
                    </w:r>
                    <w:r w:rsidRPr="00AA22AF">
                      <w:rPr>
                        <w:color w:val="EC0308"/>
                        <w:lang w:val="fr-FR"/>
                      </w:rPr>
                      <w:t xml:space="preserve">• </w:t>
                    </w:r>
                    <w:r w:rsidRPr="00AA22AF">
                      <w:rPr>
                        <w:lang w:val="fr-FR"/>
                      </w:rPr>
                      <w:t xml:space="preserve">T +32 (0)2 505 37 00 </w:t>
                    </w:r>
                    <w:r w:rsidRPr="00AA22AF">
                      <w:rPr>
                        <w:color w:val="EC0308"/>
                        <w:lang w:val="fr-FR"/>
                      </w:rPr>
                      <w:t xml:space="preserve">• </w:t>
                    </w:r>
                    <w:r w:rsidRPr="00AA22AF">
                      <w:rPr>
                        <w:lang w:val="fr-FR"/>
                      </w:rPr>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1D5C8C69" w14:textId="77777777" w:rsidR="004F07DF" w:rsidRDefault="004F07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62EC" w14:textId="77777777" w:rsidR="004223E4" w:rsidRDefault="004223E4">
    <w:pPr>
      <w:pStyle w:val="Footer"/>
      <w:jc w:val="right"/>
    </w:pPr>
    <w:r>
      <w:rPr>
        <w:noProof/>
      </w:rPr>
      <mc:AlternateContent>
        <mc:Choice Requires="wps">
          <w:drawing>
            <wp:anchor distT="45720" distB="45720" distL="114300" distR="114300" simplePos="0" relativeHeight="251665408" behindDoc="1" locked="0" layoutInCell="1" allowOverlap="1" wp14:anchorId="0041A8FF" wp14:editId="71FCF1CF">
              <wp:simplePos x="0" y="0"/>
              <wp:positionH relativeFrom="margin">
                <wp:posOffset>84455</wp:posOffset>
              </wp:positionH>
              <wp:positionV relativeFrom="page">
                <wp:posOffset>9829800</wp:posOffset>
              </wp:positionV>
              <wp:extent cx="5006340" cy="594360"/>
              <wp:effectExtent l="0" t="0" r="381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996BC25" w14:textId="77777777" w:rsidR="004223E4" w:rsidRPr="00126C92" w:rsidRDefault="004223E4"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06BCAF90" w14:textId="77777777" w:rsidR="004223E4" w:rsidRPr="00AA22AF" w:rsidRDefault="004223E4" w:rsidP="008367A0">
                          <w:pPr>
                            <w:pStyle w:val="Basdepage"/>
                            <w:rPr>
                              <w:lang w:val="fr-FR"/>
                            </w:rPr>
                          </w:pPr>
                          <w:r w:rsidRPr="00AA22AF">
                            <w:rPr>
                              <w:lang w:val="fr-FR"/>
                            </w:rPr>
                            <w:t xml:space="preserve">Rue Haute 147 </w:t>
                          </w:r>
                          <w:r w:rsidRPr="00AA22AF">
                            <w:rPr>
                              <w:color w:val="EC0308"/>
                              <w:lang w:val="fr-FR"/>
                            </w:rPr>
                            <w:t xml:space="preserve">• </w:t>
                          </w:r>
                          <w:r w:rsidRPr="00AA22AF">
                            <w:rPr>
                              <w:lang w:val="fr-FR"/>
                            </w:rPr>
                            <w:t xml:space="preserve">1000 Brussels </w:t>
                          </w:r>
                          <w:r w:rsidRPr="00AA22AF">
                            <w:rPr>
                              <w:color w:val="EC0308"/>
                              <w:lang w:val="fr-FR"/>
                            </w:rPr>
                            <w:t xml:space="preserve">• </w:t>
                          </w:r>
                          <w:r w:rsidRPr="00AA22AF">
                            <w:rPr>
                              <w:lang w:val="fr-FR"/>
                            </w:rPr>
                            <w:t xml:space="preserve">T +32 (0)2 505 37 00 </w:t>
                          </w:r>
                          <w:r w:rsidRPr="00AA22AF">
                            <w:rPr>
                              <w:color w:val="EC0308"/>
                              <w:lang w:val="fr-FR"/>
                            </w:rPr>
                            <w:t xml:space="preserve">• </w:t>
                          </w:r>
                          <w:r w:rsidRPr="00AA22AF">
                            <w:rPr>
                              <w:lang w:val="fr-FR"/>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1A8FF" id="_x0000_t202" coordsize="21600,21600" o:spt="202" path="m,l,21600r21600,l21600,xe">
              <v:stroke joinstyle="miter"/>
              <v:path gradientshapeok="t" o:connecttype="rect"/>
            </v:shapetype>
            <v:shape id="_x0000_s1030"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5996BC25" w14:textId="77777777" w:rsidR="004223E4" w:rsidRPr="00126C92" w:rsidRDefault="004223E4"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06BCAF90" w14:textId="77777777" w:rsidR="004223E4" w:rsidRPr="00AA22AF" w:rsidRDefault="004223E4" w:rsidP="008367A0">
                    <w:pPr>
                      <w:pStyle w:val="Basdepage"/>
                      <w:rPr>
                        <w:lang w:val="fr-FR"/>
                      </w:rPr>
                    </w:pPr>
                    <w:r w:rsidRPr="00AA22AF">
                      <w:rPr>
                        <w:lang w:val="fr-FR"/>
                      </w:rPr>
                      <w:t xml:space="preserve">Rue Haute 147 </w:t>
                    </w:r>
                    <w:r w:rsidRPr="00AA22AF">
                      <w:rPr>
                        <w:color w:val="EC0308"/>
                        <w:lang w:val="fr-FR"/>
                      </w:rPr>
                      <w:t xml:space="preserve">• </w:t>
                    </w:r>
                    <w:r w:rsidRPr="00AA22AF">
                      <w:rPr>
                        <w:lang w:val="fr-FR"/>
                      </w:rPr>
                      <w:t xml:space="preserve">1000 Brussels </w:t>
                    </w:r>
                    <w:r w:rsidRPr="00AA22AF">
                      <w:rPr>
                        <w:color w:val="EC0308"/>
                        <w:lang w:val="fr-FR"/>
                      </w:rPr>
                      <w:t xml:space="preserve">• </w:t>
                    </w:r>
                    <w:r w:rsidRPr="00AA22AF">
                      <w:rPr>
                        <w:lang w:val="fr-FR"/>
                      </w:rPr>
                      <w:t xml:space="preserve">T +32 (0)2 505 37 00 </w:t>
                    </w:r>
                    <w:r w:rsidRPr="00AA22AF">
                      <w:rPr>
                        <w:color w:val="EC0308"/>
                        <w:lang w:val="fr-FR"/>
                      </w:rPr>
                      <w:t xml:space="preserve">• </w:t>
                    </w:r>
                    <w:r w:rsidRPr="00AA22AF">
                      <w:rPr>
                        <w:lang w:val="fr-FR"/>
                      </w:rPr>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14D9BD59" w14:textId="77777777" w:rsidR="004223E4" w:rsidRDefault="00422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2198" w14:textId="77777777" w:rsidR="00F75AFE" w:rsidRDefault="00F75AFE" w:rsidP="004F07DF">
      <w:pPr>
        <w:spacing w:after="0" w:line="240" w:lineRule="auto"/>
      </w:pPr>
      <w:r>
        <w:separator/>
      </w:r>
    </w:p>
  </w:footnote>
  <w:footnote w:type="continuationSeparator" w:id="0">
    <w:p w14:paraId="6A494B7F" w14:textId="77777777" w:rsidR="00F75AFE" w:rsidRDefault="00F75AFE" w:rsidP="004F07DF">
      <w:pPr>
        <w:spacing w:after="0" w:line="240" w:lineRule="auto"/>
      </w:pPr>
      <w:r>
        <w:continuationSeparator/>
      </w:r>
    </w:p>
  </w:footnote>
  <w:footnote w:id="1">
    <w:p w14:paraId="65E4FB8A" w14:textId="77777777" w:rsidR="004F07DF" w:rsidRDefault="004F07DF" w:rsidP="004F07DF">
      <w:pPr>
        <w:pStyle w:val="FootnoteText"/>
      </w:pPr>
      <w:r>
        <w:rPr>
          <w:rStyle w:val="FootnoteReference"/>
        </w:rPr>
        <w:footnoteRef/>
      </w:r>
      <w:r>
        <w:t xml:space="preserve"> Belgian Official Gazette of 30 December 1998, of 17 November 2001, of 6 July 2012, of 15 January 2013 and of 26 March 2013.</w:t>
      </w:r>
    </w:p>
  </w:footnote>
  <w:footnote w:id="2">
    <w:p w14:paraId="1C92BFD1" w14:textId="77777777" w:rsidR="004F07DF" w:rsidRPr="0021448A" w:rsidRDefault="004F07DF" w:rsidP="004F07DF">
      <w:pPr>
        <w:pStyle w:val="FootnoteText"/>
        <w:rPr>
          <w:rStyle w:val="FootnoteReference"/>
          <w:sz w:val="22"/>
          <w:szCs w:val="22"/>
        </w:rPr>
      </w:pPr>
      <w:r>
        <w:t>Belgian Official Gazette of 1 July 1999.</w:t>
      </w:r>
    </w:p>
  </w:footnote>
  <w:footnote w:id="3">
    <w:p w14:paraId="44D570DE" w14:textId="77777777" w:rsidR="004F07DF" w:rsidRPr="00C81AA0" w:rsidRDefault="004F07DF" w:rsidP="004F07DF">
      <w:pPr>
        <w:pStyle w:val="FootnoteText"/>
      </w:pPr>
      <w:r>
        <w:rPr>
          <w:rStyle w:val="FootnoteReference"/>
        </w:rPr>
        <w:footnoteRef/>
      </w:r>
      <w:r>
        <w:t xml:space="preserve"> Belgian Official Gazette of 18 November 2008.</w:t>
      </w:r>
    </w:p>
  </w:footnote>
  <w:footnote w:id="4">
    <w:p w14:paraId="4B57DA7A" w14:textId="77777777" w:rsidR="004F07DF" w:rsidRPr="00C81AA0" w:rsidRDefault="004F07DF" w:rsidP="004F07DF">
      <w:pPr>
        <w:pStyle w:val="FootnoteText"/>
      </w:pPr>
      <w:r>
        <w:rPr>
          <w:rStyle w:val="FootnoteReference"/>
        </w:rPr>
        <w:footnoteRef/>
      </w:r>
      <w:r>
        <w:t xml:space="preserve"> </w:t>
      </w:r>
      <w:r>
        <w:rPr>
          <w:u w:val="single"/>
        </w:rPr>
        <w:t>http://www.ilo.org/ilolex/french/convdisp1.htm</w:t>
      </w:r>
      <w:r>
        <w:t>.</w:t>
      </w:r>
    </w:p>
  </w:footnote>
  <w:footnote w:id="5">
    <w:p w14:paraId="04654E65" w14:textId="77777777" w:rsidR="004F07DF" w:rsidRPr="002B17C5" w:rsidRDefault="004F07DF" w:rsidP="004F07DF">
      <w:pPr>
        <w:pStyle w:val="FootnoteText"/>
      </w:pPr>
      <w:r>
        <w:rPr>
          <w:rStyle w:val="FootnoteReference"/>
        </w:rPr>
        <w:footnoteRef/>
      </w:r>
      <w:r>
        <w:t xml:space="preserve"> Belgian Official Gazette 14 July 2016. </w:t>
      </w:r>
    </w:p>
  </w:footnote>
  <w:footnote w:id="6">
    <w:p w14:paraId="3D7D2486" w14:textId="77777777" w:rsidR="004F07DF" w:rsidRPr="00C81AA0" w:rsidRDefault="004F07DF" w:rsidP="004F07DF">
      <w:pPr>
        <w:pStyle w:val="FootnoteText"/>
      </w:pPr>
      <w:r>
        <w:rPr>
          <w:rStyle w:val="FootnoteReference"/>
        </w:rPr>
        <w:footnoteRef/>
      </w:r>
      <w:r>
        <w:t xml:space="preserve"> Belgian Official Gazette of 21 June 2013.</w:t>
      </w:r>
    </w:p>
  </w:footnote>
  <w:footnote w:id="7">
    <w:p w14:paraId="04EF0C7D" w14:textId="77777777" w:rsidR="004F07DF" w:rsidRPr="00C81AA0" w:rsidRDefault="004F07DF" w:rsidP="004F07DF">
      <w:pPr>
        <w:pStyle w:val="FootnoteText"/>
      </w:pPr>
      <w:r>
        <w:rPr>
          <w:rStyle w:val="FootnoteReference"/>
        </w:rPr>
        <w:footnoteRef/>
      </w:r>
      <w:r>
        <w:t xml:space="preserve"> Belgian Official Gazette 9 May 2017. </w:t>
      </w:r>
    </w:p>
  </w:footnote>
  <w:footnote w:id="8">
    <w:p w14:paraId="61BEC8C9" w14:textId="77777777" w:rsidR="004F07DF" w:rsidRPr="002B17C5" w:rsidRDefault="004F07DF" w:rsidP="004F07DF">
      <w:pPr>
        <w:pStyle w:val="FootnoteText"/>
      </w:pPr>
      <w:r>
        <w:rPr>
          <w:rStyle w:val="FootnoteReference"/>
        </w:rPr>
        <w:footnoteRef/>
      </w:r>
      <w:r>
        <w:t xml:space="preserve"> Belgian Official Gazette 27 June 2017.</w:t>
      </w:r>
    </w:p>
  </w:footnote>
  <w:footnote w:id="9">
    <w:p w14:paraId="6F29BBC1" w14:textId="77777777" w:rsidR="004F07DF" w:rsidRPr="009F0774" w:rsidRDefault="004F07DF" w:rsidP="004F07DF">
      <w:pPr>
        <w:pStyle w:val="FootnoteText"/>
      </w:pPr>
      <w:r>
        <w:rPr>
          <w:rStyle w:val="FootnoteReference"/>
        </w:rPr>
        <w:footnoteRef/>
      </w:r>
      <w:r>
        <w:t xml:space="preserve"> For contracts of an amount equal to or greater than € 135 000 excl. VAT, the contracting authority is obliged to consider dividing the contract into lots unless a valid reason is given in the procurement documents.</w:t>
      </w:r>
    </w:p>
  </w:footnote>
  <w:footnote w:id="10">
    <w:p w14:paraId="2F14DB2B" w14:textId="77777777" w:rsidR="004F07DF" w:rsidRPr="00067DE5" w:rsidRDefault="004F07DF" w:rsidP="004F07DF">
      <w:pPr>
        <w:pStyle w:val="FootnoteText"/>
      </w:pPr>
      <w:r>
        <w:rPr>
          <w:rStyle w:val="FootnoteReference"/>
        </w:rPr>
        <w:footnoteRef/>
      </w:r>
      <w:r>
        <w:t xml:space="preserve"> Please </w:t>
      </w:r>
      <w:r>
        <w:t>note: term of the procurement contract not to be confused with performance period.</w:t>
      </w:r>
    </w:p>
  </w:footnote>
  <w:footnote w:id="11">
    <w:p w14:paraId="4E28C46E" w14:textId="77777777" w:rsidR="004F07DF" w:rsidRPr="003C1B0F" w:rsidRDefault="004F07DF" w:rsidP="004F07DF">
      <w:pPr>
        <w:pStyle w:val="FootnoteText"/>
      </w:pPr>
      <w:r>
        <w:rPr>
          <w:rStyle w:val="FootnoteReference"/>
        </w:rPr>
        <w:footnoteRef/>
      </w:r>
      <w:r>
        <w:t xml:space="preserve"> For international bidders, the reverse VAT of 18% will be applicable</w:t>
      </w:r>
    </w:p>
  </w:footnote>
  <w:footnote w:id="12">
    <w:p w14:paraId="0D049890" w14:textId="77777777" w:rsidR="004F07DF" w:rsidRPr="008C4A21" w:rsidRDefault="004F07DF" w:rsidP="004F07DF">
      <w:pPr>
        <w:pStyle w:val="FootnoteText"/>
        <w:rPr>
          <w:sz w:val="16"/>
          <w:szCs w:val="16"/>
        </w:rPr>
      </w:pPr>
      <w:r>
        <w:t>Art. 83 of the Royal Decree Award</w:t>
      </w:r>
    </w:p>
  </w:footnote>
  <w:footnote w:id="13">
    <w:p w14:paraId="3550130D" w14:textId="2055A4C8" w:rsidR="000C02C1" w:rsidRPr="000C02C1" w:rsidRDefault="000C02C1">
      <w:pPr>
        <w:pStyle w:val="FootnoteText"/>
      </w:pPr>
      <w:r w:rsidRPr="002710D5">
        <w:rPr>
          <w:rStyle w:val="FootnoteReference"/>
          <w:sz w:val="20"/>
        </w:rPr>
        <w:footnoteRef/>
      </w:r>
      <w:r w:rsidRPr="002710D5">
        <w:rPr>
          <w:sz w:val="20"/>
        </w:rPr>
        <w:t xml:space="preserve"> Programme of Action adopted at the International Conference on Population and Development Cairo, 5–13</w:t>
      </w:r>
      <w:r w:rsidRPr="000C02C1">
        <w:rPr>
          <w:sz w:val="20"/>
          <w:szCs w:val="28"/>
        </w:rPr>
        <w:t xml:space="preserve"> September 1994</w:t>
      </w:r>
      <w:r w:rsidRPr="000C02C1">
        <w:t>.</w:t>
      </w:r>
    </w:p>
  </w:footnote>
  <w:footnote w:id="14">
    <w:p w14:paraId="108D0038" w14:textId="40AF46DF" w:rsidR="00ED2432" w:rsidRPr="00ED2432" w:rsidRDefault="00ED2432">
      <w:pPr>
        <w:pStyle w:val="FootnoteText"/>
      </w:pPr>
      <w:r w:rsidRPr="008330D3">
        <w:rPr>
          <w:rStyle w:val="FootnoteReference"/>
          <w:vertAlign w:val="baseline"/>
        </w:rPr>
        <w:footnoteRef/>
      </w:r>
      <w:r>
        <w:t xml:space="preserve"> </w:t>
      </w:r>
      <w:r w:rsidRPr="00ED2432">
        <w:rPr>
          <w:sz w:val="20"/>
          <w:szCs w:val="28"/>
        </w:rPr>
        <w:t>Rwanda Demographic and Health Survey 2019-2020</w:t>
      </w:r>
    </w:p>
  </w:footnote>
  <w:footnote w:id="15">
    <w:p w14:paraId="58157D65" w14:textId="0293CBC1" w:rsidR="002710D5" w:rsidRPr="002710D5" w:rsidRDefault="002710D5">
      <w:pPr>
        <w:pStyle w:val="FootnoteText"/>
        <w:rPr>
          <w:sz w:val="20"/>
          <w:szCs w:val="28"/>
        </w:rPr>
      </w:pPr>
      <w:r w:rsidRPr="002710D5">
        <w:rPr>
          <w:rStyle w:val="FootnoteReference"/>
          <w:sz w:val="20"/>
          <w:szCs w:val="28"/>
        </w:rPr>
        <w:footnoteRef/>
      </w:r>
      <w:r w:rsidRPr="002710D5">
        <w:rPr>
          <w:sz w:val="20"/>
          <w:szCs w:val="28"/>
        </w:rPr>
        <w:t xml:space="preserve"> Rwanda Demographic and Health Survey 2019-2020</w:t>
      </w:r>
    </w:p>
  </w:footnote>
  <w:footnote w:id="16">
    <w:p w14:paraId="1543944B" w14:textId="77777777" w:rsidR="004F07DF" w:rsidRPr="00A52B84" w:rsidRDefault="004F07DF" w:rsidP="004F07DF">
      <w:pPr>
        <w:pStyle w:val="FootnoteText"/>
      </w:pPr>
      <w:r>
        <w:rPr>
          <w:rStyle w:val="FootnoteReference"/>
        </w:rPr>
        <w:footnoteRef/>
      </w:r>
      <w:r>
        <w:t xml:space="preserve"> Mind double taxation for international bidders- see RRA website </w:t>
      </w:r>
    </w:p>
  </w:footnote>
  <w:footnote w:id="17">
    <w:p w14:paraId="5C9CCC8C" w14:textId="77777777" w:rsidR="004F07DF" w:rsidRPr="00830CBB" w:rsidRDefault="004F07DF" w:rsidP="004F07DF">
      <w:pPr>
        <w:pStyle w:val="FootnoteText"/>
      </w:pPr>
      <w:r>
        <w:rPr>
          <w:rStyle w:val="FootnoteReference"/>
        </w:rPr>
        <w:footnoteRef/>
      </w:r>
      <w:r>
        <w:t xml:space="preserve"> </w:t>
      </w:r>
      <w:r w:rsidRPr="00830CBB">
        <w:t>Reverse VAT for international bidders</w:t>
      </w:r>
      <w:r>
        <w:t xml:space="preserve"> (art. 12 of the LAW</w:t>
      </w:r>
      <w:r w:rsidRPr="0045071D">
        <w:t xml:space="preserve"> N° 37/2012 OF 09/11/2012</w:t>
      </w:r>
      <w:r>
        <w:t>)</w:t>
      </w:r>
    </w:p>
  </w:footnote>
  <w:footnote w:id="18">
    <w:p w14:paraId="066005C2" w14:textId="77777777" w:rsidR="004F07DF" w:rsidRPr="00665E9E" w:rsidRDefault="004F07DF" w:rsidP="004F07DF">
      <w:pPr>
        <w:pStyle w:val="FootnoteText"/>
        <w:rPr>
          <w:lang w:val="en-US"/>
        </w:rPr>
      </w:pPr>
      <w:r w:rsidRPr="00603BBE">
        <w:rPr>
          <w:rStyle w:val="FootnoteReference"/>
        </w:rPr>
        <w:footnoteRef/>
      </w:r>
      <w:r w:rsidRPr="00665E9E">
        <w:rPr>
          <w:lang w:val="en-US"/>
        </w:rPr>
        <w:t xml:space="preserve"> This does not refer to the type of account. The account name is usually the one of the account </w:t>
      </w:r>
      <w:r w:rsidRPr="00665E9E">
        <w:rPr>
          <w:lang w:val="en-US"/>
        </w:rPr>
        <w:t>holder. However, the account holder may have chosen a different name to its bank account.</w:t>
      </w:r>
    </w:p>
  </w:footnote>
  <w:footnote w:id="19">
    <w:p w14:paraId="2CC9905C" w14:textId="77777777" w:rsidR="004F07DF" w:rsidRPr="00665E9E" w:rsidRDefault="004F07DF" w:rsidP="004F07DF">
      <w:pPr>
        <w:pStyle w:val="FootnoteText"/>
        <w:rPr>
          <w:lang w:val="en-US"/>
        </w:rPr>
      </w:pPr>
      <w:r w:rsidRPr="00555D58">
        <w:rPr>
          <w:rStyle w:val="FootnoteReference"/>
        </w:rPr>
        <w:footnoteRef/>
      </w:r>
      <w:r w:rsidRPr="00665E9E">
        <w:rPr>
          <w:rStyle w:val="FootnoteReference"/>
          <w:lang w:val="en-US"/>
        </w:rPr>
        <w:t xml:space="preserve"> </w:t>
      </w:r>
      <w:r w:rsidRPr="00665E9E">
        <w:rPr>
          <w:lang w:val="en-US"/>
        </w:rPr>
        <w:t>Fill in the IBAN Code (International Bank Account Number) if it exists in the country where your bank is established.</w:t>
      </w:r>
    </w:p>
    <w:p w14:paraId="4BB3EBB1" w14:textId="77777777" w:rsidR="004F07DF" w:rsidRPr="00665E9E" w:rsidRDefault="004F07DF" w:rsidP="004F07DF">
      <w:pPr>
        <w:pStyle w:val="FootnoteText"/>
        <w:rPr>
          <w:rStyle w:val="FootnoteReference"/>
          <w:lang w:val="en-US"/>
        </w:rPr>
      </w:pPr>
    </w:p>
  </w:footnote>
  <w:footnote w:id="20">
    <w:p w14:paraId="5065D013" w14:textId="77777777" w:rsidR="004F07DF" w:rsidRDefault="004F07DF" w:rsidP="004F07DF">
      <w:pPr>
        <w:pStyle w:val="FootnoteText"/>
        <w:jc w:val="both"/>
      </w:pPr>
      <w:r>
        <w:rPr>
          <w:rStyle w:val="FootnoteReference"/>
        </w:rPr>
        <w:footnoteRef/>
      </w:r>
      <w:r>
        <w:t xml:space="preserve"> </w:t>
      </w:r>
      <w:r w:rsidRPr="009B7FF2">
        <w:t>In case of a consortium or a temporary association, the certificate must be submitted for all members.</w:t>
      </w:r>
    </w:p>
  </w:footnote>
  <w:footnote w:id="21">
    <w:p w14:paraId="6CEC3C85" w14:textId="77777777" w:rsidR="004F07DF" w:rsidRPr="005E73B8" w:rsidRDefault="004F07DF" w:rsidP="004F07DF">
      <w:pPr>
        <w:pStyle w:val="FootnoteText"/>
        <w:rPr>
          <w:rFonts w:ascii="Open Sans" w:hAnsi="Open Sans" w:cs="Open Sans"/>
          <w:lang w:val="en-US"/>
        </w:rPr>
      </w:pPr>
      <w:r>
        <w:rPr>
          <w:rStyle w:val="FootnoteReference"/>
          <w:rFonts w:ascii="Open Sans" w:hAnsi="Open Sans" w:cs="Open Sans"/>
          <w:lang w:val="fr-FR"/>
        </w:rPr>
        <w:footnoteRef/>
      </w:r>
      <w:r w:rsidRPr="005E73B8">
        <w:rPr>
          <w:lang w:val="en-US"/>
        </w:rPr>
        <w:t xml:space="preserve"> To be </w:t>
      </w:r>
      <w:r w:rsidRPr="005E73B8">
        <w:rPr>
          <w:rFonts w:ascii="Open Sans" w:hAnsi="Open Sans"/>
          <w:lang w:val="en-US"/>
        </w:rPr>
        <w:t>adapted in accordance with Tender Specifications.</w:t>
      </w:r>
    </w:p>
  </w:footnote>
  <w:footnote w:id="22">
    <w:p w14:paraId="3DDAAF6E" w14:textId="77777777" w:rsidR="004F07DF" w:rsidRPr="00C44D66" w:rsidRDefault="004F07DF" w:rsidP="004F07DF">
      <w:pPr>
        <w:pStyle w:val="FootnoteText"/>
        <w:rPr>
          <w:rFonts w:ascii="Calibri Light" w:hAnsi="Calibri Light" w:cs="Calibri Light"/>
          <w:lang w:val="en-US"/>
        </w:rPr>
      </w:pPr>
      <w:r w:rsidRPr="00C44D66">
        <w:rPr>
          <w:rStyle w:val="FootnoteReference"/>
          <w:rFonts w:ascii="Calibri Light" w:hAnsi="Calibri Light" w:cs="Calibri Light"/>
          <w:lang w:val="fr-FR"/>
        </w:rPr>
        <w:footnoteRef/>
      </w:r>
      <w:r w:rsidRPr="00C44D66">
        <w:rPr>
          <w:rFonts w:ascii="Calibri Light" w:hAnsi="Calibri Light"/>
          <w:lang w:val="en-US"/>
        </w:rPr>
        <w:t xml:space="preserve"> To be filled out by the contracting authority and the contractor.</w:t>
      </w:r>
    </w:p>
  </w:footnote>
  <w:footnote w:id="23">
    <w:p w14:paraId="0988E535" w14:textId="77777777" w:rsidR="004F07DF" w:rsidRPr="005E73B8" w:rsidRDefault="004F07DF" w:rsidP="004F07DF">
      <w:pPr>
        <w:pStyle w:val="FootnoteText"/>
        <w:rPr>
          <w:lang w:val="en-US"/>
        </w:rPr>
      </w:pPr>
      <w:r w:rsidRPr="009F3517">
        <w:rPr>
          <w:rStyle w:val="FootnoteReference"/>
          <w:lang w:val="fr-FR"/>
        </w:rPr>
        <w:footnoteRef/>
      </w:r>
      <w:r w:rsidRPr="009F3517">
        <w:rPr>
          <w:lang w:val="en-US"/>
        </w:rPr>
        <w:t xml:space="preserve"> Identify the person responsible of the project/department/other as appropriate</w:t>
      </w:r>
    </w:p>
  </w:footnote>
  <w:footnote w:id="24">
    <w:p w14:paraId="63CDD85A" w14:textId="77777777" w:rsidR="004F07DF" w:rsidRPr="005E73B8" w:rsidRDefault="004F07DF" w:rsidP="004F07DF">
      <w:pPr>
        <w:pStyle w:val="FootnoteText"/>
        <w:jc w:val="both"/>
        <w:rPr>
          <w:rFonts w:ascii="Open Sans" w:hAnsi="Open Sans" w:cs="Open Sans"/>
          <w:lang w:val="en-US"/>
        </w:rPr>
      </w:pPr>
      <w:r>
        <w:rPr>
          <w:rStyle w:val="FootnoteReference"/>
          <w:rFonts w:ascii="Open Sans" w:hAnsi="Open Sans" w:cs="Open Sans"/>
          <w:lang w:val="fr-FR"/>
        </w:rPr>
        <w:footnoteRef/>
      </w:r>
      <w:r w:rsidRPr="005E73B8">
        <w:rPr>
          <w:rFonts w:ascii="Open Sans" w:hAnsi="Open Sans"/>
          <w:lang w:val="en-US"/>
        </w:rPr>
        <w:t xml:space="preserve"> To be filled out by contractor</w:t>
      </w:r>
    </w:p>
  </w:footnote>
  <w:footnote w:id="25">
    <w:p w14:paraId="6AF1D414" w14:textId="77777777" w:rsidR="004F07DF" w:rsidRPr="00C44D66" w:rsidRDefault="004F07DF" w:rsidP="004F07DF">
      <w:pPr>
        <w:pStyle w:val="FootnoteText"/>
        <w:jc w:val="both"/>
        <w:rPr>
          <w:rFonts w:ascii="Calibri Light" w:hAnsi="Calibri Light"/>
        </w:rPr>
      </w:pPr>
      <w:r>
        <w:rPr>
          <w:rStyle w:val="FootnoteReference"/>
          <w:rFonts w:ascii="Open Sans" w:hAnsi="Open Sans" w:cs="Open Sans"/>
          <w:lang w:val="fr-FR"/>
        </w:rPr>
        <w:footnoteRef/>
      </w:r>
      <w:r>
        <w:rPr>
          <w:rFonts w:ascii="Open Sans" w:hAnsi="Open Sans"/>
        </w:rPr>
        <w:t xml:space="preserve"> Consideration 81 of the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1E92" w14:textId="77777777" w:rsidR="004F07DF" w:rsidRDefault="004F07DF"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C440" w14:textId="7C9E6DCE" w:rsidR="004F07DF" w:rsidRDefault="004F07DF" w:rsidP="0034799E">
    <w:pPr>
      <w:pStyle w:val="Header"/>
      <w:tabs>
        <w:tab w:val="clear" w:pos="4536"/>
        <w:tab w:val="clear" w:pos="9072"/>
        <w:tab w:val="left" w:pos="1620"/>
      </w:tabs>
    </w:pPr>
    <w:r>
      <w:rPr>
        <w:noProof/>
      </w:rPr>
      <w:drawing>
        <wp:anchor distT="73152" distB="117475" distL="211836" distR="215646" simplePos="0" relativeHeight="251659264" behindDoc="0" locked="1" layoutInCell="1" allowOverlap="1" wp14:anchorId="78BC7759" wp14:editId="251A4A3B">
          <wp:simplePos x="0" y="0"/>
          <wp:positionH relativeFrom="column">
            <wp:posOffset>-1180592</wp:posOffset>
          </wp:positionH>
          <wp:positionV relativeFrom="page">
            <wp:posOffset>6731</wp:posOffset>
          </wp:positionV>
          <wp:extent cx="7541641" cy="10670794"/>
          <wp:effectExtent l="57150" t="38100" r="59690" b="7366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pic:nvPicPr>
                <pic:blipFill>
                  <a:blip r:embed="rId1"/>
                  <a:stretch>
                    <a:fillRect/>
                  </a:stretch>
                </pic:blipFill>
                <pic:spPr>
                  <a:xfrm>
                    <a:off x="0" y="0"/>
                    <a:ext cx="7541260"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B99B" w14:textId="6C38BCC3" w:rsidR="004F07DF" w:rsidRDefault="004F07DF" w:rsidP="0034799E">
    <w:pPr>
      <w:pStyle w:val="Header"/>
      <w:tabs>
        <w:tab w:val="clear" w:pos="4536"/>
        <w:tab w:val="clear" w:pos="9072"/>
        <w:tab w:val="left" w:pos="1620"/>
      </w:tabs>
    </w:pPr>
    <w:r>
      <w:rPr>
        <w:noProof/>
      </w:rPr>
      <w:drawing>
        <wp:anchor distT="0" distB="0" distL="114300" distR="114300" simplePos="0" relativeHeight="251661312" behindDoc="1" locked="0" layoutInCell="1" allowOverlap="1" wp14:anchorId="11F54D01" wp14:editId="0171222D">
          <wp:simplePos x="0" y="0"/>
          <wp:positionH relativeFrom="column">
            <wp:posOffset>-1157605</wp:posOffset>
          </wp:positionH>
          <wp:positionV relativeFrom="paragraph">
            <wp:posOffset>-419735</wp:posOffset>
          </wp:positionV>
          <wp:extent cx="5400040" cy="7642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470"/>
    <w:multiLevelType w:val="hybridMultilevel"/>
    <w:tmpl w:val="ACE2DDEA"/>
    <w:lvl w:ilvl="0" w:tplc="5B8679BC">
      <w:start w:val="1"/>
      <w:numFmt w:val="decimalEnclosedCircle"/>
      <w:lvlText w:val="%1"/>
      <w:lvlJc w:val="left"/>
      <w:pPr>
        <w:ind w:left="360" w:hanging="36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0B16738A"/>
    <w:multiLevelType w:val="hybridMultilevel"/>
    <w:tmpl w:val="ACE2DDEA"/>
    <w:lvl w:ilvl="0" w:tplc="5B8679BC">
      <w:start w:val="1"/>
      <w:numFmt w:val="decimalEnclosedCircle"/>
      <w:lvlText w:val="%1"/>
      <w:lvlJc w:val="left"/>
      <w:pPr>
        <w:ind w:left="720" w:hanging="36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1B16A68"/>
    <w:multiLevelType w:val="hybridMultilevel"/>
    <w:tmpl w:val="398AD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BF03DD"/>
    <w:multiLevelType w:val="hybridMultilevel"/>
    <w:tmpl w:val="8650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0384B"/>
    <w:multiLevelType w:val="hybridMultilevel"/>
    <w:tmpl w:val="16E471C4"/>
    <w:lvl w:ilvl="0" w:tplc="FFFFFFFF">
      <w:start w:val="1"/>
      <w:numFmt w:val="decimal"/>
      <w:lvlText w:val="%1."/>
      <w:lvlJc w:val="left"/>
      <w:pPr>
        <w:ind w:left="705" w:hanging="705"/>
      </w:pPr>
      <w:rPr>
        <w:rFonts w:eastAsia="Calibri" w:cs="Times New Roman"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541CC2"/>
    <w:multiLevelType w:val="multilevel"/>
    <w:tmpl w:val="2A320C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655543"/>
    <w:multiLevelType w:val="hybridMultilevel"/>
    <w:tmpl w:val="44E8EF0C"/>
    <w:lvl w:ilvl="0" w:tplc="FFFFFFFF">
      <w:start w:val="1"/>
      <w:numFmt w:val="decimal"/>
      <w:lvlText w:val="%1."/>
      <w:lvlJc w:val="left"/>
      <w:pPr>
        <w:ind w:left="720" w:hanging="360"/>
      </w:pPr>
      <w:rPr>
        <w:rFonts w:eastAsia="Calibri" w:cs="Times New Roman" w:hint="default"/>
        <w:b/>
      </w:rPr>
    </w:lvl>
    <w:lvl w:ilvl="1" w:tplc="FFFFFFFF">
      <w:numFmt w:val="bullet"/>
      <w:lvlText w:val="-"/>
      <w:lvlJc w:val="left"/>
      <w:pPr>
        <w:ind w:left="720" w:hanging="360"/>
      </w:pPr>
      <w:rPr>
        <w:rFonts w:ascii="Georgia" w:eastAsia="Times New Roman" w:hAnsi="Georgia"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04C15"/>
    <w:multiLevelType w:val="hybridMultilevel"/>
    <w:tmpl w:val="B1C0C8CA"/>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27176A08"/>
    <w:multiLevelType w:val="multilevel"/>
    <w:tmpl w:val="F9BA016C"/>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DD0DF8"/>
    <w:multiLevelType w:val="hybridMultilevel"/>
    <w:tmpl w:val="22D0D9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FC72B14"/>
    <w:multiLevelType w:val="hybridMultilevel"/>
    <w:tmpl w:val="CB3C5AEA"/>
    <w:lvl w:ilvl="0" w:tplc="080C000D">
      <w:start w:val="1"/>
      <w:numFmt w:val="bullet"/>
      <w:lvlText w:val=""/>
      <w:lvlJc w:val="left"/>
      <w:pPr>
        <w:ind w:left="1077" w:hanging="360"/>
      </w:pPr>
      <w:rPr>
        <w:rFonts w:ascii="Wingdings" w:hAnsi="Wingdings" w:hint="default"/>
      </w:rPr>
    </w:lvl>
    <w:lvl w:ilvl="1" w:tplc="080C0003">
      <w:start w:val="1"/>
      <w:numFmt w:val="bullet"/>
      <w:lvlText w:val="o"/>
      <w:lvlJc w:val="left"/>
      <w:pPr>
        <w:ind w:left="1797" w:hanging="360"/>
      </w:pPr>
      <w:rPr>
        <w:rFonts w:ascii="Courier New" w:hAnsi="Courier New" w:cs="Courier New" w:hint="default"/>
      </w:rPr>
    </w:lvl>
    <w:lvl w:ilvl="2" w:tplc="080C0005">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4" w15:restartNumberingAfterBreak="0">
    <w:nsid w:val="30B70C48"/>
    <w:multiLevelType w:val="hybridMultilevel"/>
    <w:tmpl w:val="D452D326"/>
    <w:lvl w:ilvl="0" w:tplc="CF3E3338">
      <w:numFmt w:val="bullet"/>
      <w:lvlText w:val="-"/>
      <w:lvlJc w:val="left"/>
      <w:pPr>
        <w:ind w:left="360" w:hanging="360"/>
      </w:pPr>
      <w:rPr>
        <w:rFonts w:ascii="Georgia" w:eastAsia="Times New Roman" w:hAnsi="Georgia"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5455E6F"/>
    <w:multiLevelType w:val="hybridMultilevel"/>
    <w:tmpl w:val="325EB0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7767115"/>
    <w:multiLevelType w:val="hybridMultilevel"/>
    <w:tmpl w:val="CC766030"/>
    <w:lvl w:ilvl="0" w:tplc="CDD4E11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BD64B8C"/>
    <w:multiLevelType w:val="hybridMultilevel"/>
    <w:tmpl w:val="F384BA28"/>
    <w:lvl w:ilvl="0" w:tplc="08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4" w15:restartNumberingAfterBreak="0">
    <w:nsid w:val="3DA75E34"/>
    <w:multiLevelType w:val="multilevel"/>
    <w:tmpl w:val="78B0916C"/>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FD8017D"/>
    <w:multiLevelType w:val="hybridMultilevel"/>
    <w:tmpl w:val="87BCA884"/>
    <w:lvl w:ilvl="0" w:tplc="B096F2C8">
      <w:start w:val="1"/>
      <w:numFmt w:val="lowerLetter"/>
      <w:lvlText w:val="%1)"/>
      <w:lvlJc w:val="left"/>
      <w:pPr>
        <w:ind w:left="1080" w:hanging="360"/>
      </w:pPr>
      <w:rPr>
        <w:rFonts w:eastAsia="Times New Roman"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6" w15:restartNumberingAfterBreak="0">
    <w:nsid w:val="3FE92036"/>
    <w:multiLevelType w:val="hybridMultilevel"/>
    <w:tmpl w:val="9AA2E3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1E36B3B"/>
    <w:multiLevelType w:val="hybridMultilevel"/>
    <w:tmpl w:val="777EBBC8"/>
    <w:lvl w:ilvl="0" w:tplc="BECC0F3A">
      <w:start w:val="1"/>
      <w:numFmt w:val="bullet"/>
      <w:lvlText w:val=""/>
      <w:lvlJc w:val="left"/>
      <w:pPr>
        <w:ind w:left="360" w:hanging="360"/>
      </w:pPr>
      <w:rPr>
        <w:rFonts w:ascii="Symbol" w:hAnsi="Symbol" w:hint="default"/>
      </w:rPr>
    </w:lvl>
    <w:lvl w:ilvl="1" w:tplc="7938FA18">
      <w:start w:val="1"/>
      <w:numFmt w:val="bullet"/>
      <w:pStyle w:val="BTCBulletslis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3AB2ED5"/>
    <w:multiLevelType w:val="hybridMultilevel"/>
    <w:tmpl w:val="BF34C41A"/>
    <w:lvl w:ilvl="0" w:tplc="FFFFFFFF">
      <w:start w:val="1"/>
      <w:numFmt w:val="decimal"/>
      <w:lvlText w:val="%1."/>
      <w:lvlJc w:val="left"/>
      <w:pPr>
        <w:ind w:left="720" w:hanging="360"/>
      </w:pPr>
      <w:rPr>
        <w:rFonts w:eastAsia="Calibri"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8082533"/>
    <w:multiLevelType w:val="hybridMultilevel"/>
    <w:tmpl w:val="BF34C41A"/>
    <w:lvl w:ilvl="0" w:tplc="FFFFFFFF">
      <w:start w:val="1"/>
      <w:numFmt w:val="decimal"/>
      <w:lvlText w:val="%1."/>
      <w:lvlJc w:val="left"/>
      <w:pPr>
        <w:ind w:left="720" w:hanging="360"/>
      </w:pPr>
      <w:rPr>
        <w:rFonts w:eastAsia="Calibri"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DBB40AC"/>
    <w:multiLevelType w:val="hybridMultilevel"/>
    <w:tmpl w:val="B1D6FD70"/>
    <w:lvl w:ilvl="0" w:tplc="F194624E">
      <w:start w:val="59"/>
      <w:numFmt w:val="bullet"/>
      <w:lvlText w:val="-"/>
      <w:lvlJc w:val="left"/>
      <w:pPr>
        <w:ind w:left="720" w:hanging="360"/>
      </w:pPr>
      <w:rPr>
        <w:rFonts w:ascii="Arial" w:eastAsia="DejaVu Sans"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E030380"/>
    <w:multiLevelType w:val="hybridMultilevel"/>
    <w:tmpl w:val="BF34C41A"/>
    <w:lvl w:ilvl="0" w:tplc="FFFFFFFF">
      <w:start w:val="1"/>
      <w:numFmt w:val="decimal"/>
      <w:lvlText w:val="%1."/>
      <w:lvlJc w:val="left"/>
      <w:pPr>
        <w:ind w:left="360" w:hanging="360"/>
      </w:pPr>
      <w:rPr>
        <w:rFonts w:eastAsia="Calibri" w:cs="Times New Roman"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3954D5"/>
    <w:multiLevelType w:val="multilevel"/>
    <w:tmpl w:val="E7789EA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9777622"/>
    <w:multiLevelType w:val="hybridMultilevel"/>
    <w:tmpl w:val="EE48DAB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7"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B477CC2"/>
    <w:multiLevelType w:val="multilevel"/>
    <w:tmpl w:val="2456647A"/>
    <w:lvl w:ilvl="0">
      <w:start w:val="17"/>
      <w:numFmt w:val="decimal"/>
      <w:lvlText w:val="%1."/>
      <w:lvlJc w:val="left"/>
      <w:pPr>
        <w:ind w:left="500" w:hanging="50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99D67D6"/>
    <w:multiLevelType w:val="hybridMultilevel"/>
    <w:tmpl w:val="44E8EF0C"/>
    <w:lvl w:ilvl="0" w:tplc="FFFFFFFF">
      <w:start w:val="1"/>
      <w:numFmt w:val="decimal"/>
      <w:lvlText w:val="%1."/>
      <w:lvlJc w:val="left"/>
      <w:pPr>
        <w:ind w:left="720" w:hanging="360"/>
      </w:pPr>
      <w:rPr>
        <w:rFonts w:eastAsia="Calibri" w:cs="Times New Roman" w:hint="default"/>
        <w:b/>
      </w:rPr>
    </w:lvl>
    <w:lvl w:ilvl="1" w:tplc="CF3E3338">
      <w:numFmt w:val="bullet"/>
      <w:lvlText w:val="-"/>
      <w:lvlJc w:val="left"/>
      <w:pPr>
        <w:ind w:left="720" w:hanging="360"/>
      </w:pPr>
      <w:rPr>
        <w:rFonts w:ascii="Georgia" w:eastAsia="Times New Roman" w:hAnsi="Georgia"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C616A3"/>
    <w:multiLevelType w:val="multilevel"/>
    <w:tmpl w:val="16169F5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9F8190A"/>
    <w:multiLevelType w:val="multilevel"/>
    <w:tmpl w:val="9D041DC4"/>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FB24BB0"/>
    <w:multiLevelType w:val="multilevel"/>
    <w:tmpl w:val="B7E6A7BC"/>
    <w:lvl w:ilvl="0">
      <w:start w:val="6"/>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130206A"/>
    <w:multiLevelType w:val="hybridMultilevel"/>
    <w:tmpl w:val="6B20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4D56733"/>
    <w:multiLevelType w:val="hybridMultilevel"/>
    <w:tmpl w:val="BE6EF63C"/>
    <w:lvl w:ilvl="0" w:tplc="CF3E3338">
      <w:numFmt w:val="bullet"/>
      <w:lvlText w:val="-"/>
      <w:lvlJc w:val="left"/>
      <w:pPr>
        <w:ind w:left="1080" w:hanging="360"/>
      </w:pPr>
      <w:rPr>
        <w:rFonts w:ascii="Georgia" w:eastAsia="Times New Roman" w:hAnsi="Georgia"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3" w15:restartNumberingAfterBreak="0">
    <w:nsid w:val="75AE76D1"/>
    <w:multiLevelType w:val="multilevel"/>
    <w:tmpl w:val="000ABAFE"/>
    <w:lvl w:ilvl="0">
      <w:start w:val="16"/>
      <w:numFmt w:val="decimal"/>
      <w:lvlText w:val="%1."/>
      <w:lvlJc w:val="left"/>
      <w:pPr>
        <w:ind w:left="500" w:hanging="50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64"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7B366A3"/>
    <w:multiLevelType w:val="hybridMultilevel"/>
    <w:tmpl w:val="7736D35A"/>
    <w:lvl w:ilvl="0" w:tplc="564408F8">
      <w:start w:val="1"/>
      <w:numFmt w:val="lowerLetter"/>
      <w:lvlText w:val="%1."/>
      <w:lvlJc w:val="left"/>
      <w:pPr>
        <w:ind w:left="1428" w:hanging="360"/>
      </w:pPr>
      <w:rPr>
        <w:rFonts w:ascii="Calibri" w:eastAsia="Calibri" w:hAnsi="Calibri" w:cs="Arial"/>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6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CB7486B"/>
    <w:multiLevelType w:val="hybridMultilevel"/>
    <w:tmpl w:val="4EB01384"/>
    <w:lvl w:ilvl="0" w:tplc="CF3E3338">
      <w:numFmt w:val="bullet"/>
      <w:lvlText w:val="-"/>
      <w:lvlJc w:val="left"/>
      <w:pPr>
        <w:ind w:left="720" w:hanging="360"/>
      </w:pPr>
      <w:rPr>
        <w:rFonts w:ascii="Georgia" w:eastAsia="Times New Roman" w:hAnsi="Georg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448232">
    <w:abstractNumId w:val="55"/>
  </w:num>
  <w:num w:numId="2" w16cid:durableId="2128352503">
    <w:abstractNumId w:val="10"/>
  </w:num>
  <w:num w:numId="3" w16cid:durableId="126053879">
    <w:abstractNumId w:val="30"/>
  </w:num>
  <w:num w:numId="4" w16cid:durableId="1807579445">
    <w:abstractNumId w:val="26"/>
  </w:num>
  <w:num w:numId="5" w16cid:durableId="454953456">
    <w:abstractNumId w:val="10"/>
    <w:lvlOverride w:ilvl="0">
      <w:startOverride w:val="2"/>
    </w:lvlOverride>
  </w:num>
  <w:num w:numId="6" w16cid:durableId="955603915">
    <w:abstractNumId w:val="11"/>
  </w:num>
  <w:num w:numId="7" w16cid:durableId="1200244005">
    <w:abstractNumId w:val="53"/>
  </w:num>
  <w:num w:numId="8" w16cid:durableId="1710034785">
    <w:abstractNumId w:val="22"/>
  </w:num>
  <w:num w:numId="9" w16cid:durableId="543062080">
    <w:abstractNumId w:val="67"/>
  </w:num>
  <w:num w:numId="10" w16cid:durableId="236676259">
    <w:abstractNumId w:val="25"/>
  </w:num>
  <w:num w:numId="11" w16cid:durableId="2108767274">
    <w:abstractNumId w:val="46"/>
  </w:num>
  <w:num w:numId="12" w16cid:durableId="1265384632">
    <w:abstractNumId w:val="1"/>
  </w:num>
  <w:num w:numId="13" w16cid:durableId="621494296">
    <w:abstractNumId w:val="0"/>
  </w:num>
  <w:num w:numId="14" w16cid:durableId="204487202">
    <w:abstractNumId w:val="21"/>
  </w:num>
  <w:num w:numId="15" w16cid:durableId="2047440932">
    <w:abstractNumId w:val="16"/>
  </w:num>
  <w:num w:numId="16" w16cid:durableId="1569879500">
    <w:abstractNumId w:val="12"/>
  </w:num>
  <w:num w:numId="17" w16cid:durableId="1677267633">
    <w:abstractNumId w:val="61"/>
  </w:num>
  <w:num w:numId="18" w16cid:durableId="894048719">
    <w:abstractNumId w:val="48"/>
  </w:num>
  <w:num w:numId="19" w16cid:durableId="1251623612">
    <w:abstractNumId w:val="64"/>
  </w:num>
  <w:num w:numId="20" w16cid:durableId="2035615309">
    <w:abstractNumId w:val="31"/>
  </w:num>
  <w:num w:numId="21" w16cid:durableId="1516336759">
    <w:abstractNumId w:val="66"/>
  </w:num>
  <w:num w:numId="22" w16cid:durableId="366684712">
    <w:abstractNumId w:val="32"/>
  </w:num>
  <w:num w:numId="23" w16cid:durableId="1804540580">
    <w:abstractNumId w:val="50"/>
  </w:num>
  <w:num w:numId="24" w16cid:durableId="958410044">
    <w:abstractNumId w:val="51"/>
  </w:num>
  <w:num w:numId="25" w16cid:durableId="2139255742">
    <w:abstractNumId w:val="9"/>
  </w:num>
  <w:num w:numId="26" w16cid:durableId="137841169">
    <w:abstractNumId w:val="6"/>
  </w:num>
  <w:num w:numId="27" w16cid:durableId="865749088">
    <w:abstractNumId w:val="3"/>
  </w:num>
  <w:num w:numId="28" w16cid:durableId="1159927527">
    <w:abstractNumId w:val="2"/>
  </w:num>
  <w:num w:numId="29" w16cid:durableId="1114977179">
    <w:abstractNumId w:val="20"/>
  </w:num>
  <w:num w:numId="30" w16cid:durableId="1931428991">
    <w:abstractNumId w:val="47"/>
  </w:num>
  <w:num w:numId="31" w16cid:durableId="190731926">
    <w:abstractNumId w:val="58"/>
  </w:num>
  <w:num w:numId="32" w16cid:durableId="245384943">
    <w:abstractNumId w:val="40"/>
  </w:num>
  <w:num w:numId="33" w16cid:durableId="2109353599">
    <w:abstractNumId w:val="15"/>
  </w:num>
  <w:num w:numId="34" w16cid:durableId="30423049">
    <w:abstractNumId w:val="63"/>
  </w:num>
  <w:num w:numId="35" w16cid:durableId="1822699241">
    <w:abstractNumId w:val="52"/>
  </w:num>
  <w:num w:numId="36" w16cid:durableId="1642074029">
    <w:abstractNumId w:val="49"/>
  </w:num>
  <w:num w:numId="37" w16cid:durableId="566764930">
    <w:abstractNumId w:val="14"/>
  </w:num>
  <w:num w:numId="38" w16cid:durableId="681738101">
    <w:abstractNumId w:val="44"/>
  </w:num>
  <w:num w:numId="39" w16cid:durableId="239023097">
    <w:abstractNumId w:val="43"/>
  </w:num>
  <w:num w:numId="40" w16cid:durableId="326833541">
    <w:abstractNumId w:val="69"/>
  </w:num>
  <w:num w:numId="41" w16cid:durableId="843593682">
    <w:abstractNumId w:val="27"/>
  </w:num>
  <w:num w:numId="42" w16cid:durableId="912470289">
    <w:abstractNumId w:val="57"/>
  </w:num>
  <w:num w:numId="43" w16cid:durableId="479418834">
    <w:abstractNumId w:val="70"/>
  </w:num>
  <w:num w:numId="44" w16cid:durableId="195654228">
    <w:abstractNumId w:val="5"/>
  </w:num>
  <w:num w:numId="45" w16cid:durableId="1310942027">
    <w:abstractNumId w:val="35"/>
  </w:num>
  <w:num w:numId="46" w16cid:durableId="267087785">
    <w:abstractNumId w:val="59"/>
  </w:num>
  <w:num w:numId="47" w16cid:durableId="1868250030">
    <w:abstractNumId w:val="41"/>
  </w:num>
  <w:num w:numId="48" w16cid:durableId="1423792318">
    <w:abstractNumId w:val="34"/>
  </w:num>
  <w:num w:numId="49" w16cid:durableId="1208028717">
    <w:abstractNumId w:val="60"/>
  </w:num>
  <w:num w:numId="50" w16cid:durableId="36011845">
    <w:abstractNumId w:val="7"/>
  </w:num>
  <w:num w:numId="51" w16cid:durableId="1433234828">
    <w:abstractNumId w:val="36"/>
  </w:num>
  <w:num w:numId="52" w16cid:durableId="1840192718">
    <w:abstractNumId w:val="28"/>
  </w:num>
  <w:num w:numId="53" w16cid:durableId="1196121681">
    <w:abstractNumId w:val="19"/>
  </w:num>
  <w:num w:numId="54" w16cid:durableId="18046933">
    <w:abstractNumId w:val="65"/>
  </w:num>
  <w:num w:numId="55" w16cid:durableId="918638746">
    <w:abstractNumId w:val="4"/>
  </w:num>
  <w:num w:numId="56" w16cid:durableId="1687290891">
    <w:abstractNumId w:val="18"/>
  </w:num>
  <w:num w:numId="57" w16cid:durableId="1519346354">
    <w:abstractNumId w:val="23"/>
  </w:num>
  <w:num w:numId="58" w16cid:durableId="185486731">
    <w:abstractNumId w:val="29"/>
  </w:num>
  <w:num w:numId="59" w16cid:durableId="469712929">
    <w:abstractNumId w:val="37"/>
  </w:num>
  <w:num w:numId="60" w16cid:durableId="1005861608">
    <w:abstractNumId w:val="33"/>
  </w:num>
  <w:num w:numId="61" w16cid:durableId="1569461664">
    <w:abstractNumId w:val="17"/>
  </w:num>
  <w:num w:numId="62" w16cid:durableId="1090006977">
    <w:abstractNumId w:val="68"/>
  </w:num>
  <w:num w:numId="63" w16cid:durableId="1872186732">
    <w:abstractNumId w:val="56"/>
  </w:num>
  <w:num w:numId="64" w16cid:durableId="2074235606">
    <w:abstractNumId w:val="45"/>
  </w:num>
  <w:num w:numId="65" w16cid:durableId="1551847025">
    <w:abstractNumId w:val="8"/>
  </w:num>
  <w:num w:numId="66" w16cid:durableId="1572227111">
    <w:abstractNumId w:val="39"/>
  </w:num>
  <w:num w:numId="67" w16cid:durableId="1667246340">
    <w:abstractNumId w:val="38"/>
  </w:num>
  <w:num w:numId="68" w16cid:durableId="1451316751">
    <w:abstractNumId w:val="54"/>
  </w:num>
  <w:num w:numId="69" w16cid:durableId="1808740793">
    <w:abstractNumId w:val="42"/>
  </w:num>
  <w:num w:numId="70" w16cid:durableId="497041635">
    <w:abstractNumId w:val="62"/>
  </w:num>
  <w:num w:numId="71" w16cid:durableId="913665702">
    <w:abstractNumId w:val="13"/>
  </w:num>
  <w:num w:numId="72" w16cid:durableId="1270627976">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DF"/>
    <w:rsid w:val="00000405"/>
    <w:rsid w:val="000038B7"/>
    <w:rsid w:val="000064BC"/>
    <w:rsid w:val="00011CA7"/>
    <w:rsid w:val="000147B0"/>
    <w:rsid w:val="0001766B"/>
    <w:rsid w:val="00021565"/>
    <w:rsid w:val="00023E0E"/>
    <w:rsid w:val="000338C0"/>
    <w:rsid w:val="00035283"/>
    <w:rsid w:val="00035FCF"/>
    <w:rsid w:val="0003743F"/>
    <w:rsid w:val="000418AB"/>
    <w:rsid w:val="00041A9C"/>
    <w:rsid w:val="00042849"/>
    <w:rsid w:val="0004359A"/>
    <w:rsid w:val="000453AC"/>
    <w:rsid w:val="000511D3"/>
    <w:rsid w:val="00051574"/>
    <w:rsid w:val="00052EFB"/>
    <w:rsid w:val="00062CAD"/>
    <w:rsid w:val="00063C42"/>
    <w:rsid w:val="00073B62"/>
    <w:rsid w:val="000906DD"/>
    <w:rsid w:val="00090FD3"/>
    <w:rsid w:val="000926B8"/>
    <w:rsid w:val="00096C08"/>
    <w:rsid w:val="000A1AE0"/>
    <w:rsid w:val="000A350A"/>
    <w:rsid w:val="000A4077"/>
    <w:rsid w:val="000A5687"/>
    <w:rsid w:val="000B2411"/>
    <w:rsid w:val="000B62AE"/>
    <w:rsid w:val="000C02C1"/>
    <w:rsid w:val="000C1B7E"/>
    <w:rsid w:val="000C6356"/>
    <w:rsid w:val="000C7D9F"/>
    <w:rsid w:val="000D1AEA"/>
    <w:rsid w:val="000D230C"/>
    <w:rsid w:val="000D5F7B"/>
    <w:rsid w:val="000F5687"/>
    <w:rsid w:val="000F6C07"/>
    <w:rsid w:val="000F7A24"/>
    <w:rsid w:val="001004BA"/>
    <w:rsid w:val="00100AEB"/>
    <w:rsid w:val="0011679D"/>
    <w:rsid w:val="0011747F"/>
    <w:rsid w:val="0011761E"/>
    <w:rsid w:val="00120B29"/>
    <w:rsid w:val="00121E2F"/>
    <w:rsid w:val="0012224A"/>
    <w:rsid w:val="00132ECA"/>
    <w:rsid w:val="00133712"/>
    <w:rsid w:val="0013531C"/>
    <w:rsid w:val="0013603F"/>
    <w:rsid w:val="0014142D"/>
    <w:rsid w:val="001417B8"/>
    <w:rsid w:val="00143E38"/>
    <w:rsid w:val="00145B9C"/>
    <w:rsid w:val="00150029"/>
    <w:rsid w:val="00151143"/>
    <w:rsid w:val="001521C5"/>
    <w:rsid w:val="001522E3"/>
    <w:rsid w:val="0015582E"/>
    <w:rsid w:val="00170482"/>
    <w:rsid w:val="00181135"/>
    <w:rsid w:val="00183F7E"/>
    <w:rsid w:val="001843C6"/>
    <w:rsid w:val="00185686"/>
    <w:rsid w:val="0018682C"/>
    <w:rsid w:val="001A132B"/>
    <w:rsid w:val="001A2CFB"/>
    <w:rsid w:val="001A3312"/>
    <w:rsid w:val="001A5CDE"/>
    <w:rsid w:val="001A6E50"/>
    <w:rsid w:val="001A769B"/>
    <w:rsid w:val="001D3034"/>
    <w:rsid w:val="001D5D5D"/>
    <w:rsid w:val="001D5DF7"/>
    <w:rsid w:val="001E0D29"/>
    <w:rsid w:val="001E6D18"/>
    <w:rsid w:val="001F147F"/>
    <w:rsid w:val="001F291D"/>
    <w:rsid w:val="001F4125"/>
    <w:rsid w:val="001F4BEC"/>
    <w:rsid w:val="001F7D52"/>
    <w:rsid w:val="00204118"/>
    <w:rsid w:val="0020432A"/>
    <w:rsid w:val="002078C3"/>
    <w:rsid w:val="0021029B"/>
    <w:rsid w:val="00211B3D"/>
    <w:rsid w:val="002131BC"/>
    <w:rsid w:val="00216A2B"/>
    <w:rsid w:val="00217BC9"/>
    <w:rsid w:val="002210AE"/>
    <w:rsid w:val="0022374D"/>
    <w:rsid w:val="00224534"/>
    <w:rsid w:val="00231BA6"/>
    <w:rsid w:val="00233F8B"/>
    <w:rsid w:val="002455B4"/>
    <w:rsid w:val="00247956"/>
    <w:rsid w:val="00251D44"/>
    <w:rsid w:val="00255BDC"/>
    <w:rsid w:val="002570CD"/>
    <w:rsid w:val="002618F1"/>
    <w:rsid w:val="002627EB"/>
    <w:rsid w:val="00265467"/>
    <w:rsid w:val="0027028C"/>
    <w:rsid w:val="002710D5"/>
    <w:rsid w:val="002739B2"/>
    <w:rsid w:val="00276A8C"/>
    <w:rsid w:val="00276B96"/>
    <w:rsid w:val="0029154A"/>
    <w:rsid w:val="00292007"/>
    <w:rsid w:val="00293944"/>
    <w:rsid w:val="00295F6E"/>
    <w:rsid w:val="002A0A1D"/>
    <w:rsid w:val="002A0C50"/>
    <w:rsid w:val="002A319D"/>
    <w:rsid w:val="002A3DA4"/>
    <w:rsid w:val="002A7823"/>
    <w:rsid w:val="002B39D2"/>
    <w:rsid w:val="002B46BD"/>
    <w:rsid w:val="002C1113"/>
    <w:rsid w:val="002C25AB"/>
    <w:rsid w:val="002D2173"/>
    <w:rsid w:val="002D27DB"/>
    <w:rsid w:val="002D7FF1"/>
    <w:rsid w:val="002E712B"/>
    <w:rsid w:val="002F1AE2"/>
    <w:rsid w:val="002F2A77"/>
    <w:rsid w:val="002F3125"/>
    <w:rsid w:val="002F3EC6"/>
    <w:rsid w:val="00303793"/>
    <w:rsid w:val="00303B3F"/>
    <w:rsid w:val="003055B5"/>
    <w:rsid w:val="00311D4C"/>
    <w:rsid w:val="003142B4"/>
    <w:rsid w:val="00317D01"/>
    <w:rsid w:val="00322E70"/>
    <w:rsid w:val="00325625"/>
    <w:rsid w:val="00333B35"/>
    <w:rsid w:val="00335283"/>
    <w:rsid w:val="00336ED1"/>
    <w:rsid w:val="003475AA"/>
    <w:rsid w:val="0035024F"/>
    <w:rsid w:val="0035031D"/>
    <w:rsid w:val="0035181D"/>
    <w:rsid w:val="003569D5"/>
    <w:rsid w:val="00363303"/>
    <w:rsid w:val="00364EC4"/>
    <w:rsid w:val="003663F6"/>
    <w:rsid w:val="00372EF9"/>
    <w:rsid w:val="003730D7"/>
    <w:rsid w:val="003779DD"/>
    <w:rsid w:val="00382375"/>
    <w:rsid w:val="00382BE4"/>
    <w:rsid w:val="00385C1B"/>
    <w:rsid w:val="00393FD2"/>
    <w:rsid w:val="003A313F"/>
    <w:rsid w:val="003A73B2"/>
    <w:rsid w:val="003C316F"/>
    <w:rsid w:val="003C55D5"/>
    <w:rsid w:val="003D05B1"/>
    <w:rsid w:val="003D3F3B"/>
    <w:rsid w:val="003D45E9"/>
    <w:rsid w:val="003D6B41"/>
    <w:rsid w:val="003E01C3"/>
    <w:rsid w:val="003E0519"/>
    <w:rsid w:val="003E17E9"/>
    <w:rsid w:val="003E1FEB"/>
    <w:rsid w:val="003F06F9"/>
    <w:rsid w:val="003F2BB4"/>
    <w:rsid w:val="003F3378"/>
    <w:rsid w:val="003F6B21"/>
    <w:rsid w:val="00402158"/>
    <w:rsid w:val="004027D2"/>
    <w:rsid w:val="00404EB1"/>
    <w:rsid w:val="004117A3"/>
    <w:rsid w:val="0041256A"/>
    <w:rsid w:val="0041298C"/>
    <w:rsid w:val="00414D46"/>
    <w:rsid w:val="00417B6B"/>
    <w:rsid w:val="00417DF8"/>
    <w:rsid w:val="00417FB9"/>
    <w:rsid w:val="004223E4"/>
    <w:rsid w:val="00430EB8"/>
    <w:rsid w:val="00434B8A"/>
    <w:rsid w:val="00441352"/>
    <w:rsid w:val="00450980"/>
    <w:rsid w:val="00452302"/>
    <w:rsid w:val="00452948"/>
    <w:rsid w:val="00452E40"/>
    <w:rsid w:val="0045528C"/>
    <w:rsid w:val="00455A31"/>
    <w:rsid w:val="00455D45"/>
    <w:rsid w:val="00462F93"/>
    <w:rsid w:val="0046686A"/>
    <w:rsid w:val="0047097E"/>
    <w:rsid w:val="004720AA"/>
    <w:rsid w:val="00474C65"/>
    <w:rsid w:val="00481452"/>
    <w:rsid w:val="00483886"/>
    <w:rsid w:val="00494571"/>
    <w:rsid w:val="00495296"/>
    <w:rsid w:val="004A2EA7"/>
    <w:rsid w:val="004A36D9"/>
    <w:rsid w:val="004A3927"/>
    <w:rsid w:val="004A40EF"/>
    <w:rsid w:val="004B0CFB"/>
    <w:rsid w:val="004B408A"/>
    <w:rsid w:val="004B4228"/>
    <w:rsid w:val="004C183F"/>
    <w:rsid w:val="004C42F9"/>
    <w:rsid w:val="004C7A35"/>
    <w:rsid w:val="004D2B72"/>
    <w:rsid w:val="004D5894"/>
    <w:rsid w:val="004E6090"/>
    <w:rsid w:val="004E71BF"/>
    <w:rsid w:val="004E7A98"/>
    <w:rsid w:val="004F07DF"/>
    <w:rsid w:val="004F093B"/>
    <w:rsid w:val="004F5E03"/>
    <w:rsid w:val="0050090D"/>
    <w:rsid w:val="00504D06"/>
    <w:rsid w:val="00506620"/>
    <w:rsid w:val="005115B2"/>
    <w:rsid w:val="0051539B"/>
    <w:rsid w:val="005244AA"/>
    <w:rsid w:val="00525D57"/>
    <w:rsid w:val="00525EA6"/>
    <w:rsid w:val="00527142"/>
    <w:rsid w:val="0053101C"/>
    <w:rsid w:val="005416A3"/>
    <w:rsid w:val="0054412D"/>
    <w:rsid w:val="00544D2C"/>
    <w:rsid w:val="0054642D"/>
    <w:rsid w:val="00546627"/>
    <w:rsid w:val="00546BA5"/>
    <w:rsid w:val="00547A96"/>
    <w:rsid w:val="0055166A"/>
    <w:rsid w:val="005528A7"/>
    <w:rsid w:val="00553803"/>
    <w:rsid w:val="005548E6"/>
    <w:rsid w:val="0056124E"/>
    <w:rsid w:val="00562962"/>
    <w:rsid w:val="005676FA"/>
    <w:rsid w:val="00567CB0"/>
    <w:rsid w:val="00585B27"/>
    <w:rsid w:val="00587FDF"/>
    <w:rsid w:val="00590321"/>
    <w:rsid w:val="005904FD"/>
    <w:rsid w:val="00590DE2"/>
    <w:rsid w:val="00590FB5"/>
    <w:rsid w:val="00593345"/>
    <w:rsid w:val="00597CDD"/>
    <w:rsid w:val="005A049C"/>
    <w:rsid w:val="005A64B1"/>
    <w:rsid w:val="005B01F6"/>
    <w:rsid w:val="005B1403"/>
    <w:rsid w:val="005D0137"/>
    <w:rsid w:val="005D43D8"/>
    <w:rsid w:val="005D4BFD"/>
    <w:rsid w:val="005D5B53"/>
    <w:rsid w:val="005D78E9"/>
    <w:rsid w:val="005E003E"/>
    <w:rsid w:val="005E01EE"/>
    <w:rsid w:val="005E1F27"/>
    <w:rsid w:val="005E2AAF"/>
    <w:rsid w:val="005E34DB"/>
    <w:rsid w:val="005E4113"/>
    <w:rsid w:val="005E6809"/>
    <w:rsid w:val="00606B06"/>
    <w:rsid w:val="00610AEE"/>
    <w:rsid w:val="00611C83"/>
    <w:rsid w:val="006120CF"/>
    <w:rsid w:val="00612820"/>
    <w:rsid w:val="00613F0C"/>
    <w:rsid w:val="00616E0F"/>
    <w:rsid w:val="00631467"/>
    <w:rsid w:val="00631BE1"/>
    <w:rsid w:val="00634BA3"/>
    <w:rsid w:val="00634EB2"/>
    <w:rsid w:val="006414E0"/>
    <w:rsid w:val="00642C09"/>
    <w:rsid w:val="00646774"/>
    <w:rsid w:val="006632ED"/>
    <w:rsid w:val="006636D2"/>
    <w:rsid w:val="00663E47"/>
    <w:rsid w:val="006650B2"/>
    <w:rsid w:val="00670F50"/>
    <w:rsid w:val="00670F6C"/>
    <w:rsid w:val="006711F3"/>
    <w:rsid w:val="00684E97"/>
    <w:rsid w:val="00687CF7"/>
    <w:rsid w:val="00695324"/>
    <w:rsid w:val="00696609"/>
    <w:rsid w:val="0069730E"/>
    <w:rsid w:val="00697664"/>
    <w:rsid w:val="006A414A"/>
    <w:rsid w:val="006B2CC3"/>
    <w:rsid w:val="006B39DB"/>
    <w:rsid w:val="006B3AE7"/>
    <w:rsid w:val="006B4D93"/>
    <w:rsid w:val="006C1183"/>
    <w:rsid w:val="006C287A"/>
    <w:rsid w:val="006C3655"/>
    <w:rsid w:val="006C7E90"/>
    <w:rsid w:val="006D27FD"/>
    <w:rsid w:val="006D3B75"/>
    <w:rsid w:val="006E071E"/>
    <w:rsid w:val="006E1742"/>
    <w:rsid w:val="006E3126"/>
    <w:rsid w:val="006E48E4"/>
    <w:rsid w:val="006E4A71"/>
    <w:rsid w:val="006F1178"/>
    <w:rsid w:val="00700910"/>
    <w:rsid w:val="00705E80"/>
    <w:rsid w:val="00723F1D"/>
    <w:rsid w:val="00727B0E"/>
    <w:rsid w:val="00732C5F"/>
    <w:rsid w:val="00734D43"/>
    <w:rsid w:val="007365D1"/>
    <w:rsid w:val="007426FC"/>
    <w:rsid w:val="00742CB0"/>
    <w:rsid w:val="007431F2"/>
    <w:rsid w:val="00751300"/>
    <w:rsid w:val="007567F1"/>
    <w:rsid w:val="00763236"/>
    <w:rsid w:val="007643F0"/>
    <w:rsid w:val="00766636"/>
    <w:rsid w:val="007757F8"/>
    <w:rsid w:val="00780E0F"/>
    <w:rsid w:val="0078166C"/>
    <w:rsid w:val="007816B7"/>
    <w:rsid w:val="007A0118"/>
    <w:rsid w:val="007A228B"/>
    <w:rsid w:val="007A33EC"/>
    <w:rsid w:val="007B0D7D"/>
    <w:rsid w:val="007B20C4"/>
    <w:rsid w:val="007B4676"/>
    <w:rsid w:val="007B555E"/>
    <w:rsid w:val="007B74A5"/>
    <w:rsid w:val="007C25A3"/>
    <w:rsid w:val="007C29A5"/>
    <w:rsid w:val="007C2E7E"/>
    <w:rsid w:val="007C367F"/>
    <w:rsid w:val="007D301A"/>
    <w:rsid w:val="007D7A07"/>
    <w:rsid w:val="007E5A9C"/>
    <w:rsid w:val="007F3832"/>
    <w:rsid w:val="007F452F"/>
    <w:rsid w:val="007F4FF9"/>
    <w:rsid w:val="007F6AB1"/>
    <w:rsid w:val="00800ECB"/>
    <w:rsid w:val="008013F2"/>
    <w:rsid w:val="0080400C"/>
    <w:rsid w:val="0080401C"/>
    <w:rsid w:val="008141DA"/>
    <w:rsid w:val="008144E9"/>
    <w:rsid w:val="008213AF"/>
    <w:rsid w:val="00824C53"/>
    <w:rsid w:val="008330D3"/>
    <w:rsid w:val="00834C4C"/>
    <w:rsid w:val="008357D0"/>
    <w:rsid w:val="00835CE4"/>
    <w:rsid w:val="0083623F"/>
    <w:rsid w:val="00841B6E"/>
    <w:rsid w:val="00842279"/>
    <w:rsid w:val="00854CBB"/>
    <w:rsid w:val="00856406"/>
    <w:rsid w:val="00862FD3"/>
    <w:rsid w:val="00863CC5"/>
    <w:rsid w:val="0086609A"/>
    <w:rsid w:val="0086626A"/>
    <w:rsid w:val="0087050C"/>
    <w:rsid w:val="008807E2"/>
    <w:rsid w:val="008A009F"/>
    <w:rsid w:val="008A089C"/>
    <w:rsid w:val="008A398C"/>
    <w:rsid w:val="008A7E73"/>
    <w:rsid w:val="008B4949"/>
    <w:rsid w:val="008B55F7"/>
    <w:rsid w:val="008C0A53"/>
    <w:rsid w:val="008C0B6A"/>
    <w:rsid w:val="008C24F7"/>
    <w:rsid w:val="008C4325"/>
    <w:rsid w:val="008C4620"/>
    <w:rsid w:val="008D439E"/>
    <w:rsid w:val="008D44DF"/>
    <w:rsid w:val="008D4CE7"/>
    <w:rsid w:val="008D50E9"/>
    <w:rsid w:val="008D7FC2"/>
    <w:rsid w:val="008E0C8A"/>
    <w:rsid w:val="008E78A7"/>
    <w:rsid w:val="008E7C2F"/>
    <w:rsid w:val="008F08A0"/>
    <w:rsid w:val="008F0DF0"/>
    <w:rsid w:val="008F2B62"/>
    <w:rsid w:val="00902284"/>
    <w:rsid w:val="009028D2"/>
    <w:rsid w:val="00913F96"/>
    <w:rsid w:val="00917FF5"/>
    <w:rsid w:val="00922F75"/>
    <w:rsid w:val="00925228"/>
    <w:rsid w:val="00926E0A"/>
    <w:rsid w:val="00932637"/>
    <w:rsid w:val="009356DB"/>
    <w:rsid w:val="00936C1D"/>
    <w:rsid w:val="0094019A"/>
    <w:rsid w:val="00944105"/>
    <w:rsid w:val="00945344"/>
    <w:rsid w:val="00946C32"/>
    <w:rsid w:val="009512BD"/>
    <w:rsid w:val="0095622F"/>
    <w:rsid w:val="00957DF9"/>
    <w:rsid w:val="00963506"/>
    <w:rsid w:val="009639C2"/>
    <w:rsid w:val="00966B8C"/>
    <w:rsid w:val="00970336"/>
    <w:rsid w:val="00970E0F"/>
    <w:rsid w:val="0097191E"/>
    <w:rsid w:val="00971C9A"/>
    <w:rsid w:val="0097334D"/>
    <w:rsid w:val="00974240"/>
    <w:rsid w:val="00974E91"/>
    <w:rsid w:val="00977724"/>
    <w:rsid w:val="0097796E"/>
    <w:rsid w:val="00983A8F"/>
    <w:rsid w:val="00986B22"/>
    <w:rsid w:val="009935DF"/>
    <w:rsid w:val="0099406E"/>
    <w:rsid w:val="009964B7"/>
    <w:rsid w:val="00997368"/>
    <w:rsid w:val="009A4FE0"/>
    <w:rsid w:val="009A5C73"/>
    <w:rsid w:val="009A6D15"/>
    <w:rsid w:val="009A73FE"/>
    <w:rsid w:val="009B0A9E"/>
    <w:rsid w:val="009B2CD9"/>
    <w:rsid w:val="009B33EE"/>
    <w:rsid w:val="009B4CFF"/>
    <w:rsid w:val="009B6D1A"/>
    <w:rsid w:val="009C205E"/>
    <w:rsid w:val="009C5038"/>
    <w:rsid w:val="009C59C3"/>
    <w:rsid w:val="009D3C00"/>
    <w:rsid w:val="009D4AB3"/>
    <w:rsid w:val="009D68A1"/>
    <w:rsid w:val="009E0533"/>
    <w:rsid w:val="009E20E1"/>
    <w:rsid w:val="009E4656"/>
    <w:rsid w:val="009E596C"/>
    <w:rsid w:val="009E6B89"/>
    <w:rsid w:val="009F2E47"/>
    <w:rsid w:val="009F4491"/>
    <w:rsid w:val="009F7333"/>
    <w:rsid w:val="009F7804"/>
    <w:rsid w:val="00A00BB4"/>
    <w:rsid w:val="00A04B4D"/>
    <w:rsid w:val="00A0549C"/>
    <w:rsid w:val="00A06457"/>
    <w:rsid w:val="00A07EC1"/>
    <w:rsid w:val="00A136DC"/>
    <w:rsid w:val="00A13DD6"/>
    <w:rsid w:val="00A20D8B"/>
    <w:rsid w:val="00A24D70"/>
    <w:rsid w:val="00A25BC7"/>
    <w:rsid w:val="00A33E4F"/>
    <w:rsid w:val="00A41CAE"/>
    <w:rsid w:val="00A41CF1"/>
    <w:rsid w:val="00A43A4E"/>
    <w:rsid w:val="00A453BD"/>
    <w:rsid w:val="00A51688"/>
    <w:rsid w:val="00A52D7F"/>
    <w:rsid w:val="00A53180"/>
    <w:rsid w:val="00A552B1"/>
    <w:rsid w:val="00A55DEB"/>
    <w:rsid w:val="00A623AB"/>
    <w:rsid w:val="00A667F2"/>
    <w:rsid w:val="00A677F0"/>
    <w:rsid w:val="00A7557C"/>
    <w:rsid w:val="00A84005"/>
    <w:rsid w:val="00A84AAF"/>
    <w:rsid w:val="00A95CDB"/>
    <w:rsid w:val="00A97024"/>
    <w:rsid w:val="00AA63E5"/>
    <w:rsid w:val="00AA6404"/>
    <w:rsid w:val="00AB3D81"/>
    <w:rsid w:val="00AC43D0"/>
    <w:rsid w:val="00AC5A2A"/>
    <w:rsid w:val="00AD3DD4"/>
    <w:rsid w:val="00AE6437"/>
    <w:rsid w:val="00AF6F0A"/>
    <w:rsid w:val="00B0074D"/>
    <w:rsid w:val="00B0235D"/>
    <w:rsid w:val="00B06238"/>
    <w:rsid w:val="00B071D9"/>
    <w:rsid w:val="00B10A6E"/>
    <w:rsid w:val="00B22D63"/>
    <w:rsid w:val="00B27E0C"/>
    <w:rsid w:val="00B30FA0"/>
    <w:rsid w:val="00B34006"/>
    <w:rsid w:val="00B348D2"/>
    <w:rsid w:val="00B3746F"/>
    <w:rsid w:val="00B404A5"/>
    <w:rsid w:val="00B52713"/>
    <w:rsid w:val="00B537DF"/>
    <w:rsid w:val="00B62B0E"/>
    <w:rsid w:val="00B66B26"/>
    <w:rsid w:val="00B66F2E"/>
    <w:rsid w:val="00B6784E"/>
    <w:rsid w:val="00B709B6"/>
    <w:rsid w:val="00B77F3D"/>
    <w:rsid w:val="00B827B0"/>
    <w:rsid w:val="00B8757C"/>
    <w:rsid w:val="00B93274"/>
    <w:rsid w:val="00B966B3"/>
    <w:rsid w:val="00BA2973"/>
    <w:rsid w:val="00BA42F6"/>
    <w:rsid w:val="00BA6BCA"/>
    <w:rsid w:val="00BB36FC"/>
    <w:rsid w:val="00BB3EF4"/>
    <w:rsid w:val="00BB5963"/>
    <w:rsid w:val="00BB5A03"/>
    <w:rsid w:val="00BB6018"/>
    <w:rsid w:val="00BB7797"/>
    <w:rsid w:val="00BC1BA3"/>
    <w:rsid w:val="00BC1E84"/>
    <w:rsid w:val="00BC6A07"/>
    <w:rsid w:val="00BC7450"/>
    <w:rsid w:val="00BC770F"/>
    <w:rsid w:val="00BD10F3"/>
    <w:rsid w:val="00BE2E88"/>
    <w:rsid w:val="00BE33D3"/>
    <w:rsid w:val="00BE7075"/>
    <w:rsid w:val="00BF42A4"/>
    <w:rsid w:val="00BF7275"/>
    <w:rsid w:val="00C05339"/>
    <w:rsid w:val="00C0581A"/>
    <w:rsid w:val="00C07C4B"/>
    <w:rsid w:val="00C1164E"/>
    <w:rsid w:val="00C118DF"/>
    <w:rsid w:val="00C31D9D"/>
    <w:rsid w:val="00C32AD3"/>
    <w:rsid w:val="00C44632"/>
    <w:rsid w:val="00C508DD"/>
    <w:rsid w:val="00C62E13"/>
    <w:rsid w:val="00C64F5A"/>
    <w:rsid w:val="00C65066"/>
    <w:rsid w:val="00C662CC"/>
    <w:rsid w:val="00C71C0A"/>
    <w:rsid w:val="00C72641"/>
    <w:rsid w:val="00C770AA"/>
    <w:rsid w:val="00C81B4D"/>
    <w:rsid w:val="00C86DEF"/>
    <w:rsid w:val="00C94C26"/>
    <w:rsid w:val="00C95E3F"/>
    <w:rsid w:val="00CA0699"/>
    <w:rsid w:val="00CA6DB6"/>
    <w:rsid w:val="00CB57EA"/>
    <w:rsid w:val="00CB580B"/>
    <w:rsid w:val="00CB6913"/>
    <w:rsid w:val="00CC6257"/>
    <w:rsid w:val="00CD1977"/>
    <w:rsid w:val="00CD2FB6"/>
    <w:rsid w:val="00CD61DB"/>
    <w:rsid w:val="00CE3CA6"/>
    <w:rsid w:val="00CE6481"/>
    <w:rsid w:val="00D01D8E"/>
    <w:rsid w:val="00D05953"/>
    <w:rsid w:val="00D0688D"/>
    <w:rsid w:val="00D13F70"/>
    <w:rsid w:val="00D14F74"/>
    <w:rsid w:val="00D17236"/>
    <w:rsid w:val="00D20027"/>
    <w:rsid w:val="00D201E3"/>
    <w:rsid w:val="00D21E92"/>
    <w:rsid w:val="00D25BD2"/>
    <w:rsid w:val="00D31701"/>
    <w:rsid w:val="00D333B6"/>
    <w:rsid w:val="00D35818"/>
    <w:rsid w:val="00D365DD"/>
    <w:rsid w:val="00D5380D"/>
    <w:rsid w:val="00D5546D"/>
    <w:rsid w:val="00D555FA"/>
    <w:rsid w:val="00D63968"/>
    <w:rsid w:val="00D63A26"/>
    <w:rsid w:val="00D6468F"/>
    <w:rsid w:val="00D66C91"/>
    <w:rsid w:val="00D748B6"/>
    <w:rsid w:val="00D810EA"/>
    <w:rsid w:val="00D83074"/>
    <w:rsid w:val="00D85A97"/>
    <w:rsid w:val="00D87BE4"/>
    <w:rsid w:val="00D93F65"/>
    <w:rsid w:val="00D95D3C"/>
    <w:rsid w:val="00D965C2"/>
    <w:rsid w:val="00DA30C2"/>
    <w:rsid w:val="00DA4310"/>
    <w:rsid w:val="00DA4944"/>
    <w:rsid w:val="00DB0DC2"/>
    <w:rsid w:val="00DB2198"/>
    <w:rsid w:val="00DC20D2"/>
    <w:rsid w:val="00DC5BC1"/>
    <w:rsid w:val="00DC5D51"/>
    <w:rsid w:val="00DC70EE"/>
    <w:rsid w:val="00DD347F"/>
    <w:rsid w:val="00DE2924"/>
    <w:rsid w:val="00DE2F21"/>
    <w:rsid w:val="00DF0728"/>
    <w:rsid w:val="00DF74C6"/>
    <w:rsid w:val="00E05711"/>
    <w:rsid w:val="00E0595E"/>
    <w:rsid w:val="00E069BA"/>
    <w:rsid w:val="00E12B3F"/>
    <w:rsid w:val="00E12C44"/>
    <w:rsid w:val="00E14386"/>
    <w:rsid w:val="00E2524A"/>
    <w:rsid w:val="00E254A9"/>
    <w:rsid w:val="00E264AE"/>
    <w:rsid w:val="00E414AD"/>
    <w:rsid w:val="00E42914"/>
    <w:rsid w:val="00E4454E"/>
    <w:rsid w:val="00E44664"/>
    <w:rsid w:val="00E46175"/>
    <w:rsid w:val="00E63887"/>
    <w:rsid w:val="00E653DC"/>
    <w:rsid w:val="00E71B84"/>
    <w:rsid w:val="00E73AAF"/>
    <w:rsid w:val="00E754DE"/>
    <w:rsid w:val="00E75AD2"/>
    <w:rsid w:val="00E7681C"/>
    <w:rsid w:val="00E81001"/>
    <w:rsid w:val="00E81843"/>
    <w:rsid w:val="00E81DF0"/>
    <w:rsid w:val="00E87C8A"/>
    <w:rsid w:val="00E91E4E"/>
    <w:rsid w:val="00EB0B7F"/>
    <w:rsid w:val="00EB2320"/>
    <w:rsid w:val="00EB4C99"/>
    <w:rsid w:val="00EC008E"/>
    <w:rsid w:val="00EC5477"/>
    <w:rsid w:val="00ED01BA"/>
    <w:rsid w:val="00ED2432"/>
    <w:rsid w:val="00ED333E"/>
    <w:rsid w:val="00ED5D81"/>
    <w:rsid w:val="00ED7CF5"/>
    <w:rsid w:val="00EE1D87"/>
    <w:rsid w:val="00EE7045"/>
    <w:rsid w:val="00EF7FC4"/>
    <w:rsid w:val="00F0482C"/>
    <w:rsid w:val="00F057A8"/>
    <w:rsid w:val="00F128CD"/>
    <w:rsid w:val="00F13AE9"/>
    <w:rsid w:val="00F16854"/>
    <w:rsid w:val="00F2424A"/>
    <w:rsid w:val="00F2430E"/>
    <w:rsid w:val="00F31609"/>
    <w:rsid w:val="00F36279"/>
    <w:rsid w:val="00F413BD"/>
    <w:rsid w:val="00F44C4D"/>
    <w:rsid w:val="00F53773"/>
    <w:rsid w:val="00F55278"/>
    <w:rsid w:val="00F55A55"/>
    <w:rsid w:val="00F56C8A"/>
    <w:rsid w:val="00F628A7"/>
    <w:rsid w:val="00F634BF"/>
    <w:rsid w:val="00F64165"/>
    <w:rsid w:val="00F756BB"/>
    <w:rsid w:val="00F75AFE"/>
    <w:rsid w:val="00F77119"/>
    <w:rsid w:val="00F822E2"/>
    <w:rsid w:val="00F83044"/>
    <w:rsid w:val="00F83E01"/>
    <w:rsid w:val="00F85FA6"/>
    <w:rsid w:val="00F8699E"/>
    <w:rsid w:val="00F91469"/>
    <w:rsid w:val="00F939AA"/>
    <w:rsid w:val="00F959BB"/>
    <w:rsid w:val="00F9774F"/>
    <w:rsid w:val="00FA04E3"/>
    <w:rsid w:val="00FA0F1E"/>
    <w:rsid w:val="00FA372A"/>
    <w:rsid w:val="00FB1CBC"/>
    <w:rsid w:val="00FB5E4E"/>
    <w:rsid w:val="00FB5E72"/>
    <w:rsid w:val="00FC04B9"/>
    <w:rsid w:val="00FC0BC0"/>
    <w:rsid w:val="00FC5BE1"/>
    <w:rsid w:val="00FD484D"/>
    <w:rsid w:val="00FD5C2D"/>
    <w:rsid w:val="00FE16F8"/>
    <w:rsid w:val="00FE1A9F"/>
    <w:rsid w:val="00FE58F1"/>
    <w:rsid w:val="00FF3706"/>
    <w:rsid w:val="00FF768B"/>
    <w:rsid w:val="014F62B5"/>
    <w:rsid w:val="07D59876"/>
    <w:rsid w:val="18348483"/>
    <w:rsid w:val="1B09FCE3"/>
    <w:rsid w:val="1FCE9F11"/>
    <w:rsid w:val="20F9238C"/>
    <w:rsid w:val="224710C0"/>
    <w:rsid w:val="23E82F7C"/>
    <w:rsid w:val="29353C05"/>
    <w:rsid w:val="293E6B40"/>
    <w:rsid w:val="39EB61A1"/>
    <w:rsid w:val="417B966B"/>
    <w:rsid w:val="4263285C"/>
    <w:rsid w:val="594269BE"/>
    <w:rsid w:val="5C5A0B46"/>
    <w:rsid w:val="600967BD"/>
    <w:rsid w:val="6250FCA5"/>
    <w:rsid w:val="6B80D9C9"/>
    <w:rsid w:val="6EB87A8B"/>
    <w:rsid w:val="71700072"/>
    <w:rsid w:val="7B7E48DA"/>
    <w:rsid w:val="7D1B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2E373"/>
  <w15:chartTrackingRefBased/>
  <w15:docId w15:val="{74C76DF2-2123-4012-9EAB-0B93A094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D2"/>
    <w:pPr>
      <w:spacing w:line="276" w:lineRule="auto"/>
    </w:pPr>
    <w:rPr>
      <w:rFonts w:ascii="Georgia" w:eastAsia="Calibri" w:hAnsi="Georgia" w:cs="Times New Roman"/>
      <w:color w:val="585756"/>
      <w:sz w:val="21"/>
      <w:lang w:val="en-GB"/>
    </w:rPr>
  </w:style>
  <w:style w:type="paragraph" w:styleId="Heading1">
    <w:name w:val="heading 1"/>
    <w:aliases w:val="Title 1"/>
    <w:basedOn w:val="Normal"/>
    <w:next w:val="Normal"/>
    <w:link w:val="Heading1Char"/>
    <w:uiPriority w:val="9"/>
    <w:qFormat/>
    <w:rsid w:val="004F07DF"/>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aliases w:val="Title 2"/>
    <w:basedOn w:val="Normal"/>
    <w:next w:val="Normal"/>
    <w:link w:val="Heading2Char"/>
    <w:uiPriority w:val="9"/>
    <w:unhideWhenUsed/>
    <w:qFormat/>
    <w:rsid w:val="004F07DF"/>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Title 3"/>
    <w:basedOn w:val="ListParagraph"/>
    <w:next w:val="Normal"/>
    <w:link w:val="Heading3Char"/>
    <w:uiPriority w:val="9"/>
    <w:unhideWhenUsed/>
    <w:qFormat/>
    <w:rsid w:val="004F07DF"/>
    <w:pPr>
      <w:numPr>
        <w:ilvl w:val="2"/>
        <w:numId w:val="2"/>
      </w:numPr>
      <w:autoSpaceDE w:val="0"/>
      <w:autoSpaceDN w:val="0"/>
      <w:adjustRightInd w:val="0"/>
      <w:spacing w:before="60" w:after="60" w:line="240" w:lineRule="auto"/>
      <w:outlineLvl w:val="2"/>
    </w:pPr>
    <w:rPr>
      <w:rFonts w:ascii="Calibri" w:hAnsi="Calibri" w:cs="Calibri-Bold"/>
      <w:b/>
      <w:bCs/>
      <w:sz w:val="24"/>
      <w:szCs w:val="24"/>
    </w:rPr>
  </w:style>
  <w:style w:type="paragraph" w:styleId="Heading4">
    <w:name w:val="heading 4"/>
    <w:aliases w:val="Title 4"/>
    <w:basedOn w:val="Normal"/>
    <w:next w:val="Normal"/>
    <w:link w:val="Heading4Char"/>
    <w:uiPriority w:val="9"/>
    <w:unhideWhenUsed/>
    <w:qFormat/>
    <w:rsid w:val="004F07DF"/>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iPriority w:val="9"/>
    <w:unhideWhenUsed/>
    <w:qFormat/>
    <w:rsid w:val="004F07DF"/>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unhideWhenUsed/>
    <w:qFormat/>
    <w:rsid w:val="004F07DF"/>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iPriority w:val="9"/>
    <w:unhideWhenUsed/>
    <w:qFormat/>
    <w:rsid w:val="004F07DF"/>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unhideWhenUsed/>
    <w:qFormat/>
    <w:rsid w:val="004F07DF"/>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iPriority w:val="9"/>
    <w:unhideWhenUsed/>
    <w:qFormat/>
    <w:rsid w:val="004F07DF"/>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uiPriority w:val="9"/>
    <w:rsid w:val="004F07DF"/>
    <w:rPr>
      <w:rFonts w:ascii="Calibri" w:eastAsia="Calibri" w:hAnsi="Calibri" w:cs="Calibri"/>
      <w:b/>
      <w:color w:val="FFFFFF"/>
      <w:sz w:val="32"/>
      <w:szCs w:val="32"/>
      <w:shd w:val="clear" w:color="auto" w:fill="D81A1C"/>
      <w:lang w:val="en-GB"/>
    </w:rPr>
  </w:style>
  <w:style w:type="character" w:customStyle="1" w:styleId="Heading2Char">
    <w:name w:val="Heading 2 Char"/>
    <w:aliases w:val="Title 2 Char"/>
    <w:basedOn w:val="DefaultParagraphFont"/>
    <w:link w:val="Heading2"/>
    <w:uiPriority w:val="9"/>
    <w:rsid w:val="004F07DF"/>
    <w:rPr>
      <w:rFonts w:ascii="Calibri" w:eastAsia="Times New Roman" w:hAnsi="Calibri" w:cs="Times New Roman"/>
      <w:b/>
      <w:color w:val="D81A1A"/>
      <w:sz w:val="28"/>
      <w:szCs w:val="26"/>
      <w:lang w:val="en-GB"/>
    </w:rPr>
  </w:style>
  <w:style w:type="character" w:customStyle="1" w:styleId="Heading3Char">
    <w:name w:val="Heading 3 Char"/>
    <w:aliases w:val="Car Char,Title 3 Char"/>
    <w:basedOn w:val="DefaultParagraphFont"/>
    <w:link w:val="Heading3"/>
    <w:uiPriority w:val="9"/>
    <w:rsid w:val="004F07DF"/>
    <w:rPr>
      <w:rFonts w:ascii="Calibri" w:eastAsia="Calibri" w:hAnsi="Calibri" w:cs="Calibri-Bold"/>
      <w:b/>
      <w:bCs/>
      <w:color w:val="585756"/>
      <w:sz w:val="24"/>
      <w:szCs w:val="24"/>
      <w:lang w:val="en-GB"/>
    </w:rPr>
  </w:style>
  <w:style w:type="character" w:customStyle="1" w:styleId="Heading4Char">
    <w:name w:val="Heading 4 Char"/>
    <w:aliases w:val="Title 4 Char"/>
    <w:basedOn w:val="DefaultParagraphFont"/>
    <w:link w:val="Heading4"/>
    <w:uiPriority w:val="9"/>
    <w:rsid w:val="004F07DF"/>
    <w:rPr>
      <w:rFonts w:ascii="Calibri" w:eastAsia="Times New Roman" w:hAnsi="Calibri" w:cs="Times New Roman"/>
      <w:b/>
      <w:iCs/>
      <w:color w:val="585756"/>
      <w:sz w:val="21"/>
      <w:lang w:val="en-GB"/>
    </w:rPr>
  </w:style>
  <w:style w:type="character" w:customStyle="1" w:styleId="Heading5Char">
    <w:name w:val="Heading 5 Char"/>
    <w:aliases w:val="(1.1.1.1.1.) Char,a Char"/>
    <w:basedOn w:val="DefaultParagraphFont"/>
    <w:link w:val="Heading5"/>
    <w:uiPriority w:val="9"/>
    <w:rsid w:val="004F07DF"/>
    <w:rPr>
      <w:rFonts w:ascii="Calibri Light" w:eastAsia="Times New Roman" w:hAnsi="Calibri Light" w:cs="Times New Roman"/>
      <w:color w:val="2E74B5"/>
      <w:sz w:val="21"/>
      <w:lang w:val="en-GB"/>
    </w:rPr>
  </w:style>
  <w:style w:type="character" w:customStyle="1" w:styleId="Heading6Char">
    <w:name w:val="Heading 6 Char"/>
    <w:basedOn w:val="DefaultParagraphFont"/>
    <w:link w:val="Heading6"/>
    <w:uiPriority w:val="9"/>
    <w:rsid w:val="004F07DF"/>
    <w:rPr>
      <w:rFonts w:ascii="Calibri Light" w:eastAsia="Times New Roman" w:hAnsi="Calibri Light" w:cs="Times New Roman"/>
      <w:color w:val="1F4D78"/>
      <w:sz w:val="21"/>
      <w:lang w:val="en-GB"/>
    </w:rPr>
  </w:style>
  <w:style w:type="character" w:customStyle="1" w:styleId="Heading7Char">
    <w:name w:val="Heading 7 Char"/>
    <w:aliases w:val="centré 12 Char"/>
    <w:basedOn w:val="DefaultParagraphFont"/>
    <w:link w:val="Heading7"/>
    <w:uiPriority w:val="9"/>
    <w:rsid w:val="004F07DF"/>
    <w:rPr>
      <w:rFonts w:ascii="Calibri Light" w:eastAsia="Times New Roman" w:hAnsi="Calibri Light" w:cs="Times New Roman"/>
      <w:i/>
      <w:iCs/>
      <w:color w:val="1F4D78"/>
      <w:sz w:val="21"/>
      <w:lang w:val="en-GB"/>
    </w:rPr>
  </w:style>
  <w:style w:type="character" w:customStyle="1" w:styleId="Heading8Char">
    <w:name w:val="Heading 8 Char"/>
    <w:basedOn w:val="DefaultParagraphFont"/>
    <w:link w:val="Heading8"/>
    <w:uiPriority w:val="9"/>
    <w:rsid w:val="004F07DF"/>
    <w:rPr>
      <w:rFonts w:ascii="Calibri Light" w:eastAsia="Times New Roman" w:hAnsi="Calibri Light" w:cs="Times New Roman"/>
      <w:color w:val="272727"/>
      <w:sz w:val="21"/>
      <w:szCs w:val="21"/>
      <w:lang w:val="en-GB"/>
    </w:rPr>
  </w:style>
  <w:style w:type="character" w:customStyle="1" w:styleId="Heading9Char">
    <w:name w:val="Heading 9 Char"/>
    <w:aliases w:val="Heading 9-paranum Char"/>
    <w:basedOn w:val="DefaultParagraphFont"/>
    <w:link w:val="Heading9"/>
    <w:uiPriority w:val="9"/>
    <w:rsid w:val="004F07DF"/>
    <w:rPr>
      <w:rFonts w:ascii="Calibri Light" w:eastAsia="Times New Roman" w:hAnsi="Calibri Light" w:cs="Times New Roman"/>
      <w:i/>
      <w:iCs/>
      <w:color w:val="272727"/>
      <w:sz w:val="21"/>
      <w:szCs w:val="21"/>
      <w:lang w:val="en-GB"/>
    </w:rPr>
  </w:style>
  <w:style w:type="paragraph" w:styleId="ListParagraph">
    <w:name w:val="List Paragraph"/>
    <w:aliases w:val="Bullet 1,List Paragraph1,Liste Niveau 1,List Paragraph11,List Paragraph (numbered (a)),Lapis Bulleted List,AB List 1,Bullet Points,WB Para,Dot pt,F5 List Paragraph,No Spacing1,List Paragraph Char Char Char,Indicator Text,L"/>
    <w:basedOn w:val="Normal"/>
    <w:link w:val="ListParagraphChar"/>
    <w:qFormat/>
    <w:rsid w:val="004F07DF"/>
    <w:pPr>
      <w:ind w:left="720"/>
      <w:contextualSpacing/>
    </w:pPr>
  </w:style>
  <w:style w:type="character" w:customStyle="1" w:styleId="ListParagraphChar">
    <w:name w:val="List Paragraph Char"/>
    <w:aliases w:val="Bullet 1 Char,List Paragraph1 Char,Liste Niveau 1 Char,List Paragraph11 Char,List Paragraph (numbered (a)) Char,Lapis Bulleted List Char,AB List 1 Char,Bullet Points Char,WB Para Char,Dot pt Char,F5 List Paragraph Char,L Char"/>
    <w:link w:val="ListParagraph"/>
    <w:qFormat/>
    <w:rsid w:val="004F07DF"/>
    <w:rPr>
      <w:rFonts w:ascii="Georgia" w:eastAsia="Calibri" w:hAnsi="Georgia" w:cs="Times New Roman"/>
      <w:color w:val="585756"/>
      <w:sz w:val="21"/>
      <w:lang w:val="en-GB"/>
    </w:rPr>
  </w:style>
  <w:style w:type="paragraph" w:customStyle="1" w:styleId="Titrecouverture">
    <w:name w:val="Titre couverture"/>
    <w:basedOn w:val="Normal"/>
    <w:link w:val="TitrecouvertureCar"/>
    <w:qFormat/>
    <w:rsid w:val="004F07DF"/>
    <w:rPr>
      <w:rFonts w:ascii="Calibri" w:hAnsi="Calibri"/>
      <w:sz w:val="32"/>
    </w:rPr>
  </w:style>
  <w:style w:type="character" w:customStyle="1" w:styleId="TitrecouvertureCar">
    <w:name w:val="Titre couverture Car"/>
    <w:link w:val="Titrecouverture"/>
    <w:rsid w:val="004F07DF"/>
    <w:rPr>
      <w:rFonts w:ascii="Calibri" w:eastAsia="Calibri" w:hAnsi="Calibri" w:cs="Times New Roman"/>
      <w:color w:val="585756"/>
      <w:sz w:val="32"/>
      <w:lang w:val="en-GB"/>
    </w:rPr>
  </w:style>
  <w:style w:type="character" w:styleId="PlaceholderText">
    <w:name w:val="Placeholder Text"/>
    <w:uiPriority w:val="99"/>
    <w:semiHidden/>
    <w:rsid w:val="004F07DF"/>
    <w:rPr>
      <w:color w:val="808080"/>
    </w:rPr>
  </w:style>
  <w:style w:type="paragraph" w:styleId="Title">
    <w:name w:val="Title"/>
    <w:aliases w:val="Titre4"/>
    <w:basedOn w:val="ListParagraph"/>
    <w:next w:val="Normal"/>
    <w:link w:val="TitleChar"/>
    <w:uiPriority w:val="10"/>
    <w:rsid w:val="004F07DF"/>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4F07DF"/>
    <w:rPr>
      <w:rFonts w:ascii="Calibri" w:eastAsia="Calibri" w:hAnsi="Calibri" w:cs="Calibri-Bold"/>
      <w:b/>
      <w:bCs/>
      <w:color w:val="333333"/>
      <w:sz w:val="21"/>
      <w:szCs w:val="21"/>
      <w:lang w:val="en-GB"/>
    </w:rPr>
  </w:style>
  <w:style w:type="paragraph" w:customStyle="1" w:styleId="Basdepage">
    <w:name w:val="Bas de page"/>
    <w:basedOn w:val="Normal"/>
    <w:link w:val="BasdepageCar"/>
    <w:qFormat/>
    <w:rsid w:val="004F07DF"/>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4F07DF"/>
    <w:rPr>
      <w:rFonts w:ascii="Calibri" w:eastAsia="Times New Roman" w:hAnsi="Calibri" w:cs="Times New Roman"/>
      <w:color w:val="585756"/>
      <w:sz w:val="18"/>
      <w:szCs w:val="24"/>
      <w:lang w:val="en-GB"/>
    </w:rPr>
  </w:style>
  <w:style w:type="paragraph" w:styleId="Header">
    <w:name w:val="header"/>
    <w:basedOn w:val="Normal"/>
    <w:link w:val="HeaderChar"/>
    <w:uiPriority w:val="99"/>
    <w:unhideWhenUsed/>
    <w:rsid w:val="004F07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07DF"/>
    <w:rPr>
      <w:rFonts w:ascii="Georgia" w:eastAsia="Calibri" w:hAnsi="Georgia" w:cs="Times New Roman"/>
      <w:color w:val="585756"/>
      <w:sz w:val="21"/>
      <w:lang w:val="en-GB"/>
    </w:rPr>
  </w:style>
  <w:style w:type="paragraph" w:styleId="Footer">
    <w:name w:val="footer"/>
    <w:basedOn w:val="Normal"/>
    <w:link w:val="FooterChar"/>
    <w:unhideWhenUsed/>
    <w:rsid w:val="004F07DF"/>
    <w:pPr>
      <w:tabs>
        <w:tab w:val="center" w:pos="4536"/>
        <w:tab w:val="right" w:pos="9072"/>
      </w:tabs>
      <w:spacing w:after="0" w:line="240" w:lineRule="auto"/>
    </w:pPr>
  </w:style>
  <w:style w:type="character" w:customStyle="1" w:styleId="FooterChar">
    <w:name w:val="Footer Char"/>
    <w:basedOn w:val="DefaultParagraphFont"/>
    <w:link w:val="Footer"/>
    <w:rsid w:val="004F07DF"/>
    <w:rPr>
      <w:rFonts w:ascii="Georgia" w:eastAsia="Calibri" w:hAnsi="Georgia" w:cs="Times New Roman"/>
      <w:color w:val="585756"/>
      <w:sz w:val="21"/>
      <w:lang w:val="en-GB"/>
    </w:rPr>
  </w:style>
  <w:style w:type="character" w:styleId="Hyperlink">
    <w:name w:val="Hyperlink"/>
    <w:uiPriority w:val="99"/>
    <w:unhideWhenUsed/>
    <w:rsid w:val="004F07DF"/>
    <w:rPr>
      <w:color w:val="0563C1"/>
      <w:u w:val="single"/>
    </w:rPr>
  </w:style>
  <w:style w:type="paragraph" w:styleId="Subtitle">
    <w:name w:val="Subtitle"/>
    <w:basedOn w:val="Titrecouverture"/>
    <w:next w:val="Normal"/>
    <w:link w:val="SubtitleChar"/>
    <w:uiPriority w:val="11"/>
    <w:qFormat/>
    <w:rsid w:val="004F07DF"/>
  </w:style>
  <w:style w:type="character" w:customStyle="1" w:styleId="SubtitleChar">
    <w:name w:val="Subtitle Char"/>
    <w:basedOn w:val="DefaultParagraphFont"/>
    <w:link w:val="Subtitle"/>
    <w:uiPriority w:val="11"/>
    <w:rsid w:val="004F07DF"/>
    <w:rPr>
      <w:rFonts w:ascii="Calibri" w:eastAsia="Calibri" w:hAnsi="Calibri" w:cs="Times New Roman"/>
      <w:color w:val="585756"/>
      <w:sz w:val="32"/>
      <w:lang w:val="en-GB"/>
    </w:rPr>
  </w:style>
  <w:style w:type="paragraph" w:styleId="TOC1">
    <w:name w:val="toc 1"/>
    <w:basedOn w:val="Normal"/>
    <w:next w:val="Normal"/>
    <w:autoRedefine/>
    <w:uiPriority w:val="39"/>
    <w:unhideWhenUsed/>
    <w:rsid w:val="004F07DF"/>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4F07DF"/>
    <w:pPr>
      <w:spacing w:after="100"/>
      <w:ind w:left="210"/>
    </w:pPr>
    <w:rPr>
      <w:rFonts w:ascii="Calibri" w:hAnsi="Calibri"/>
    </w:rPr>
  </w:style>
  <w:style w:type="paragraph" w:styleId="TOC3">
    <w:name w:val="toc 3"/>
    <w:basedOn w:val="Normal"/>
    <w:next w:val="Normal"/>
    <w:autoRedefine/>
    <w:uiPriority w:val="39"/>
    <w:unhideWhenUsed/>
    <w:rsid w:val="004F07DF"/>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4F07DF"/>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4F07DF"/>
    <w:pPr>
      <w:tabs>
        <w:tab w:val="left" w:pos="879"/>
        <w:tab w:val="right" w:leader="dot" w:pos="8494"/>
      </w:tabs>
      <w:spacing w:after="100"/>
      <w:ind w:left="210"/>
    </w:pPr>
    <w:rPr>
      <w:rFonts w:ascii="Calibri" w:hAnsi="Calibri"/>
    </w:rPr>
  </w:style>
  <w:style w:type="paragraph" w:styleId="FootnoteText">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FootnoteTextChar"/>
    <w:unhideWhenUsed/>
    <w:qFormat/>
    <w:rsid w:val="004F07DF"/>
    <w:pPr>
      <w:spacing w:after="0" w:line="240" w:lineRule="auto"/>
    </w:pPr>
    <w:rPr>
      <w:rFonts w:ascii="Calibri" w:hAnsi="Calibri"/>
      <w:sz w:val="14"/>
      <w:szCs w:val="20"/>
    </w:rPr>
  </w:style>
  <w:style w:type="character" w:customStyle="1" w:styleId="FootnoteTextChar">
    <w:name w:val="Footnote Text Char"/>
    <w:aliases w:val="CTB Bas de page Char,Footnote Char,12pt Char,fn Char,single space Char,footnote text Char,ALTS FOOTNOTE Char,Footnote Text Quote Char,FOOTNOTES Char,Note de bas de page2 Char,Note de bas de page Car Car Car Char,Footnote Text1 Char"/>
    <w:basedOn w:val="DefaultParagraphFont"/>
    <w:link w:val="FootnoteText"/>
    <w:rsid w:val="004F07DF"/>
    <w:rPr>
      <w:rFonts w:ascii="Calibri" w:eastAsia="Calibri" w:hAnsi="Calibri" w:cs="Times New Roman"/>
      <w:color w:val="585756"/>
      <w:sz w:val="14"/>
      <w:szCs w:val="20"/>
      <w:lang w:val="en-GB"/>
    </w:rPr>
  </w:style>
  <w:style w:type="character" w:styleId="FootnoteReference">
    <w:name w:val="footnote reference"/>
    <w:aliases w:val="ftref,Знак сноски 1,16 Point,Superscript 6 Point,Знак сноски-FN,Ciae niinee-FN,Car Car,Error-Fußnotenzeichen5,Error-Fußnotenzeichen6,Error-Fußnotenzeichen3,Footnote Reference1,BVI fnr,Footnote Reference Number,SUPERS,note bp,Ref"/>
    <w:link w:val="Appelnotedebasdepage"/>
    <w:uiPriority w:val="99"/>
    <w:unhideWhenUsed/>
    <w:qFormat/>
    <w:rsid w:val="004F07DF"/>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FootnoteReference"/>
    <w:uiPriority w:val="99"/>
    <w:rsid w:val="004F07DF"/>
    <w:pPr>
      <w:spacing w:line="240" w:lineRule="exact"/>
    </w:pPr>
    <w:rPr>
      <w:rFonts w:asciiTheme="minorHAnsi" w:eastAsiaTheme="minorHAnsi" w:hAnsiTheme="minorHAnsi" w:cstheme="minorBidi"/>
      <w:color w:val="auto"/>
      <w:sz w:val="22"/>
      <w:vertAlign w:val="superscript"/>
      <w:lang w:val="en-US"/>
    </w:rPr>
  </w:style>
  <w:style w:type="paragraph" w:customStyle="1" w:styleId="notedebasdepage">
    <w:name w:val="note de bas de page"/>
    <w:basedOn w:val="Normal"/>
    <w:link w:val="notedebasdepageCar"/>
    <w:qFormat/>
    <w:rsid w:val="004F07DF"/>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4F07DF"/>
    <w:rPr>
      <w:rFonts w:ascii="Calibri" w:eastAsia="Calibri" w:hAnsi="Calibri" w:cs="Calibri"/>
      <w:color w:val="585756"/>
      <w:sz w:val="14"/>
      <w:szCs w:val="21"/>
      <w:lang w:val="en-GB"/>
    </w:rPr>
  </w:style>
  <w:style w:type="paragraph" w:styleId="BalloonText">
    <w:name w:val="Balloon Text"/>
    <w:basedOn w:val="Normal"/>
    <w:link w:val="BalloonTextChar"/>
    <w:uiPriority w:val="99"/>
    <w:semiHidden/>
    <w:unhideWhenUsed/>
    <w:rsid w:val="004F0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7DF"/>
    <w:rPr>
      <w:rFonts w:ascii="Tahoma" w:eastAsia="Calibri" w:hAnsi="Tahoma" w:cs="Tahoma"/>
      <w:color w:val="585756"/>
      <w:sz w:val="16"/>
      <w:szCs w:val="16"/>
      <w:lang w:val="en-GB"/>
    </w:rPr>
  </w:style>
  <w:style w:type="paragraph" w:styleId="BodyText">
    <w:name w:val="Body Text"/>
    <w:aliases w:val="bt,Body Text Char2,A - Corps de texte,TextMG,Body Text Char Char Char Char,Body Text Char1,Body Text Char Char,Body Text Char1 Char Char Char,Body Text Char1 Char Char Char Char Char,TextM,Rapport-normal"/>
    <w:basedOn w:val="Normal"/>
    <w:link w:val="BodyTextChar3"/>
    <w:rsid w:val="004F07DF"/>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basedOn w:val="DefaultParagraphFont"/>
    <w:uiPriority w:val="99"/>
    <w:semiHidden/>
    <w:rsid w:val="004F07DF"/>
    <w:rPr>
      <w:rFonts w:ascii="Georgia" w:eastAsia="Calibri" w:hAnsi="Georgia" w:cs="Times New Roman"/>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
    <w:link w:val="BodyText"/>
    <w:rsid w:val="004F07DF"/>
    <w:rPr>
      <w:rFonts w:ascii="Arial" w:eastAsia="DejaVu Sans" w:hAnsi="Arial" w:cs="Tahoma"/>
      <w:kern w:val="18"/>
      <w:sz w:val="20"/>
      <w:szCs w:val="24"/>
      <w:lang w:val="en-GB"/>
    </w:rPr>
  </w:style>
  <w:style w:type="paragraph" w:customStyle="1" w:styleId="BankNormal">
    <w:name w:val="BankNormal"/>
    <w:basedOn w:val="Normal"/>
    <w:rsid w:val="004F07DF"/>
    <w:pPr>
      <w:numPr>
        <w:numId w:val="3"/>
      </w:numPr>
      <w:tabs>
        <w:tab w:val="clear" w:pos="720"/>
      </w:tabs>
      <w:spacing w:after="240" w:line="240" w:lineRule="auto"/>
      <w:ind w:left="446" w:hanging="446"/>
    </w:pPr>
    <w:rPr>
      <w:rFonts w:ascii="Times New Roman" w:eastAsia="Times New Roman" w:hAnsi="Times New Roman"/>
      <w:noProof/>
      <w:color w:val="auto"/>
      <w:sz w:val="22"/>
      <w:szCs w:val="20"/>
    </w:rPr>
  </w:style>
  <w:style w:type="paragraph" w:customStyle="1" w:styleId="BTCtextCTB">
    <w:name w:val="BTC text CTB"/>
    <w:rsid w:val="004F07DF"/>
    <w:pPr>
      <w:spacing w:before="120" w:after="120" w:line="240" w:lineRule="auto"/>
      <w:jc w:val="both"/>
    </w:pPr>
    <w:rPr>
      <w:rFonts w:ascii="Garamond" w:eastAsia="Times New Roman" w:hAnsi="Garamond" w:cs="Times New Roman"/>
      <w:sz w:val="24"/>
      <w:szCs w:val="20"/>
      <w:lang w:val="en-GB"/>
    </w:rPr>
  </w:style>
  <w:style w:type="paragraph" w:customStyle="1" w:styleId="BTCbulletsCTB">
    <w:name w:val="BTC bullets CTB"/>
    <w:basedOn w:val="Normal"/>
    <w:rsid w:val="004F07DF"/>
    <w:pPr>
      <w:spacing w:after="0" w:line="240" w:lineRule="auto"/>
    </w:pPr>
    <w:rPr>
      <w:rFonts w:ascii="Garamond" w:eastAsia="Times New Roman" w:hAnsi="Garamond"/>
      <w:bCs/>
      <w:color w:val="auto"/>
      <w:sz w:val="24"/>
      <w:szCs w:val="24"/>
      <w:lang w:eastAsia="nl-NL"/>
    </w:rPr>
  </w:style>
  <w:style w:type="paragraph" w:styleId="BodyTextIndent2">
    <w:name w:val="Body Text Indent 2"/>
    <w:basedOn w:val="Normal"/>
    <w:link w:val="BodyTextIndent2Char"/>
    <w:uiPriority w:val="99"/>
    <w:semiHidden/>
    <w:unhideWhenUsed/>
    <w:rsid w:val="004F07DF"/>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BodyTextIndent2Char">
    <w:name w:val="Body Text Indent 2 Char"/>
    <w:basedOn w:val="DefaultParagraphFont"/>
    <w:link w:val="BodyTextIndent2"/>
    <w:uiPriority w:val="99"/>
    <w:semiHidden/>
    <w:rsid w:val="004F07DF"/>
    <w:rPr>
      <w:rFonts w:ascii="Arial" w:eastAsia="DejaVu Sans" w:hAnsi="Arial" w:cs="Tahoma"/>
      <w:kern w:val="1"/>
      <w:sz w:val="24"/>
      <w:szCs w:val="24"/>
      <w:lang w:val="en-GB"/>
    </w:rPr>
  </w:style>
  <w:style w:type="paragraph" w:styleId="BodyText2">
    <w:name w:val="Body Text 2"/>
    <w:basedOn w:val="Normal"/>
    <w:link w:val="BodyText2Char"/>
    <w:uiPriority w:val="99"/>
    <w:semiHidden/>
    <w:unhideWhenUsed/>
    <w:rsid w:val="004F07DF"/>
    <w:pPr>
      <w:spacing w:after="120" w:line="480" w:lineRule="auto"/>
    </w:pPr>
  </w:style>
  <w:style w:type="character" w:customStyle="1" w:styleId="BodyText2Char">
    <w:name w:val="Body Text 2 Char"/>
    <w:basedOn w:val="DefaultParagraphFont"/>
    <w:link w:val="BodyText2"/>
    <w:uiPriority w:val="99"/>
    <w:semiHidden/>
    <w:rsid w:val="004F07DF"/>
    <w:rPr>
      <w:rFonts w:ascii="Georgia" w:eastAsia="Calibri" w:hAnsi="Georgia" w:cs="Times New Roman"/>
      <w:color w:val="585756"/>
      <w:sz w:val="21"/>
      <w:lang w:val="en-GB"/>
    </w:rPr>
  </w:style>
  <w:style w:type="paragraph" w:styleId="NormalWeb">
    <w:name w:val="Normal (Web)"/>
    <w:basedOn w:val="Normal"/>
    <w:uiPriority w:val="99"/>
    <w:unhideWhenUsed/>
    <w:rsid w:val="004F07DF"/>
    <w:pPr>
      <w:spacing w:before="100" w:beforeAutospacing="1" w:after="100" w:afterAutospacing="1" w:line="240" w:lineRule="auto"/>
    </w:pPr>
    <w:rPr>
      <w:rFonts w:ascii="Times New Roman" w:eastAsia="Times New Roman" w:hAnsi="Times New Roman"/>
      <w:color w:val="auto"/>
      <w:sz w:val="24"/>
      <w:szCs w:val="24"/>
      <w:lang w:val="fr-BE" w:eastAsia="fr-BE"/>
    </w:rPr>
  </w:style>
  <w:style w:type="table" w:styleId="TableGrid">
    <w:name w:val="Table Grid"/>
    <w:basedOn w:val="TableNormal"/>
    <w:uiPriority w:val="39"/>
    <w:rsid w:val="004F07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Normal"/>
    <w:next w:val="BodyText"/>
    <w:rsid w:val="004F07DF"/>
    <w:pPr>
      <w:keepNext/>
      <w:widowControl w:val="0"/>
      <w:suppressAutoHyphens/>
      <w:spacing w:before="240" w:after="120" w:line="240" w:lineRule="auto"/>
      <w:ind w:left="1584" w:hanging="1584"/>
      <w:outlineLvl w:val="8"/>
    </w:pPr>
    <w:rPr>
      <w:rFonts w:ascii="Arial" w:eastAsia="Arial Unicode MS" w:hAnsi="Arial" w:cs="Tahoma"/>
      <w:b/>
      <w:bCs/>
      <w:color w:val="auto"/>
      <w:kern w:val="1"/>
      <w:szCs w:val="21"/>
      <w:lang w:eastAsia="nl-BE"/>
    </w:rPr>
  </w:style>
  <w:style w:type="character" w:styleId="CommentReference">
    <w:name w:val="annotation reference"/>
    <w:uiPriority w:val="99"/>
    <w:unhideWhenUsed/>
    <w:rsid w:val="004F07DF"/>
    <w:rPr>
      <w:sz w:val="16"/>
      <w:szCs w:val="16"/>
    </w:rPr>
  </w:style>
  <w:style w:type="paragraph" w:styleId="CommentText">
    <w:name w:val="annotation text"/>
    <w:basedOn w:val="Normal"/>
    <w:link w:val="CommentTextChar"/>
    <w:uiPriority w:val="99"/>
    <w:unhideWhenUsed/>
    <w:rsid w:val="004F07DF"/>
    <w:pPr>
      <w:widowControl w:val="0"/>
      <w:suppressAutoHyphens/>
      <w:spacing w:after="0" w:line="240" w:lineRule="auto"/>
    </w:pPr>
    <w:rPr>
      <w:rFonts w:ascii="Arial" w:eastAsia="DejaVu Sans" w:hAnsi="Arial" w:cs="Tahoma"/>
      <w:color w:val="auto"/>
      <w:kern w:val="1"/>
      <w:sz w:val="20"/>
      <w:szCs w:val="20"/>
      <w:lang w:eastAsia="nl-BE"/>
    </w:rPr>
  </w:style>
  <w:style w:type="character" w:customStyle="1" w:styleId="CommentTextChar">
    <w:name w:val="Comment Text Char"/>
    <w:basedOn w:val="DefaultParagraphFont"/>
    <w:link w:val="CommentText"/>
    <w:uiPriority w:val="99"/>
    <w:rsid w:val="004F07DF"/>
    <w:rPr>
      <w:rFonts w:ascii="Arial" w:eastAsia="DejaVu Sans" w:hAnsi="Arial" w:cs="Tahoma"/>
      <w:kern w:val="1"/>
      <w:sz w:val="20"/>
      <w:szCs w:val="20"/>
      <w:lang w:val="en-GB" w:eastAsia="nl-BE"/>
    </w:rPr>
  </w:style>
  <w:style w:type="character" w:customStyle="1" w:styleId="Mention1">
    <w:name w:val="Mention1"/>
    <w:uiPriority w:val="99"/>
    <w:unhideWhenUsed/>
    <w:rsid w:val="004F07DF"/>
    <w:rPr>
      <w:color w:val="2B579A"/>
      <w:shd w:val="clear" w:color="auto" w:fill="E1DFDD"/>
    </w:rPr>
  </w:style>
  <w:style w:type="character" w:customStyle="1" w:styleId="UnresolvedMention1">
    <w:name w:val="Unresolved Mention1"/>
    <w:uiPriority w:val="99"/>
    <w:semiHidden/>
    <w:unhideWhenUsed/>
    <w:rsid w:val="004F07D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F07DF"/>
    <w:pPr>
      <w:widowControl/>
      <w:suppressAutoHyphens w:val="0"/>
      <w:spacing w:after="160"/>
    </w:pPr>
    <w:rPr>
      <w:rFonts w:ascii="Georgia" w:eastAsia="Calibri" w:hAnsi="Georgia" w:cs="Times New Roman"/>
      <w:b/>
      <w:bCs/>
      <w:color w:val="585756"/>
      <w:kern w:val="0"/>
      <w:lang w:eastAsia="en-US"/>
    </w:rPr>
  </w:style>
  <w:style w:type="character" w:customStyle="1" w:styleId="CommentSubjectChar">
    <w:name w:val="Comment Subject Char"/>
    <w:basedOn w:val="CommentTextChar"/>
    <w:link w:val="CommentSubject"/>
    <w:uiPriority w:val="99"/>
    <w:semiHidden/>
    <w:rsid w:val="004F07DF"/>
    <w:rPr>
      <w:rFonts w:ascii="Georgia" w:eastAsia="Calibri" w:hAnsi="Georgia" w:cs="Times New Roman"/>
      <w:b/>
      <w:bCs/>
      <w:color w:val="585756"/>
      <w:kern w:val="1"/>
      <w:sz w:val="20"/>
      <w:szCs w:val="20"/>
      <w:lang w:val="en-GB" w:eastAsia="nl-BE"/>
    </w:rPr>
  </w:style>
  <w:style w:type="paragraph" w:customStyle="1" w:styleId="Default">
    <w:name w:val="Default"/>
    <w:rsid w:val="004F07DF"/>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39"/>
    <w:rsid w:val="004F07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F07DF"/>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F07DF"/>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F07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4F07DF"/>
    <w:pPr>
      <w:spacing w:after="100" w:line="259" w:lineRule="auto"/>
      <w:ind w:left="880"/>
    </w:pPr>
    <w:rPr>
      <w:rFonts w:ascii="Calibri" w:eastAsia="MS Mincho" w:hAnsi="Calibri" w:cs="Arial"/>
      <w:color w:val="auto"/>
      <w:sz w:val="22"/>
      <w:lang w:val="fr-BE" w:eastAsia="fr-BE"/>
    </w:rPr>
  </w:style>
  <w:style w:type="paragraph" w:styleId="TOC6">
    <w:name w:val="toc 6"/>
    <w:basedOn w:val="Normal"/>
    <w:next w:val="Normal"/>
    <w:autoRedefine/>
    <w:uiPriority w:val="39"/>
    <w:unhideWhenUsed/>
    <w:rsid w:val="004F07DF"/>
    <w:pPr>
      <w:spacing w:after="100" w:line="259" w:lineRule="auto"/>
      <w:ind w:left="1100"/>
    </w:pPr>
    <w:rPr>
      <w:rFonts w:ascii="Calibri" w:eastAsia="MS Mincho" w:hAnsi="Calibri" w:cs="Arial"/>
      <w:color w:val="auto"/>
      <w:sz w:val="22"/>
      <w:lang w:val="fr-BE" w:eastAsia="fr-BE"/>
    </w:rPr>
  </w:style>
  <w:style w:type="paragraph" w:styleId="TOC7">
    <w:name w:val="toc 7"/>
    <w:basedOn w:val="Normal"/>
    <w:next w:val="Normal"/>
    <w:autoRedefine/>
    <w:uiPriority w:val="39"/>
    <w:unhideWhenUsed/>
    <w:rsid w:val="004F07DF"/>
    <w:pPr>
      <w:spacing w:after="100" w:line="259" w:lineRule="auto"/>
      <w:ind w:left="1320"/>
    </w:pPr>
    <w:rPr>
      <w:rFonts w:ascii="Calibri" w:eastAsia="MS Mincho" w:hAnsi="Calibri" w:cs="Arial"/>
      <w:color w:val="auto"/>
      <w:sz w:val="22"/>
      <w:lang w:val="fr-BE" w:eastAsia="fr-BE"/>
    </w:rPr>
  </w:style>
  <w:style w:type="paragraph" w:styleId="TOC8">
    <w:name w:val="toc 8"/>
    <w:basedOn w:val="Normal"/>
    <w:next w:val="Normal"/>
    <w:autoRedefine/>
    <w:uiPriority w:val="39"/>
    <w:unhideWhenUsed/>
    <w:rsid w:val="004F07DF"/>
    <w:pPr>
      <w:spacing w:after="100" w:line="259" w:lineRule="auto"/>
      <w:ind w:left="1540"/>
    </w:pPr>
    <w:rPr>
      <w:rFonts w:ascii="Calibri" w:eastAsia="MS Mincho" w:hAnsi="Calibri" w:cs="Arial"/>
      <w:color w:val="auto"/>
      <w:sz w:val="22"/>
      <w:lang w:val="fr-BE" w:eastAsia="fr-BE"/>
    </w:rPr>
  </w:style>
  <w:style w:type="paragraph" w:styleId="TOC9">
    <w:name w:val="toc 9"/>
    <w:basedOn w:val="Normal"/>
    <w:next w:val="Normal"/>
    <w:autoRedefine/>
    <w:uiPriority w:val="39"/>
    <w:unhideWhenUsed/>
    <w:rsid w:val="004F07DF"/>
    <w:pPr>
      <w:spacing w:after="100" w:line="259" w:lineRule="auto"/>
      <w:ind w:left="1760"/>
    </w:pPr>
    <w:rPr>
      <w:rFonts w:ascii="Calibri" w:eastAsia="MS Mincho" w:hAnsi="Calibri" w:cs="Arial"/>
      <w:color w:val="auto"/>
      <w:sz w:val="22"/>
      <w:lang w:val="fr-BE" w:eastAsia="fr-BE"/>
    </w:rPr>
  </w:style>
  <w:style w:type="character" w:customStyle="1" w:styleId="UnresolvedMention2">
    <w:name w:val="Unresolved Mention2"/>
    <w:uiPriority w:val="99"/>
    <w:semiHidden/>
    <w:unhideWhenUsed/>
    <w:rsid w:val="004F07DF"/>
    <w:rPr>
      <w:color w:val="605E5C"/>
      <w:shd w:val="clear" w:color="auto" w:fill="E1DFDD"/>
    </w:rPr>
  </w:style>
  <w:style w:type="character" w:customStyle="1" w:styleId="UnresolvedMention3">
    <w:name w:val="Unresolved Mention3"/>
    <w:uiPriority w:val="99"/>
    <w:semiHidden/>
    <w:unhideWhenUsed/>
    <w:rsid w:val="004F07DF"/>
    <w:rPr>
      <w:color w:val="605E5C"/>
      <w:shd w:val="clear" w:color="auto" w:fill="E1DFDD"/>
    </w:rPr>
  </w:style>
  <w:style w:type="character" w:styleId="UnresolvedMention">
    <w:name w:val="Unresolved Mention"/>
    <w:uiPriority w:val="99"/>
    <w:semiHidden/>
    <w:unhideWhenUsed/>
    <w:rsid w:val="004F07DF"/>
    <w:rPr>
      <w:color w:val="605E5C"/>
      <w:shd w:val="clear" w:color="auto" w:fill="E1DFDD"/>
    </w:rPr>
  </w:style>
  <w:style w:type="character" w:customStyle="1" w:styleId="longtext">
    <w:name w:val="long_text"/>
    <w:rsid w:val="004F07DF"/>
  </w:style>
  <w:style w:type="paragraph" w:customStyle="1" w:styleId="BTCBulletslist">
    <w:name w:val="BTC Bullets list"/>
    <w:basedOn w:val="Normal"/>
    <w:link w:val="BTCBulletslistCar"/>
    <w:rsid w:val="004F07DF"/>
    <w:pPr>
      <w:widowControl w:val="0"/>
      <w:numPr>
        <w:ilvl w:val="1"/>
        <w:numId w:val="59"/>
      </w:numPr>
      <w:suppressAutoHyphens/>
      <w:spacing w:before="60" w:after="60" w:line="264" w:lineRule="auto"/>
    </w:pPr>
    <w:rPr>
      <w:rFonts w:ascii="Calibri" w:eastAsia="Times New Roman" w:hAnsi="Calibri"/>
      <w:color w:val="auto"/>
      <w:kern w:val="18"/>
      <w:sz w:val="22"/>
      <w:szCs w:val="21"/>
      <w:lang w:val="nl-BE" w:eastAsia="nl-BE"/>
    </w:rPr>
  </w:style>
  <w:style w:type="character" w:customStyle="1" w:styleId="BTCBulletslistCar">
    <w:name w:val="BTC Bullets list Car"/>
    <w:link w:val="BTCBulletslist"/>
    <w:rsid w:val="004F07DF"/>
    <w:rPr>
      <w:rFonts w:ascii="Calibri" w:eastAsia="Times New Roman" w:hAnsi="Calibri" w:cs="Times New Roman"/>
      <w:kern w:val="18"/>
      <w:szCs w:val="21"/>
      <w:lang w:val="nl-BE" w:eastAsia="nl-BE"/>
    </w:rPr>
  </w:style>
  <w:style w:type="table" w:customStyle="1" w:styleId="TableGrid4">
    <w:name w:val="Table Grid4"/>
    <w:basedOn w:val="TableNormal"/>
    <w:next w:val="TableGrid"/>
    <w:uiPriority w:val="59"/>
    <w:rsid w:val="004F07DF"/>
    <w:pPr>
      <w:spacing w:after="0" w:line="240" w:lineRule="auto"/>
    </w:pPr>
    <w:rPr>
      <w:rFonts w:ascii="Cambria" w:eastAsia="MS Mincho"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54DE"/>
    <w:pPr>
      <w:spacing w:after="0" w:line="240" w:lineRule="auto"/>
    </w:pPr>
    <w:rPr>
      <w:rFonts w:ascii="Georgia" w:eastAsia="Calibri" w:hAnsi="Georgia" w:cs="Times New Roman"/>
      <w:color w:val="585756"/>
      <w:sz w:val="21"/>
      <w:lang w:val="en-GB"/>
    </w:rPr>
  </w:style>
  <w:style w:type="character" w:styleId="FollowedHyperlink">
    <w:name w:val="FollowedHyperlink"/>
    <w:basedOn w:val="DefaultParagraphFont"/>
    <w:uiPriority w:val="99"/>
    <w:semiHidden/>
    <w:unhideWhenUsed/>
    <w:rsid w:val="00BB5963"/>
    <w:rPr>
      <w:color w:val="954F72" w:themeColor="followedHyperlink"/>
      <w:u w:val="single"/>
    </w:rPr>
  </w:style>
  <w:style w:type="paragraph" w:customStyle="1" w:styleId="00herabodytext">
    <w:name w:val="00 hera body text"/>
    <w:basedOn w:val="Normal"/>
    <w:link w:val="00herabodytextChar"/>
    <w:qFormat/>
    <w:rsid w:val="009C205E"/>
    <w:pPr>
      <w:spacing w:after="120"/>
      <w:jc w:val="both"/>
    </w:pPr>
    <w:rPr>
      <w:rFonts w:ascii="Calibri" w:eastAsia="Times New Roman" w:hAnsi="Calibri"/>
      <w:color w:val="000000"/>
      <w:sz w:val="22"/>
      <w:szCs w:val="24"/>
    </w:rPr>
  </w:style>
  <w:style w:type="character" w:customStyle="1" w:styleId="00herabodytextChar">
    <w:name w:val="00 hera body text Char"/>
    <w:basedOn w:val="DefaultParagraphFont"/>
    <w:link w:val="00herabodytext"/>
    <w:rsid w:val="009C205E"/>
    <w:rPr>
      <w:rFonts w:ascii="Calibri" w:eastAsia="Times New Roman" w:hAnsi="Calibri" w:cs="Times New Roman"/>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04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nabel.be/content/privacy-notice-enabel" TargetMode="External"/><Relationship Id="rId26" Type="http://schemas.openxmlformats.org/officeDocument/2006/relationships/hyperlink" Target="mailto:zinnen@enabel.be" TargetMode="External"/><Relationship Id="rId21" Type="http://schemas.openxmlformats.org/officeDocument/2006/relationships/hyperlink" Target="mailto:francoise.mushimiyimana@enabel.be" TargetMode="External"/><Relationship Id="rId34"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ublicprocurement.be" TargetMode="External"/><Relationship Id="rId25" Type="http://schemas.openxmlformats.org/officeDocument/2006/relationships/hyperlink" Target="http://www.enabel.be" TargetMode="External"/><Relationship Id="rId33"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euc-word-edit.officeapps.live.com/we/wordeditorframe.aspx?ui=en%2DUS&amp;rs=nl%2DBE&amp;wopisrc=https%3A%2F%2Fenabelbe.sharepoint.com%2Fsites%2FPRJ_RWA_Barame%2F_vti_bin%2Fwopi.ashx%2Ffiles%2Fc48568e9aa004827b5100a1105266bb3&amp;wdenableroaming=1&amp;mscc=1&amp;hid=115060A0-F0FC-5000-0231-CBD19979B041&amp;wdorigin=ItemsView&amp;wdhostclicktime=1661931375140&amp;jsapi=1&amp;jsapiver=v1&amp;newsession=1&amp;corrid=ece67c44-a487-4069-9aa4-433404730e11&amp;usid=ece67c44-a487-4069-9aa4-433404730e11&amp;sftc=1&amp;cac=1&amp;mtf=1&amp;sfp=1&amp;instantedit=1&amp;wopicomplete=1&amp;wdredirectionreason=Unified_SingleFlush&amp;rct=Medium&amp;ctp=LeastProte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enabel.be" TargetMode="External"/><Relationship Id="rId32" Type="http://schemas.openxmlformats.org/officeDocument/2006/relationships/hyperlink" Target="https://eeas.europa.eu/headquarters/headquarters-homepage/8442/consolidated-list-sanctions_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evariste.sibomana@enabel.be" TargetMode="External"/><Relationship Id="rId28" Type="http://schemas.openxmlformats.org/officeDocument/2006/relationships/hyperlink" Target="mailto:info.cdcdck@minfin.fed.b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abelintegrity.be/" TargetMode="External"/><Relationship Id="rId31"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veronique.zinnen@enabel.be" TargetMode="External"/><Relationship Id="rId27" Type="http://schemas.openxmlformats.org/officeDocument/2006/relationships/hyperlink" Target="http://www.ejustice.just.fgov.be/cgi_loi/loi_a1.pl" TargetMode="External"/><Relationship Id="rId30" Type="http://schemas.openxmlformats.org/officeDocument/2006/relationships/hyperlink" Target="https://finances.belgium.be/fr/tresorerie/sanctions-financieres/sanctions-internationales-nations-unies" TargetMode="External"/><Relationship Id="rId35" Type="http://schemas.openxmlformats.org/officeDocument/2006/relationships/hyperlink" Target="mailto:dpo@enabel.b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685BBCE2EB0849B393AAEDCFABDE50" ma:contentTypeVersion="16" ma:contentTypeDescription="Create a new document." ma:contentTypeScope="" ma:versionID="126baf33defb9f2951edc60834b2e21f">
  <xsd:schema xmlns:xsd="http://www.w3.org/2001/XMLSchema" xmlns:xs="http://www.w3.org/2001/XMLSchema" xmlns:p="http://schemas.microsoft.com/office/2006/metadata/properties" xmlns:ns2="942dbafc-b037-4544-bc97-d459388fb473" xmlns:ns3="bcfc5809-4640-46fb-b7bb-998e8490560c" targetNamespace="http://schemas.microsoft.com/office/2006/metadata/properties" ma:root="true" ma:fieldsID="12cfdbd6320dce57b2e4806935c72644" ns2:_="" ns3:_="">
    <xsd:import namespace="942dbafc-b037-4544-bc97-d459388fb473"/>
    <xsd:import namespace="bcfc5809-4640-46fb-b7bb-998e849056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dbafc-b037-4544-bc97-d459388f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c5809-4640-46fb-b7bb-998e849056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d70a7c-e751-47ab-8bb5-fad79e9dbf79}" ma:internalName="TaxCatchAll" ma:showField="CatchAllData" ma:web="bcfc5809-4640-46fb-b7bb-998e84905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2dbafc-b037-4544-bc97-d459388fb473">
      <Terms xmlns="http://schemas.microsoft.com/office/infopath/2007/PartnerControls"/>
    </lcf76f155ced4ddcb4097134ff3c332f>
    <TaxCatchAll xmlns="bcfc5809-4640-46fb-b7bb-998e8490560c" xsi:nil="true"/>
    <SharedWithUsers xmlns="bcfc5809-4640-46fb-b7bb-998e8490560c">
      <UserInfo>
        <DisplayName>HABARUGIRA, François</DisplayName>
        <AccountId>14</AccountId>
        <AccountType/>
      </UserInfo>
      <UserInfo>
        <DisplayName>BRIOT, Bénédicte</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B0470-FF37-47AE-AD50-34B9F63C9BC6}">
  <ds:schemaRefs>
    <ds:schemaRef ds:uri="http://schemas.openxmlformats.org/officeDocument/2006/bibliography"/>
  </ds:schemaRefs>
</ds:datastoreItem>
</file>

<file path=customXml/itemProps2.xml><?xml version="1.0" encoding="utf-8"?>
<ds:datastoreItem xmlns:ds="http://schemas.openxmlformats.org/officeDocument/2006/customXml" ds:itemID="{45E277BA-B7FD-4A76-B23D-72F7378DE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dbafc-b037-4544-bc97-d459388fb473"/>
    <ds:schemaRef ds:uri="bcfc5809-4640-46fb-b7bb-998e84905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5E965-C130-4A99-9F89-F31FE39EEFCF}">
  <ds:schemaRefs>
    <ds:schemaRef ds:uri="http://schemas.microsoft.com/office/2006/metadata/properties"/>
    <ds:schemaRef ds:uri="http://schemas.microsoft.com/office/infopath/2007/PartnerControls"/>
    <ds:schemaRef ds:uri="942dbafc-b037-4544-bc97-d459388fb473"/>
    <ds:schemaRef ds:uri="bcfc5809-4640-46fb-b7bb-998e8490560c"/>
  </ds:schemaRefs>
</ds:datastoreItem>
</file>

<file path=customXml/itemProps4.xml><?xml version="1.0" encoding="utf-8"?>
<ds:datastoreItem xmlns:ds="http://schemas.openxmlformats.org/officeDocument/2006/customXml" ds:itemID="{383C0FAB-465C-4767-B368-FF81C2908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26010</Words>
  <Characters>143058</Characters>
  <Application>Microsoft Office Word</Application>
  <DocSecurity>0</DocSecurity>
  <Lines>1192</Lines>
  <Paragraphs>337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STARING, Florence</dc:creator>
  <cp:keywords/>
  <dc:description/>
  <cp:lastModifiedBy>MUSHIMIYIMANA, Françoise</cp:lastModifiedBy>
  <cp:revision>2</cp:revision>
  <dcterms:created xsi:type="dcterms:W3CDTF">2022-10-31T06:30:00Z</dcterms:created>
  <dcterms:modified xsi:type="dcterms:W3CDTF">2022-10-31T06:30:00Z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0x01010001685BBCE2EB0849B393AAEDCFABDE50</vt:lpwstr>
  </property>
</Properties>
</file>