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Default="00CB5120"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5FEA1869" w14:textId="03BE3878" w:rsidR="0035668A" w:rsidRDefault="007E3C2A" w:rsidP="004145B4">
                            <w:pPr>
                              <w:pStyle w:val="Titrecouverture"/>
                              <w:rPr>
                                <w:sz w:val="28"/>
                                <w:szCs w:val="32"/>
                              </w:rPr>
                            </w:pPr>
                            <w:bookmarkStart w:id="0" w:name="_Hlk131767117"/>
                            <w:r>
                              <w:rPr>
                                <w:sz w:val="28"/>
                                <w:szCs w:val="32"/>
                              </w:rPr>
                              <w:t>C</w:t>
                            </w:r>
                            <w:r w:rsidR="0035668A" w:rsidRPr="001C401C">
                              <w:rPr>
                                <w:sz w:val="28"/>
                                <w:szCs w:val="32"/>
                              </w:rPr>
                              <w:t xml:space="preserve">onsultance internationale en </w:t>
                            </w:r>
                            <w:r w:rsidR="0035668A">
                              <w:rPr>
                                <w:sz w:val="28"/>
                                <w:szCs w:val="32"/>
                              </w:rPr>
                              <w:t xml:space="preserve">gouvernance locale, appui institutionnelle et Développement local pour </w:t>
                            </w:r>
                            <w:r w:rsidR="0035668A" w:rsidRPr="001C401C">
                              <w:rPr>
                                <w:sz w:val="28"/>
                                <w:szCs w:val="32"/>
                              </w:rPr>
                              <w:t xml:space="preserve">l’appui de mise en œuvre du PIREDD </w:t>
                            </w:r>
                            <w:proofErr w:type="spellStart"/>
                            <w:r w:rsidR="0035668A" w:rsidRPr="001C401C">
                              <w:rPr>
                                <w:sz w:val="28"/>
                                <w:szCs w:val="32"/>
                              </w:rPr>
                              <w:t>Mongala</w:t>
                            </w:r>
                            <w:proofErr w:type="spellEnd"/>
                            <w:r w:rsidR="0035668A" w:rsidRPr="001C401C">
                              <w:rPr>
                                <w:sz w:val="28"/>
                                <w:szCs w:val="32"/>
                              </w:rPr>
                              <w:t xml:space="preserve"> en RD Congo</w:t>
                            </w:r>
                          </w:p>
                          <w:bookmarkEnd w:id="0"/>
                          <w:p w14:paraId="004A94A6" w14:textId="3F22601A" w:rsidR="0035668A" w:rsidRDefault="0035668A" w:rsidP="004145B4">
                            <w:pPr>
                              <w:pStyle w:val="Titrecouverture"/>
                              <w:rPr>
                                <w:sz w:val="28"/>
                                <w:szCs w:val="32"/>
                              </w:rPr>
                            </w:pPr>
                            <w:r w:rsidRPr="0035668A">
                              <w:rPr>
                                <w:sz w:val="28"/>
                                <w:szCs w:val="32"/>
                              </w:rPr>
                              <w:t>RDC182081T-10136</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5FEA1869" w14:textId="03BE3878" w:rsidR="0035668A" w:rsidRDefault="007E3C2A" w:rsidP="004145B4">
                      <w:pPr>
                        <w:pStyle w:val="Titrecouverture"/>
                        <w:rPr>
                          <w:sz w:val="28"/>
                          <w:szCs w:val="32"/>
                        </w:rPr>
                      </w:pPr>
                      <w:bookmarkStart w:id="1" w:name="_Hlk131767117"/>
                      <w:r>
                        <w:rPr>
                          <w:sz w:val="28"/>
                          <w:szCs w:val="32"/>
                        </w:rPr>
                        <w:t>C</w:t>
                      </w:r>
                      <w:r w:rsidR="0035668A" w:rsidRPr="001C401C">
                        <w:rPr>
                          <w:sz w:val="28"/>
                          <w:szCs w:val="32"/>
                        </w:rPr>
                        <w:t xml:space="preserve">onsultance internationale en </w:t>
                      </w:r>
                      <w:r w:rsidR="0035668A">
                        <w:rPr>
                          <w:sz w:val="28"/>
                          <w:szCs w:val="32"/>
                        </w:rPr>
                        <w:t xml:space="preserve">gouvernance locale, appui institutionnelle et Développement local pour </w:t>
                      </w:r>
                      <w:r w:rsidR="0035668A" w:rsidRPr="001C401C">
                        <w:rPr>
                          <w:sz w:val="28"/>
                          <w:szCs w:val="32"/>
                        </w:rPr>
                        <w:t xml:space="preserve">l’appui de mise en œuvre du PIREDD </w:t>
                      </w:r>
                      <w:proofErr w:type="spellStart"/>
                      <w:r w:rsidR="0035668A" w:rsidRPr="001C401C">
                        <w:rPr>
                          <w:sz w:val="28"/>
                          <w:szCs w:val="32"/>
                        </w:rPr>
                        <w:t>Mongala</w:t>
                      </w:r>
                      <w:proofErr w:type="spellEnd"/>
                      <w:r w:rsidR="0035668A" w:rsidRPr="001C401C">
                        <w:rPr>
                          <w:sz w:val="28"/>
                          <w:szCs w:val="32"/>
                        </w:rPr>
                        <w:t xml:space="preserve"> en RD Congo</w:t>
                      </w:r>
                    </w:p>
                    <w:bookmarkEnd w:id="1"/>
                    <w:p w14:paraId="004A94A6" w14:textId="3F22601A" w:rsidR="0035668A" w:rsidRDefault="0035668A" w:rsidP="004145B4">
                      <w:pPr>
                        <w:pStyle w:val="Titrecouverture"/>
                        <w:rPr>
                          <w:sz w:val="28"/>
                          <w:szCs w:val="32"/>
                        </w:rPr>
                      </w:pPr>
                      <w:r w:rsidRPr="0035668A">
                        <w:rPr>
                          <w:sz w:val="28"/>
                          <w:szCs w:val="32"/>
                        </w:rPr>
                        <w:t>RDC182081T-10136</w:t>
                      </w: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A47BBC8" w14:textId="00E8B93E" w:rsidR="00920BEE" w:rsidRDefault="00C45EFE">
      <w:pPr>
        <w:pStyle w:val="TM1"/>
        <w:rPr>
          <w:rFonts w:asciiTheme="minorHAnsi" w:eastAsiaTheme="minorEastAsia" w:hAnsiTheme="minorHAnsi" w:cstheme="minorBidi"/>
          <w:b w:val="0"/>
          <w:noProof/>
          <w:color w:val="auto"/>
          <w:sz w:val="22"/>
          <w:lang w:eastAsia="fr-BE"/>
        </w:rPr>
      </w:pPr>
      <w:r w:rsidRPr="005D080C">
        <w:fldChar w:fldCharType="begin"/>
      </w:r>
      <w:r w:rsidRPr="005D080C">
        <w:instrText xml:space="preserve"> TOC \o "1-4" \h \z \u </w:instrText>
      </w:r>
      <w:r w:rsidRPr="005D080C">
        <w:fldChar w:fldCharType="separate"/>
      </w:r>
      <w:hyperlink w:anchor="_Toc503965175" w:history="1">
        <w:r w:rsidR="00920BEE" w:rsidRPr="00577105">
          <w:rPr>
            <w:rStyle w:val="Lienhypertexte"/>
            <w:noProof/>
          </w:rPr>
          <w:t>1</w:t>
        </w:r>
        <w:r w:rsidR="00920BEE">
          <w:rPr>
            <w:rFonts w:asciiTheme="minorHAnsi" w:eastAsiaTheme="minorEastAsia" w:hAnsiTheme="minorHAnsi" w:cstheme="minorBidi"/>
            <w:b w:val="0"/>
            <w:noProof/>
            <w:color w:val="auto"/>
            <w:sz w:val="22"/>
            <w:lang w:eastAsia="fr-BE"/>
          </w:rPr>
          <w:tab/>
        </w:r>
        <w:r w:rsidR="00920BEE" w:rsidRPr="00577105">
          <w:rPr>
            <w:rStyle w:val="Lienhypertexte"/>
            <w:noProof/>
          </w:rPr>
          <w:t>Généralités</w:t>
        </w:r>
        <w:r w:rsidR="00920BEE">
          <w:rPr>
            <w:noProof/>
            <w:webHidden/>
          </w:rPr>
          <w:tab/>
        </w:r>
        <w:r w:rsidR="00920BEE">
          <w:rPr>
            <w:noProof/>
            <w:webHidden/>
          </w:rPr>
          <w:fldChar w:fldCharType="begin"/>
        </w:r>
        <w:r w:rsidR="00920BEE">
          <w:rPr>
            <w:noProof/>
            <w:webHidden/>
          </w:rPr>
          <w:instrText xml:space="preserve"> PAGEREF _Toc503965175 \h </w:instrText>
        </w:r>
        <w:r w:rsidR="00920BEE">
          <w:rPr>
            <w:noProof/>
            <w:webHidden/>
          </w:rPr>
        </w:r>
        <w:r w:rsidR="00920BEE">
          <w:rPr>
            <w:noProof/>
            <w:webHidden/>
          </w:rPr>
          <w:fldChar w:fldCharType="separate"/>
        </w:r>
        <w:r w:rsidR="00741E35">
          <w:rPr>
            <w:noProof/>
            <w:webHidden/>
          </w:rPr>
          <w:t>5</w:t>
        </w:r>
        <w:r w:rsidR="00920BEE">
          <w:rPr>
            <w:noProof/>
            <w:webHidden/>
          </w:rPr>
          <w:fldChar w:fldCharType="end"/>
        </w:r>
      </w:hyperlink>
    </w:p>
    <w:p w14:paraId="0CFBC40C" w14:textId="6C23C402"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76" w:history="1">
        <w:r w:rsidR="00920BEE" w:rsidRPr="00577105">
          <w:rPr>
            <w:rStyle w:val="Lienhypertexte"/>
            <w:noProof/>
          </w:rPr>
          <w:t>1.1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Dérogations aux règles générales d’exécution</w:t>
        </w:r>
        <w:r w:rsidR="00920BEE">
          <w:rPr>
            <w:noProof/>
            <w:webHidden/>
          </w:rPr>
          <w:tab/>
        </w:r>
        <w:r w:rsidR="00920BEE">
          <w:rPr>
            <w:noProof/>
            <w:webHidden/>
          </w:rPr>
          <w:fldChar w:fldCharType="begin"/>
        </w:r>
        <w:r w:rsidR="00920BEE">
          <w:rPr>
            <w:noProof/>
            <w:webHidden/>
          </w:rPr>
          <w:instrText xml:space="preserve"> PAGEREF _Toc503965176 \h </w:instrText>
        </w:r>
        <w:r w:rsidR="00920BEE">
          <w:rPr>
            <w:noProof/>
            <w:webHidden/>
          </w:rPr>
        </w:r>
        <w:r w:rsidR="00920BEE">
          <w:rPr>
            <w:noProof/>
            <w:webHidden/>
          </w:rPr>
          <w:fldChar w:fldCharType="separate"/>
        </w:r>
        <w:r w:rsidR="00741E35">
          <w:rPr>
            <w:noProof/>
            <w:webHidden/>
          </w:rPr>
          <w:t>5</w:t>
        </w:r>
        <w:r w:rsidR="00920BEE">
          <w:rPr>
            <w:noProof/>
            <w:webHidden/>
          </w:rPr>
          <w:fldChar w:fldCharType="end"/>
        </w:r>
      </w:hyperlink>
    </w:p>
    <w:p w14:paraId="319CB26A" w14:textId="7294CD89"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77" w:history="1">
        <w:r w:rsidR="00920BEE" w:rsidRPr="00577105">
          <w:rPr>
            <w:rStyle w:val="Lienhypertexte"/>
            <w:noProof/>
          </w:rPr>
          <w:t>1.2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Pouvoir adjudicateur</w:t>
        </w:r>
        <w:r w:rsidR="00920BEE">
          <w:rPr>
            <w:noProof/>
            <w:webHidden/>
          </w:rPr>
          <w:tab/>
        </w:r>
        <w:r w:rsidR="00920BEE">
          <w:rPr>
            <w:noProof/>
            <w:webHidden/>
          </w:rPr>
          <w:fldChar w:fldCharType="begin"/>
        </w:r>
        <w:r w:rsidR="00920BEE">
          <w:rPr>
            <w:noProof/>
            <w:webHidden/>
          </w:rPr>
          <w:instrText xml:space="preserve"> PAGEREF _Toc503965177 \h </w:instrText>
        </w:r>
        <w:r w:rsidR="00920BEE">
          <w:rPr>
            <w:noProof/>
            <w:webHidden/>
          </w:rPr>
        </w:r>
        <w:r w:rsidR="00920BEE">
          <w:rPr>
            <w:noProof/>
            <w:webHidden/>
          </w:rPr>
          <w:fldChar w:fldCharType="separate"/>
        </w:r>
        <w:r w:rsidR="00741E35">
          <w:rPr>
            <w:noProof/>
            <w:webHidden/>
          </w:rPr>
          <w:t>5</w:t>
        </w:r>
        <w:r w:rsidR="00920BEE">
          <w:rPr>
            <w:noProof/>
            <w:webHidden/>
          </w:rPr>
          <w:fldChar w:fldCharType="end"/>
        </w:r>
      </w:hyperlink>
    </w:p>
    <w:p w14:paraId="63754CDF" w14:textId="33171EF8"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78" w:history="1">
        <w:r w:rsidR="00920BEE" w:rsidRPr="00577105">
          <w:rPr>
            <w:rStyle w:val="Lienhypertexte"/>
            <w:noProof/>
          </w:rPr>
          <w:t>1.3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Cadre institutionnel d’Enabel</w:t>
        </w:r>
        <w:r w:rsidR="00920BEE">
          <w:rPr>
            <w:noProof/>
            <w:webHidden/>
          </w:rPr>
          <w:tab/>
        </w:r>
        <w:r w:rsidR="00920BEE">
          <w:rPr>
            <w:noProof/>
            <w:webHidden/>
          </w:rPr>
          <w:fldChar w:fldCharType="begin"/>
        </w:r>
        <w:r w:rsidR="00920BEE">
          <w:rPr>
            <w:noProof/>
            <w:webHidden/>
          </w:rPr>
          <w:instrText xml:space="preserve"> PAGEREF _Toc503965178 \h </w:instrText>
        </w:r>
        <w:r w:rsidR="00920BEE">
          <w:rPr>
            <w:noProof/>
            <w:webHidden/>
          </w:rPr>
        </w:r>
        <w:r w:rsidR="00920BEE">
          <w:rPr>
            <w:noProof/>
            <w:webHidden/>
          </w:rPr>
          <w:fldChar w:fldCharType="separate"/>
        </w:r>
        <w:r w:rsidR="00741E35">
          <w:rPr>
            <w:noProof/>
            <w:webHidden/>
          </w:rPr>
          <w:t>5</w:t>
        </w:r>
        <w:r w:rsidR="00920BEE">
          <w:rPr>
            <w:noProof/>
            <w:webHidden/>
          </w:rPr>
          <w:fldChar w:fldCharType="end"/>
        </w:r>
      </w:hyperlink>
    </w:p>
    <w:p w14:paraId="2612E1FA" w14:textId="78C6EB3E"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79" w:history="1">
        <w:r w:rsidR="00920BEE" w:rsidRPr="00577105">
          <w:rPr>
            <w:rStyle w:val="Lienhypertexte"/>
            <w:noProof/>
          </w:rPr>
          <w:t>1.4</w:t>
        </w:r>
        <w:r w:rsidR="00920BEE">
          <w:rPr>
            <w:rFonts w:asciiTheme="minorHAnsi" w:eastAsiaTheme="minorEastAsia" w:hAnsiTheme="minorHAnsi" w:cstheme="minorBidi"/>
            <w:noProof/>
            <w:color w:val="auto"/>
            <w:sz w:val="22"/>
            <w:lang w:eastAsia="fr-BE"/>
          </w:rPr>
          <w:tab/>
        </w:r>
        <w:r w:rsidR="00920BEE" w:rsidRPr="00577105">
          <w:rPr>
            <w:rStyle w:val="Lienhypertexte"/>
            <w:noProof/>
          </w:rPr>
          <w:t>Règles régissant le marché</w:t>
        </w:r>
        <w:r w:rsidR="00920BEE">
          <w:rPr>
            <w:noProof/>
            <w:webHidden/>
          </w:rPr>
          <w:tab/>
        </w:r>
        <w:r w:rsidR="00920BEE">
          <w:rPr>
            <w:noProof/>
            <w:webHidden/>
          </w:rPr>
          <w:fldChar w:fldCharType="begin"/>
        </w:r>
        <w:r w:rsidR="00920BEE">
          <w:rPr>
            <w:noProof/>
            <w:webHidden/>
          </w:rPr>
          <w:instrText xml:space="preserve"> PAGEREF _Toc503965179 \h </w:instrText>
        </w:r>
        <w:r w:rsidR="00920BEE">
          <w:rPr>
            <w:noProof/>
            <w:webHidden/>
          </w:rPr>
        </w:r>
        <w:r w:rsidR="00920BEE">
          <w:rPr>
            <w:noProof/>
            <w:webHidden/>
          </w:rPr>
          <w:fldChar w:fldCharType="separate"/>
        </w:r>
        <w:r w:rsidR="00741E35">
          <w:rPr>
            <w:noProof/>
            <w:webHidden/>
          </w:rPr>
          <w:t>6</w:t>
        </w:r>
        <w:r w:rsidR="00920BEE">
          <w:rPr>
            <w:noProof/>
            <w:webHidden/>
          </w:rPr>
          <w:fldChar w:fldCharType="end"/>
        </w:r>
      </w:hyperlink>
    </w:p>
    <w:p w14:paraId="3D73FAEE" w14:textId="46836F63"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80" w:history="1">
        <w:r w:rsidR="00920BEE" w:rsidRPr="00577105">
          <w:rPr>
            <w:rStyle w:val="Lienhypertexte"/>
            <w:noProof/>
          </w:rPr>
          <w:t>1.5</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Définitions</w:t>
        </w:r>
        <w:r w:rsidR="00920BEE">
          <w:rPr>
            <w:noProof/>
            <w:webHidden/>
          </w:rPr>
          <w:tab/>
        </w:r>
        <w:r w:rsidR="00920BEE">
          <w:rPr>
            <w:noProof/>
            <w:webHidden/>
          </w:rPr>
          <w:fldChar w:fldCharType="begin"/>
        </w:r>
        <w:r w:rsidR="00920BEE">
          <w:rPr>
            <w:noProof/>
            <w:webHidden/>
          </w:rPr>
          <w:instrText xml:space="preserve"> PAGEREF _Toc503965180 \h </w:instrText>
        </w:r>
        <w:r w:rsidR="00920BEE">
          <w:rPr>
            <w:noProof/>
            <w:webHidden/>
          </w:rPr>
        </w:r>
        <w:r w:rsidR="00920BEE">
          <w:rPr>
            <w:noProof/>
            <w:webHidden/>
          </w:rPr>
          <w:fldChar w:fldCharType="separate"/>
        </w:r>
        <w:r w:rsidR="00741E35">
          <w:rPr>
            <w:noProof/>
            <w:webHidden/>
          </w:rPr>
          <w:t>7</w:t>
        </w:r>
        <w:r w:rsidR="00920BEE">
          <w:rPr>
            <w:noProof/>
            <w:webHidden/>
          </w:rPr>
          <w:fldChar w:fldCharType="end"/>
        </w:r>
      </w:hyperlink>
    </w:p>
    <w:p w14:paraId="256E3E66" w14:textId="5B52C467"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81" w:history="1">
        <w:r w:rsidR="00920BEE" w:rsidRPr="00577105">
          <w:rPr>
            <w:rStyle w:val="Lienhypertexte"/>
            <w:noProof/>
          </w:rPr>
          <w:t>1.6</w:t>
        </w:r>
        <w:r w:rsidR="00920BEE">
          <w:rPr>
            <w:rFonts w:asciiTheme="minorHAnsi" w:eastAsiaTheme="minorEastAsia" w:hAnsiTheme="minorHAnsi" w:cstheme="minorBidi"/>
            <w:noProof/>
            <w:color w:val="auto"/>
            <w:sz w:val="22"/>
            <w:lang w:eastAsia="fr-BE"/>
          </w:rPr>
          <w:tab/>
        </w:r>
        <w:r w:rsidR="00920BEE" w:rsidRPr="00577105">
          <w:rPr>
            <w:rStyle w:val="Lienhypertexte"/>
            <w:noProof/>
          </w:rPr>
          <w:t>Confidentialité</w:t>
        </w:r>
        <w:r w:rsidR="00920BEE">
          <w:rPr>
            <w:noProof/>
            <w:webHidden/>
          </w:rPr>
          <w:tab/>
        </w:r>
        <w:r w:rsidR="00920BEE">
          <w:rPr>
            <w:noProof/>
            <w:webHidden/>
          </w:rPr>
          <w:fldChar w:fldCharType="begin"/>
        </w:r>
        <w:r w:rsidR="00920BEE">
          <w:rPr>
            <w:noProof/>
            <w:webHidden/>
          </w:rPr>
          <w:instrText xml:space="preserve"> PAGEREF _Toc503965181 \h </w:instrText>
        </w:r>
        <w:r w:rsidR="00920BEE">
          <w:rPr>
            <w:noProof/>
            <w:webHidden/>
          </w:rPr>
          <w:fldChar w:fldCharType="separate"/>
        </w:r>
        <w:r w:rsidR="00741E35">
          <w:rPr>
            <w:b/>
            <w:bCs/>
            <w:noProof/>
            <w:webHidden/>
            <w:lang w:val="fr-FR"/>
          </w:rPr>
          <w:t>Erreur ! Signet non défini.</w:t>
        </w:r>
        <w:r w:rsidR="00920BEE">
          <w:rPr>
            <w:noProof/>
            <w:webHidden/>
          </w:rPr>
          <w:fldChar w:fldCharType="end"/>
        </w:r>
      </w:hyperlink>
    </w:p>
    <w:p w14:paraId="115CA2E7" w14:textId="32FFB1D9" w:rsidR="00920BEE" w:rsidRDefault="00000000">
      <w:pPr>
        <w:pStyle w:val="TM3"/>
        <w:rPr>
          <w:rFonts w:asciiTheme="minorHAnsi" w:eastAsiaTheme="minorEastAsia" w:hAnsiTheme="minorHAnsi" w:cstheme="minorBidi"/>
          <w:noProof/>
          <w:color w:val="auto"/>
          <w:sz w:val="22"/>
          <w:lang w:eastAsia="fr-BE"/>
        </w:rPr>
      </w:pPr>
      <w:hyperlink w:anchor="_Toc503965182" w:history="1">
        <w:r w:rsidR="00920BEE" w:rsidRPr="00577105">
          <w:rPr>
            <w:rStyle w:val="Lienhypertexte"/>
            <w:noProof/>
          </w:rPr>
          <w:t>1.6.1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Obligations déontologiques</w:t>
        </w:r>
        <w:r w:rsidR="00920BEE">
          <w:rPr>
            <w:noProof/>
            <w:webHidden/>
          </w:rPr>
          <w:tab/>
        </w:r>
        <w:r w:rsidR="00920BEE">
          <w:rPr>
            <w:noProof/>
            <w:webHidden/>
          </w:rPr>
          <w:fldChar w:fldCharType="begin"/>
        </w:r>
        <w:r w:rsidR="00920BEE">
          <w:rPr>
            <w:noProof/>
            <w:webHidden/>
          </w:rPr>
          <w:instrText xml:space="preserve"> PAGEREF _Toc503965182 \h </w:instrText>
        </w:r>
        <w:r w:rsidR="00920BEE">
          <w:rPr>
            <w:noProof/>
            <w:webHidden/>
          </w:rPr>
        </w:r>
        <w:r w:rsidR="00920BEE">
          <w:rPr>
            <w:noProof/>
            <w:webHidden/>
          </w:rPr>
          <w:fldChar w:fldCharType="separate"/>
        </w:r>
        <w:r w:rsidR="00741E35">
          <w:rPr>
            <w:noProof/>
            <w:webHidden/>
          </w:rPr>
          <w:t>8</w:t>
        </w:r>
        <w:r w:rsidR="00920BEE">
          <w:rPr>
            <w:noProof/>
            <w:webHidden/>
          </w:rPr>
          <w:fldChar w:fldCharType="end"/>
        </w:r>
      </w:hyperlink>
    </w:p>
    <w:p w14:paraId="29E23536" w14:textId="124D41F7" w:rsidR="00920BEE" w:rsidRDefault="00000000">
      <w:pPr>
        <w:pStyle w:val="TM3"/>
        <w:rPr>
          <w:rFonts w:asciiTheme="minorHAnsi" w:eastAsiaTheme="minorEastAsia" w:hAnsiTheme="minorHAnsi" w:cstheme="minorBidi"/>
          <w:noProof/>
          <w:color w:val="auto"/>
          <w:sz w:val="22"/>
          <w:lang w:eastAsia="fr-BE"/>
        </w:rPr>
      </w:pPr>
      <w:hyperlink w:anchor="_Toc503965183" w:history="1">
        <w:r w:rsidR="00920BEE" w:rsidRPr="00577105">
          <w:rPr>
            <w:rStyle w:val="Lienhypertexte"/>
            <w:noProof/>
          </w:rPr>
          <w:t>1.6.2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Droit applicable et tribunaux compétents</w:t>
        </w:r>
        <w:r w:rsidR="00920BEE">
          <w:rPr>
            <w:noProof/>
            <w:webHidden/>
          </w:rPr>
          <w:tab/>
        </w:r>
        <w:r w:rsidR="00920BEE">
          <w:rPr>
            <w:noProof/>
            <w:webHidden/>
          </w:rPr>
          <w:fldChar w:fldCharType="begin"/>
        </w:r>
        <w:r w:rsidR="00920BEE">
          <w:rPr>
            <w:noProof/>
            <w:webHidden/>
          </w:rPr>
          <w:instrText xml:space="preserve"> PAGEREF _Toc503965183 \h </w:instrText>
        </w:r>
        <w:r w:rsidR="00920BEE">
          <w:rPr>
            <w:noProof/>
            <w:webHidden/>
          </w:rPr>
        </w:r>
        <w:r w:rsidR="00920BEE">
          <w:rPr>
            <w:noProof/>
            <w:webHidden/>
          </w:rPr>
          <w:fldChar w:fldCharType="separate"/>
        </w:r>
        <w:r w:rsidR="00741E35">
          <w:rPr>
            <w:noProof/>
            <w:webHidden/>
          </w:rPr>
          <w:t>9</w:t>
        </w:r>
        <w:r w:rsidR="00920BEE">
          <w:rPr>
            <w:noProof/>
            <w:webHidden/>
          </w:rPr>
          <w:fldChar w:fldCharType="end"/>
        </w:r>
      </w:hyperlink>
    </w:p>
    <w:p w14:paraId="6620226B" w14:textId="15B232FC" w:rsidR="00920BEE" w:rsidRDefault="00000000">
      <w:pPr>
        <w:pStyle w:val="TM1"/>
        <w:rPr>
          <w:rFonts w:asciiTheme="minorHAnsi" w:eastAsiaTheme="minorEastAsia" w:hAnsiTheme="minorHAnsi" w:cstheme="minorBidi"/>
          <w:b w:val="0"/>
          <w:noProof/>
          <w:color w:val="auto"/>
          <w:sz w:val="22"/>
          <w:lang w:eastAsia="fr-BE"/>
        </w:rPr>
      </w:pPr>
      <w:hyperlink w:anchor="_Toc503965184" w:history="1">
        <w:r w:rsidR="00920BEE" w:rsidRPr="00577105">
          <w:rPr>
            <w:rStyle w:val="Lienhypertexte"/>
            <w:noProof/>
          </w:rPr>
          <w:t>et portée</w:t>
        </w:r>
        <w:r w:rsidR="00920BEE">
          <w:rPr>
            <w:noProof/>
            <w:webHidden/>
          </w:rPr>
          <w:tab/>
        </w:r>
        <w:r w:rsidR="00920BEE">
          <w:rPr>
            <w:noProof/>
            <w:webHidden/>
          </w:rPr>
          <w:fldChar w:fldCharType="begin"/>
        </w:r>
        <w:r w:rsidR="00920BEE">
          <w:rPr>
            <w:noProof/>
            <w:webHidden/>
          </w:rPr>
          <w:instrText xml:space="preserve"> PAGEREF _Toc503965184 \h </w:instrText>
        </w:r>
        <w:r w:rsidR="00920BEE">
          <w:rPr>
            <w:noProof/>
            <w:webHidden/>
          </w:rPr>
          <w:fldChar w:fldCharType="separate"/>
        </w:r>
        <w:r w:rsidR="00741E35">
          <w:rPr>
            <w:b w:val="0"/>
            <w:bCs/>
            <w:noProof/>
            <w:webHidden/>
            <w:lang w:val="fr-FR"/>
          </w:rPr>
          <w:t>Erreur ! Signet non défini.</w:t>
        </w:r>
        <w:r w:rsidR="00920BEE">
          <w:rPr>
            <w:noProof/>
            <w:webHidden/>
          </w:rPr>
          <w:fldChar w:fldCharType="end"/>
        </w:r>
      </w:hyperlink>
    </w:p>
    <w:p w14:paraId="79D55FD9" w14:textId="624D18EA" w:rsidR="00920BEE" w:rsidRDefault="00000000">
      <w:pPr>
        <w:pStyle w:val="TM1"/>
        <w:rPr>
          <w:rFonts w:asciiTheme="minorHAnsi" w:eastAsiaTheme="minorEastAsia" w:hAnsiTheme="minorHAnsi" w:cstheme="minorBidi"/>
          <w:b w:val="0"/>
          <w:noProof/>
          <w:color w:val="auto"/>
          <w:sz w:val="22"/>
          <w:lang w:eastAsia="fr-BE"/>
        </w:rPr>
      </w:pPr>
      <w:hyperlink w:anchor="_Toc503965185" w:history="1">
        <w:r w:rsidR="00920BEE" w:rsidRPr="00577105">
          <w:rPr>
            <w:rStyle w:val="Lienhypertexte"/>
            <w:noProof/>
          </w:rPr>
          <w:t>2</w:t>
        </w:r>
        <w:r w:rsidR="00920BEE">
          <w:rPr>
            <w:rFonts w:asciiTheme="minorHAnsi" w:eastAsiaTheme="minorEastAsia" w:hAnsiTheme="minorHAnsi" w:cstheme="minorBidi"/>
            <w:b w:val="0"/>
            <w:noProof/>
            <w:color w:val="auto"/>
            <w:sz w:val="22"/>
            <w:lang w:eastAsia="fr-BE"/>
          </w:rPr>
          <w:tab/>
        </w:r>
        <w:r w:rsidR="00920BEE" w:rsidRPr="00577105">
          <w:rPr>
            <w:rStyle w:val="Lienhypertexte"/>
            <w:noProof/>
          </w:rPr>
          <w:t>Objet et portée du marché</w:t>
        </w:r>
        <w:r w:rsidR="00920BEE">
          <w:rPr>
            <w:noProof/>
            <w:webHidden/>
          </w:rPr>
          <w:tab/>
        </w:r>
        <w:r w:rsidR="00920BEE">
          <w:rPr>
            <w:noProof/>
            <w:webHidden/>
          </w:rPr>
          <w:fldChar w:fldCharType="begin"/>
        </w:r>
        <w:r w:rsidR="00920BEE">
          <w:rPr>
            <w:noProof/>
            <w:webHidden/>
          </w:rPr>
          <w:instrText xml:space="preserve"> PAGEREF _Toc503965185 \h </w:instrText>
        </w:r>
        <w:r w:rsidR="00920BEE">
          <w:rPr>
            <w:noProof/>
            <w:webHidden/>
          </w:rPr>
        </w:r>
        <w:r w:rsidR="00920BEE">
          <w:rPr>
            <w:noProof/>
            <w:webHidden/>
          </w:rPr>
          <w:fldChar w:fldCharType="separate"/>
        </w:r>
        <w:r w:rsidR="00741E35">
          <w:rPr>
            <w:noProof/>
            <w:webHidden/>
          </w:rPr>
          <w:t>10</w:t>
        </w:r>
        <w:r w:rsidR="00920BEE">
          <w:rPr>
            <w:noProof/>
            <w:webHidden/>
          </w:rPr>
          <w:fldChar w:fldCharType="end"/>
        </w:r>
      </w:hyperlink>
    </w:p>
    <w:p w14:paraId="09CB0724" w14:textId="1E1A7C42"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86" w:history="1">
        <w:r w:rsidR="00920BEE" w:rsidRPr="00577105">
          <w:rPr>
            <w:rStyle w:val="Lienhypertexte"/>
            <w:noProof/>
          </w:rPr>
          <w:t>2.1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Nature du marché</w:t>
        </w:r>
        <w:r w:rsidR="00920BEE">
          <w:rPr>
            <w:noProof/>
            <w:webHidden/>
          </w:rPr>
          <w:tab/>
        </w:r>
        <w:r w:rsidR="00920BEE">
          <w:rPr>
            <w:noProof/>
            <w:webHidden/>
          </w:rPr>
          <w:fldChar w:fldCharType="begin"/>
        </w:r>
        <w:r w:rsidR="00920BEE">
          <w:rPr>
            <w:noProof/>
            <w:webHidden/>
          </w:rPr>
          <w:instrText xml:space="preserve"> PAGEREF _Toc503965186 \h </w:instrText>
        </w:r>
        <w:r w:rsidR="00920BEE">
          <w:rPr>
            <w:noProof/>
            <w:webHidden/>
          </w:rPr>
        </w:r>
        <w:r w:rsidR="00920BEE">
          <w:rPr>
            <w:noProof/>
            <w:webHidden/>
          </w:rPr>
          <w:fldChar w:fldCharType="separate"/>
        </w:r>
        <w:r w:rsidR="00741E35">
          <w:rPr>
            <w:noProof/>
            <w:webHidden/>
          </w:rPr>
          <w:t>10</w:t>
        </w:r>
        <w:r w:rsidR="00920BEE">
          <w:rPr>
            <w:noProof/>
            <w:webHidden/>
          </w:rPr>
          <w:fldChar w:fldCharType="end"/>
        </w:r>
      </w:hyperlink>
    </w:p>
    <w:p w14:paraId="4CDD9491" w14:textId="047883C3"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87" w:history="1">
        <w:r w:rsidR="00920BEE" w:rsidRPr="00577105">
          <w:rPr>
            <w:rStyle w:val="Lienhypertexte"/>
            <w:noProof/>
          </w:rPr>
          <w:t>2.2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Objet du marché</w:t>
        </w:r>
        <w:r w:rsidR="00920BEE">
          <w:rPr>
            <w:noProof/>
            <w:webHidden/>
          </w:rPr>
          <w:tab/>
        </w:r>
        <w:r w:rsidR="00920BEE">
          <w:rPr>
            <w:noProof/>
            <w:webHidden/>
          </w:rPr>
          <w:fldChar w:fldCharType="begin"/>
        </w:r>
        <w:r w:rsidR="00920BEE">
          <w:rPr>
            <w:noProof/>
            <w:webHidden/>
          </w:rPr>
          <w:instrText xml:space="preserve"> PAGEREF _Toc503965187 \h </w:instrText>
        </w:r>
        <w:r w:rsidR="00920BEE">
          <w:rPr>
            <w:noProof/>
            <w:webHidden/>
          </w:rPr>
        </w:r>
        <w:r w:rsidR="00920BEE">
          <w:rPr>
            <w:noProof/>
            <w:webHidden/>
          </w:rPr>
          <w:fldChar w:fldCharType="separate"/>
        </w:r>
        <w:r w:rsidR="00741E35">
          <w:rPr>
            <w:noProof/>
            <w:webHidden/>
          </w:rPr>
          <w:t>10</w:t>
        </w:r>
        <w:r w:rsidR="00920BEE">
          <w:rPr>
            <w:noProof/>
            <w:webHidden/>
          </w:rPr>
          <w:fldChar w:fldCharType="end"/>
        </w:r>
      </w:hyperlink>
    </w:p>
    <w:p w14:paraId="6B996A1F" w14:textId="6816AA19"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88" w:history="1">
        <w:r w:rsidR="00920BEE" w:rsidRPr="00577105">
          <w:rPr>
            <w:rStyle w:val="Lienhypertexte"/>
            <w:noProof/>
          </w:rPr>
          <w:t>2.3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&lt;&lt;Lots</w:t>
        </w:r>
        <w:r w:rsidR="00920BEE">
          <w:rPr>
            <w:noProof/>
            <w:webHidden/>
          </w:rPr>
          <w:tab/>
        </w:r>
        <w:r w:rsidR="00920BEE">
          <w:rPr>
            <w:noProof/>
            <w:webHidden/>
          </w:rPr>
          <w:fldChar w:fldCharType="begin"/>
        </w:r>
        <w:r w:rsidR="00920BEE">
          <w:rPr>
            <w:noProof/>
            <w:webHidden/>
          </w:rPr>
          <w:instrText xml:space="preserve"> PAGEREF _Toc503965188 \h </w:instrText>
        </w:r>
        <w:r w:rsidR="00920BEE">
          <w:rPr>
            <w:noProof/>
            <w:webHidden/>
          </w:rPr>
        </w:r>
        <w:r w:rsidR="00920BEE">
          <w:rPr>
            <w:noProof/>
            <w:webHidden/>
          </w:rPr>
          <w:fldChar w:fldCharType="separate"/>
        </w:r>
        <w:r w:rsidR="00741E35">
          <w:rPr>
            <w:noProof/>
            <w:webHidden/>
          </w:rPr>
          <w:t>10</w:t>
        </w:r>
        <w:r w:rsidR="00920BEE">
          <w:rPr>
            <w:noProof/>
            <w:webHidden/>
          </w:rPr>
          <w:fldChar w:fldCharType="end"/>
        </w:r>
      </w:hyperlink>
    </w:p>
    <w:p w14:paraId="7789133B" w14:textId="37506524"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89" w:history="1">
        <w:r w:rsidR="00920BEE" w:rsidRPr="00577105">
          <w:rPr>
            <w:rStyle w:val="Lienhypertexte"/>
            <w:noProof/>
          </w:rPr>
          <w:t>2.4</w:t>
        </w:r>
        <w:r w:rsidR="00920BEE">
          <w:rPr>
            <w:rFonts w:asciiTheme="minorHAnsi" w:eastAsiaTheme="minorEastAsia" w:hAnsiTheme="minorHAnsi" w:cstheme="minorBidi"/>
            <w:noProof/>
            <w:color w:val="auto"/>
            <w:sz w:val="22"/>
            <w:lang w:eastAsia="fr-BE"/>
          </w:rPr>
          <w:tab/>
        </w:r>
        <w:r w:rsidR="00920BEE" w:rsidRPr="00577105">
          <w:rPr>
            <w:rStyle w:val="Lienhypertexte"/>
            <w:noProof/>
          </w:rPr>
          <w:t>&lt;&lt; Postes</w:t>
        </w:r>
        <w:r w:rsidR="00920BEE">
          <w:rPr>
            <w:noProof/>
            <w:webHidden/>
          </w:rPr>
          <w:tab/>
        </w:r>
        <w:r w:rsidR="00920BEE">
          <w:rPr>
            <w:noProof/>
            <w:webHidden/>
          </w:rPr>
          <w:fldChar w:fldCharType="begin"/>
        </w:r>
        <w:r w:rsidR="00920BEE">
          <w:rPr>
            <w:noProof/>
            <w:webHidden/>
          </w:rPr>
          <w:instrText xml:space="preserve"> PAGEREF _Toc503965189 \h </w:instrText>
        </w:r>
        <w:r w:rsidR="00920BEE">
          <w:rPr>
            <w:noProof/>
            <w:webHidden/>
          </w:rPr>
        </w:r>
        <w:r w:rsidR="00920BEE">
          <w:rPr>
            <w:noProof/>
            <w:webHidden/>
          </w:rPr>
          <w:fldChar w:fldCharType="separate"/>
        </w:r>
        <w:r w:rsidR="00741E35">
          <w:rPr>
            <w:noProof/>
            <w:webHidden/>
          </w:rPr>
          <w:t>10</w:t>
        </w:r>
        <w:r w:rsidR="00920BEE">
          <w:rPr>
            <w:noProof/>
            <w:webHidden/>
          </w:rPr>
          <w:fldChar w:fldCharType="end"/>
        </w:r>
      </w:hyperlink>
    </w:p>
    <w:p w14:paraId="60B3B4E5" w14:textId="494D60B3"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90" w:history="1">
        <w:r w:rsidR="00920BEE" w:rsidRPr="00577105">
          <w:rPr>
            <w:rStyle w:val="Lienhypertexte"/>
            <w:noProof/>
          </w:rPr>
          <w:t>2.5</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Durée du marché</w:t>
        </w:r>
        <w:r w:rsidR="00920BEE">
          <w:rPr>
            <w:noProof/>
            <w:webHidden/>
          </w:rPr>
          <w:tab/>
        </w:r>
        <w:r w:rsidR="00920BEE">
          <w:rPr>
            <w:noProof/>
            <w:webHidden/>
          </w:rPr>
          <w:fldChar w:fldCharType="begin"/>
        </w:r>
        <w:r w:rsidR="00920BEE">
          <w:rPr>
            <w:noProof/>
            <w:webHidden/>
          </w:rPr>
          <w:instrText xml:space="preserve"> PAGEREF _Toc503965190 \h </w:instrText>
        </w:r>
        <w:r w:rsidR="00920BEE">
          <w:rPr>
            <w:noProof/>
            <w:webHidden/>
          </w:rPr>
        </w:r>
        <w:r w:rsidR="00920BEE">
          <w:rPr>
            <w:noProof/>
            <w:webHidden/>
          </w:rPr>
          <w:fldChar w:fldCharType="separate"/>
        </w:r>
        <w:r w:rsidR="00741E35">
          <w:rPr>
            <w:noProof/>
            <w:webHidden/>
          </w:rPr>
          <w:t>11</w:t>
        </w:r>
        <w:r w:rsidR="00920BEE">
          <w:rPr>
            <w:noProof/>
            <w:webHidden/>
          </w:rPr>
          <w:fldChar w:fldCharType="end"/>
        </w:r>
      </w:hyperlink>
    </w:p>
    <w:p w14:paraId="692F95C6" w14:textId="28EB3BE4"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91" w:history="1">
        <w:r w:rsidR="00920BEE" w:rsidRPr="00577105">
          <w:rPr>
            <w:rStyle w:val="Lienhypertexte"/>
            <w:noProof/>
          </w:rPr>
          <w:t>2.6</w:t>
        </w:r>
        <w:r w:rsidR="00920BEE">
          <w:rPr>
            <w:rFonts w:asciiTheme="minorHAnsi" w:eastAsiaTheme="minorEastAsia" w:hAnsiTheme="minorHAnsi" w:cstheme="minorBidi"/>
            <w:noProof/>
            <w:color w:val="auto"/>
            <w:sz w:val="22"/>
            <w:lang w:eastAsia="fr-BE"/>
          </w:rPr>
          <w:tab/>
        </w:r>
        <w:r w:rsidR="00920BEE" w:rsidRPr="00577105">
          <w:rPr>
            <w:rStyle w:val="Lienhypertexte"/>
            <w:noProof/>
          </w:rPr>
          <w:t xml:space="preserve">Variantes </w:t>
        </w:r>
        <w:r w:rsidR="00920BEE" w:rsidRPr="00577105">
          <w:rPr>
            <w:rStyle w:val="Lienhypertexte"/>
            <w:rFonts w:ascii="Arial" w:hAnsi="Arial" w:cs="Arial"/>
            <w:noProof/>
          </w:rPr>
          <w:t>♣</w:t>
        </w:r>
        <w:r w:rsidR="00920BEE">
          <w:rPr>
            <w:noProof/>
            <w:webHidden/>
          </w:rPr>
          <w:tab/>
        </w:r>
        <w:r w:rsidR="00920BEE">
          <w:rPr>
            <w:noProof/>
            <w:webHidden/>
          </w:rPr>
          <w:fldChar w:fldCharType="begin"/>
        </w:r>
        <w:r w:rsidR="00920BEE">
          <w:rPr>
            <w:noProof/>
            <w:webHidden/>
          </w:rPr>
          <w:instrText xml:space="preserve"> PAGEREF _Toc503965191 \h </w:instrText>
        </w:r>
        <w:r w:rsidR="00920BEE">
          <w:rPr>
            <w:noProof/>
            <w:webHidden/>
          </w:rPr>
        </w:r>
        <w:r w:rsidR="00920BEE">
          <w:rPr>
            <w:noProof/>
            <w:webHidden/>
          </w:rPr>
          <w:fldChar w:fldCharType="separate"/>
        </w:r>
        <w:r w:rsidR="00741E35">
          <w:rPr>
            <w:noProof/>
            <w:webHidden/>
          </w:rPr>
          <w:t>11</w:t>
        </w:r>
        <w:r w:rsidR="00920BEE">
          <w:rPr>
            <w:noProof/>
            <w:webHidden/>
          </w:rPr>
          <w:fldChar w:fldCharType="end"/>
        </w:r>
      </w:hyperlink>
    </w:p>
    <w:p w14:paraId="6191ABF0" w14:textId="45B73CEE"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92" w:history="1">
        <w:r w:rsidR="00920BEE" w:rsidRPr="00577105">
          <w:rPr>
            <w:rStyle w:val="Lienhypertexte"/>
            <w:noProof/>
          </w:rPr>
          <w:t>2.7</w:t>
        </w:r>
        <w:r w:rsidR="00920BEE">
          <w:rPr>
            <w:rFonts w:asciiTheme="minorHAnsi" w:eastAsiaTheme="minorEastAsia" w:hAnsiTheme="minorHAnsi" w:cstheme="minorBidi"/>
            <w:noProof/>
            <w:color w:val="auto"/>
            <w:sz w:val="22"/>
            <w:lang w:eastAsia="fr-BE"/>
          </w:rPr>
          <w:tab/>
        </w:r>
        <w:r w:rsidR="00920BEE" w:rsidRPr="00577105">
          <w:rPr>
            <w:rStyle w:val="Lienhypertexte"/>
            <w:noProof/>
          </w:rPr>
          <w:t>&lt;&lt; Option</w:t>
        </w:r>
        <w:r w:rsidR="00920BEE">
          <w:rPr>
            <w:noProof/>
            <w:webHidden/>
          </w:rPr>
          <w:tab/>
        </w:r>
        <w:r w:rsidR="00920BEE">
          <w:rPr>
            <w:noProof/>
            <w:webHidden/>
          </w:rPr>
          <w:fldChar w:fldCharType="begin"/>
        </w:r>
        <w:r w:rsidR="00920BEE">
          <w:rPr>
            <w:noProof/>
            <w:webHidden/>
          </w:rPr>
          <w:instrText xml:space="preserve"> PAGEREF _Toc503965192 \h </w:instrText>
        </w:r>
        <w:r w:rsidR="00920BEE">
          <w:rPr>
            <w:noProof/>
            <w:webHidden/>
          </w:rPr>
        </w:r>
        <w:r w:rsidR="00920BEE">
          <w:rPr>
            <w:noProof/>
            <w:webHidden/>
          </w:rPr>
          <w:fldChar w:fldCharType="separate"/>
        </w:r>
        <w:r w:rsidR="00741E35">
          <w:rPr>
            <w:noProof/>
            <w:webHidden/>
          </w:rPr>
          <w:t>11</w:t>
        </w:r>
        <w:r w:rsidR="00920BEE">
          <w:rPr>
            <w:noProof/>
            <w:webHidden/>
          </w:rPr>
          <w:fldChar w:fldCharType="end"/>
        </w:r>
      </w:hyperlink>
    </w:p>
    <w:p w14:paraId="2C7DFC51" w14:textId="79ED0F73"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93" w:history="1">
        <w:r w:rsidR="00920BEE" w:rsidRPr="00577105">
          <w:rPr>
            <w:rStyle w:val="Lienhypertexte"/>
            <w:noProof/>
          </w:rPr>
          <w:t>2.8</w:t>
        </w:r>
        <w:r w:rsidR="00920BEE">
          <w:rPr>
            <w:rFonts w:asciiTheme="minorHAnsi" w:eastAsiaTheme="minorEastAsia" w:hAnsiTheme="minorHAnsi" w:cstheme="minorBidi"/>
            <w:noProof/>
            <w:color w:val="auto"/>
            <w:sz w:val="22"/>
            <w:lang w:eastAsia="fr-BE"/>
          </w:rPr>
          <w:tab/>
        </w:r>
        <w:r w:rsidR="00920BEE" w:rsidRPr="00577105">
          <w:rPr>
            <w:rStyle w:val="Lienhypertexte"/>
            <w:noProof/>
          </w:rPr>
          <w:t>Quantité</w:t>
        </w:r>
        <w:r w:rsidR="00920BEE">
          <w:rPr>
            <w:noProof/>
            <w:webHidden/>
          </w:rPr>
          <w:tab/>
        </w:r>
        <w:r w:rsidR="00920BEE">
          <w:rPr>
            <w:noProof/>
            <w:webHidden/>
          </w:rPr>
          <w:fldChar w:fldCharType="begin"/>
        </w:r>
        <w:r w:rsidR="00920BEE">
          <w:rPr>
            <w:noProof/>
            <w:webHidden/>
          </w:rPr>
          <w:instrText xml:space="preserve"> PAGEREF _Toc503965193 \h </w:instrText>
        </w:r>
        <w:r w:rsidR="00920BEE">
          <w:rPr>
            <w:noProof/>
            <w:webHidden/>
          </w:rPr>
        </w:r>
        <w:r w:rsidR="00920BEE">
          <w:rPr>
            <w:noProof/>
            <w:webHidden/>
          </w:rPr>
          <w:fldChar w:fldCharType="separate"/>
        </w:r>
        <w:r w:rsidR="00741E35">
          <w:rPr>
            <w:noProof/>
            <w:webHidden/>
          </w:rPr>
          <w:t>11</w:t>
        </w:r>
        <w:r w:rsidR="00920BEE">
          <w:rPr>
            <w:noProof/>
            <w:webHidden/>
          </w:rPr>
          <w:fldChar w:fldCharType="end"/>
        </w:r>
      </w:hyperlink>
    </w:p>
    <w:p w14:paraId="78457901" w14:textId="5FAB4161" w:rsidR="00920BEE" w:rsidRDefault="00000000">
      <w:pPr>
        <w:pStyle w:val="TM1"/>
        <w:rPr>
          <w:rFonts w:asciiTheme="minorHAnsi" w:eastAsiaTheme="minorEastAsia" w:hAnsiTheme="minorHAnsi" w:cstheme="minorBidi"/>
          <w:b w:val="0"/>
          <w:noProof/>
          <w:color w:val="auto"/>
          <w:sz w:val="22"/>
          <w:lang w:eastAsia="fr-BE"/>
        </w:rPr>
      </w:pPr>
      <w:hyperlink w:anchor="_Toc503965194" w:history="1">
        <w:r w:rsidR="00920BEE" w:rsidRPr="00577105">
          <w:rPr>
            <w:rStyle w:val="Lienhypertexte"/>
            <w:noProof/>
          </w:rPr>
          <w:t>3</w:t>
        </w:r>
        <w:r w:rsidR="00920BEE">
          <w:rPr>
            <w:rFonts w:asciiTheme="minorHAnsi" w:eastAsiaTheme="minorEastAsia" w:hAnsiTheme="minorHAnsi" w:cstheme="minorBidi"/>
            <w:b w:val="0"/>
            <w:noProof/>
            <w:color w:val="auto"/>
            <w:sz w:val="22"/>
            <w:lang w:eastAsia="fr-BE"/>
          </w:rPr>
          <w:tab/>
        </w:r>
        <w:r w:rsidR="00920BEE" w:rsidRPr="00577105">
          <w:rPr>
            <w:rStyle w:val="Lienhypertexte"/>
            <w:noProof/>
          </w:rPr>
          <w:t>Objet et portée du marché</w:t>
        </w:r>
        <w:r w:rsidR="00920BEE">
          <w:rPr>
            <w:noProof/>
            <w:webHidden/>
          </w:rPr>
          <w:tab/>
        </w:r>
        <w:r w:rsidR="00920BEE">
          <w:rPr>
            <w:noProof/>
            <w:webHidden/>
          </w:rPr>
          <w:fldChar w:fldCharType="begin"/>
        </w:r>
        <w:r w:rsidR="00920BEE">
          <w:rPr>
            <w:noProof/>
            <w:webHidden/>
          </w:rPr>
          <w:instrText xml:space="preserve"> PAGEREF _Toc503965194 \h </w:instrText>
        </w:r>
        <w:r w:rsidR="00920BEE">
          <w:rPr>
            <w:noProof/>
            <w:webHidden/>
          </w:rPr>
        </w:r>
        <w:r w:rsidR="00920BEE">
          <w:rPr>
            <w:noProof/>
            <w:webHidden/>
          </w:rPr>
          <w:fldChar w:fldCharType="separate"/>
        </w:r>
        <w:r w:rsidR="00741E35">
          <w:rPr>
            <w:noProof/>
            <w:webHidden/>
          </w:rPr>
          <w:t>12</w:t>
        </w:r>
        <w:r w:rsidR="00920BEE">
          <w:rPr>
            <w:noProof/>
            <w:webHidden/>
          </w:rPr>
          <w:fldChar w:fldCharType="end"/>
        </w:r>
      </w:hyperlink>
    </w:p>
    <w:p w14:paraId="1C400371" w14:textId="14C53BCA"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95" w:history="1">
        <w:r w:rsidR="00920BEE" w:rsidRPr="00577105">
          <w:rPr>
            <w:rStyle w:val="Lienhypertexte"/>
            <w:noProof/>
          </w:rPr>
          <w:t>3.1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Mode de passation</w:t>
        </w:r>
        <w:r w:rsidR="00920BEE">
          <w:rPr>
            <w:noProof/>
            <w:webHidden/>
          </w:rPr>
          <w:tab/>
        </w:r>
        <w:r w:rsidR="00920BEE">
          <w:rPr>
            <w:noProof/>
            <w:webHidden/>
          </w:rPr>
          <w:fldChar w:fldCharType="begin"/>
        </w:r>
        <w:r w:rsidR="00920BEE">
          <w:rPr>
            <w:noProof/>
            <w:webHidden/>
          </w:rPr>
          <w:instrText xml:space="preserve"> PAGEREF _Toc503965195 \h </w:instrText>
        </w:r>
        <w:r w:rsidR="00920BEE">
          <w:rPr>
            <w:noProof/>
            <w:webHidden/>
          </w:rPr>
        </w:r>
        <w:r w:rsidR="00920BEE">
          <w:rPr>
            <w:noProof/>
            <w:webHidden/>
          </w:rPr>
          <w:fldChar w:fldCharType="separate"/>
        </w:r>
        <w:r w:rsidR="00741E35">
          <w:rPr>
            <w:noProof/>
            <w:webHidden/>
          </w:rPr>
          <w:t>12</w:t>
        </w:r>
        <w:r w:rsidR="00920BEE">
          <w:rPr>
            <w:noProof/>
            <w:webHidden/>
          </w:rPr>
          <w:fldChar w:fldCharType="end"/>
        </w:r>
      </w:hyperlink>
    </w:p>
    <w:p w14:paraId="5ED0C510" w14:textId="4A159F54"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96" w:history="1">
        <w:r w:rsidR="00920BEE" w:rsidRPr="00577105">
          <w:rPr>
            <w:rStyle w:val="Lienhypertexte"/>
            <w:noProof/>
          </w:rPr>
          <w:t>3.2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Publication officieuse</w:t>
        </w:r>
        <w:r w:rsidR="00920BEE">
          <w:rPr>
            <w:noProof/>
            <w:webHidden/>
          </w:rPr>
          <w:tab/>
        </w:r>
        <w:r w:rsidR="00920BEE">
          <w:rPr>
            <w:noProof/>
            <w:webHidden/>
          </w:rPr>
          <w:fldChar w:fldCharType="begin"/>
        </w:r>
        <w:r w:rsidR="00920BEE">
          <w:rPr>
            <w:noProof/>
            <w:webHidden/>
          </w:rPr>
          <w:instrText xml:space="preserve"> PAGEREF _Toc503965196 \h </w:instrText>
        </w:r>
        <w:r w:rsidR="00920BEE">
          <w:rPr>
            <w:noProof/>
            <w:webHidden/>
          </w:rPr>
        </w:r>
        <w:r w:rsidR="00920BEE">
          <w:rPr>
            <w:noProof/>
            <w:webHidden/>
          </w:rPr>
          <w:fldChar w:fldCharType="separate"/>
        </w:r>
        <w:r w:rsidR="00741E35">
          <w:rPr>
            <w:noProof/>
            <w:webHidden/>
          </w:rPr>
          <w:t>12</w:t>
        </w:r>
        <w:r w:rsidR="00920BEE">
          <w:rPr>
            <w:noProof/>
            <w:webHidden/>
          </w:rPr>
          <w:fldChar w:fldCharType="end"/>
        </w:r>
      </w:hyperlink>
    </w:p>
    <w:p w14:paraId="0A24EDCD" w14:textId="7BCB01EF" w:rsidR="00920BEE" w:rsidRDefault="00000000">
      <w:pPr>
        <w:pStyle w:val="TM3"/>
        <w:rPr>
          <w:rFonts w:asciiTheme="minorHAnsi" w:eastAsiaTheme="minorEastAsia" w:hAnsiTheme="minorHAnsi" w:cstheme="minorBidi"/>
          <w:noProof/>
          <w:color w:val="auto"/>
          <w:sz w:val="22"/>
          <w:lang w:eastAsia="fr-BE"/>
        </w:rPr>
      </w:pPr>
      <w:hyperlink w:anchor="_Toc503965197" w:history="1">
        <w:r w:rsidR="00920BEE" w:rsidRPr="00577105">
          <w:rPr>
            <w:rStyle w:val="Lienhypertexte"/>
            <w:noProof/>
          </w:rPr>
          <w:t>3.2.1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Publication Enabel</w:t>
        </w:r>
        <w:r w:rsidR="00920BEE">
          <w:rPr>
            <w:noProof/>
            <w:webHidden/>
          </w:rPr>
          <w:tab/>
        </w:r>
        <w:r w:rsidR="00920BEE">
          <w:rPr>
            <w:noProof/>
            <w:webHidden/>
          </w:rPr>
          <w:fldChar w:fldCharType="begin"/>
        </w:r>
        <w:r w:rsidR="00920BEE">
          <w:rPr>
            <w:noProof/>
            <w:webHidden/>
          </w:rPr>
          <w:instrText xml:space="preserve"> PAGEREF _Toc503965197 \h </w:instrText>
        </w:r>
        <w:r w:rsidR="00920BEE">
          <w:rPr>
            <w:noProof/>
            <w:webHidden/>
          </w:rPr>
        </w:r>
        <w:r w:rsidR="00920BEE">
          <w:rPr>
            <w:noProof/>
            <w:webHidden/>
          </w:rPr>
          <w:fldChar w:fldCharType="separate"/>
        </w:r>
        <w:r w:rsidR="00741E35">
          <w:rPr>
            <w:noProof/>
            <w:webHidden/>
          </w:rPr>
          <w:t>12</w:t>
        </w:r>
        <w:r w:rsidR="00920BEE">
          <w:rPr>
            <w:noProof/>
            <w:webHidden/>
          </w:rPr>
          <w:fldChar w:fldCharType="end"/>
        </w:r>
      </w:hyperlink>
    </w:p>
    <w:p w14:paraId="45C39608" w14:textId="0CC54AB9"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98" w:history="1">
        <w:r w:rsidR="00920BEE" w:rsidRPr="00577105">
          <w:rPr>
            <w:rStyle w:val="Lienhypertexte"/>
            <w:noProof/>
          </w:rPr>
          <w:t>3.3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Information</w:t>
        </w:r>
        <w:r w:rsidR="00920BEE">
          <w:rPr>
            <w:noProof/>
            <w:webHidden/>
          </w:rPr>
          <w:tab/>
        </w:r>
        <w:r w:rsidR="00920BEE">
          <w:rPr>
            <w:noProof/>
            <w:webHidden/>
          </w:rPr>
          <w:fldChar w:fldCharType="begin"/>
        </w:r>
        <w:r w:rsidR="00920BEE">
          <w:rPr>
            <w:noProof/>
            <w:webHidden/>
          </w:rPr>
          <w:instrText xml:space="preserve"> PAGEREF _Toc503965198 \h </w:instrText>
        </w:r>
        <w:r w:rsidR="00920BEE">
          <w:rPr>
            <w:noProof/>
            <w:webHidden/>
          </w:rPr>
        </w:r>
        <w:r w:rsidR="00920BEE">
          <w:rPr>
            <w:noProof/>
            <w:webHidden/>
          </w:rPr>
          <w:fldChar w:fldCharType="separate"/>
        </w:r>
        <w:r w:rsidR="00741E35">
          <w:rPr>
            <w:noProof/>
            <w:webHidden/>
          </w:rPr>
          <w:t>12</w:t>
        </w:r>
        <w:r w:rsidR="00920BEE">
          <w:rPr>
            <w:noProof/>
            <w:webHidden/>
          </w:rPr>
          <w:fldChar w:fldCharType="end"/>
        </w:r>
      </w:hyperlink>
    </w:p>
    <w:p w14:paraId="7B5F9276" w14:textId="5EAC32A1"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199" w:history="1">
        <w:r w:rsidR="00920BEE" w:rsidRPr="00577105">
          <w:rPr>
            <w:rStyle w:val="Lienhypertexte"/>
            <w:noProof/>
          </w:rPr>
          <w:t>3.4</w:t>
        </w:r>
        <w:r w:rsidR="00920BEE">
          <w:rPr>
            <w:rFonts w:asciiTheme="minorHAnsi" w:eastAsiaTheme="minorEastAsia" w:hAnsiTheme="minorHAnsi" w:cstheme="minorBidi"/>
            <w:noProof/>
            <w:color w:val="auto"/>
            <w:sz w:val="22"/>
            <w:lang w:eastAsia="fr-BE"/>
          </w:rPr>
          <w:tab/>
        </w:r>
        <w:r w:rsidR="00920BEE" w:rsidRPr="00577105">
          <w:rPr>
            <w:rStyle w:val="Lienhypertexte"/>
            <w:noProof/>
          </w:rPr>
          <w:t>Offre</w:t>
        </w:r>
        <w:r w:rsidR="00920BEE">
          <w:rPr>
            <w:noProof/>
            <w:webHidden/>
          </w:rPr>
          <w:tab/>
        </w:r>
        <w:r w:rsidR="00920BEE">
          <w:rPr>
            <w:noProof/>
            <w:webHidden/>
          </w:rPr>
          <w:fldChar w:fldCharType="begin"/>
        </w:r>
        <w:r w:rsidR="00920BEE">
          <w:rPr>
            <w:noProof/>
            <w:webHidden/>
          </w:rPr>
          <w:instrText xml:space="preserve"> PAGEREF _Toc503965199 \h </w:instrText>
        </w:r>
        <w:r w:rsidR="00920BEE">
          <w:rPr>
            <w:noProof/>
            <w:webHidden/>
          </w:rPr>
        </w:r>
        <w:r w:rsidR="00920BEE">
          <w:rPr>
            <w:noProof/>
            <w:webHidden/>
          </w:rPr>
          <w:fldChar w:fldCharType="separate"/>
        </w:r>
        <w:r w:rsidR="00741E35">
          <w:rPr>
            <w:noProof/>
            <w:webHidden/>
          </w:rPr>
          <w:t>12</w:t>
        </w:r>
        <w:r w:rsidR="00920BEE">
          <w:rPr>
            <w:noProof/>
            <w:webHidden/>
          </w:rPr>
          <w:fldChar w:fldCharType="end"/>
        </w:r>
      </w:hyperlink>
    </w:p>
    <w:p w14:paraId="1C82A5BE" w14:textId="3DA3E3EE" w:rsidR="00920BEE" w:rsidRDefault="00000000">
      <w:pPr>
        <w:pStyle w:val="TM3"/>
        <w:rPr>
          <w:rFonts w:asciiTheme="minorHAnsi" w:eastAsiaTheme="minorEastAsia" w:hAnsiTheme="minorHAnsi" w:cstheme="minorBidi"/>
          <w:noProof/>
          <w:color w:val="auto"/>
          <w:sz w:val="22"/>
          <w:lang w:eastAsia="fr-BE"/>
        </w:rPr>
      </w:pPr>
      <w:hyperlink w:anchor="_Toc503965200" w:history="1">
        <w:r w:rsidR="00920BEE" w:rsidRPr="00577105">
          <w:rPr>
            <w:rStyle w:val="Lienhypertexte"/>
            <w:noProof/>
          </w:rPr>
          <w:t>3.4.1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Données à mentionner dans l’offre</w:t>
        </w:r>
        <w:r w:rsidR="00920BEE">
          <w:rPr>
            <w:noProof/>
            <w:webHidden/>
          </w:rPr>
          <w:tab/>
        </w:r>
        <w:r w:rsidR="00920BEE">
          <w:rPr>
            <w:noProof/>
            <w:webHidden/>
          </w:rPr>
          <w:fldChar w:fldCharType="begin"/>
        </w:r>
        <w:r w:rsidR="00920BEE">
          <w:rPr>
            <w:noProof/>
            <w:webHidden/>
          </w:rPr>
          <w:instrText xml:space="preserve"> PAGEREF _Toc503965200 \h </w:instrText>
        </w:r>
        <w:r w:rsidR="00920BEE">
          <w:rPr>
            <w:noProof/>
            <w:webHidden/>
          </w:rPr>
        </w:r>
        <w:r w:rsidR="00920BEE">
          <w:rPr>
            <w:noProof/>
            <w:webHidden/>
          </w:rPr>
          <w:fldChar w:fldCharType="separate"/>
        </w:r>
        <w:r w:rsidR="00741E35">
          <w:rPr>
            <w:noProof/>
            <w:webHidden/>
          </w:rPr>
          <w:t>12</w:t>
        </w:r>
        <w:r w:rsidR="00920BEE">
          <w:rPr>
            <w:noProof/>
            <w:webHidden/>
          </w:rPr>
          <w:fldChar w:fldCharType="end"/>
        </w:r>
      </w:hyperlink>
    </w:p>
    <w:p w14:paraId="5B1D1AA7" w14:textId="7212D971" w:rsidR="00920BEE" w:rsidRDefault="00000000">
      <w:pPr>
        <w:pStyle w:val="TM3"/>
        <w:rPr>
          <w:rFonts w:asciiTheme="minorHAnsi" w:eastAsiaTheme="minorEastAsia" w:hAnsiTheme="minorHAnsi" w:cstheme="minorBidi"/>
          <w:noProof/>
          <w:color w:val="auto"/>
          <w:sz w:val="22"/>
          <w:lang w:eastAsia="fr-BE"/>
        </w:rPr>
      </w:pPr>
      <w:hyperlink w:anchor="_Toc503965201" w:history="1">
        <w:r w:rsidR="00920BEE" w:rsidRPr="00577105">
          <w:rPr>
            <w:rStyle w:val="Lienhypertexte"/>
            <w:noProof/>
          </w:rPr>
          <w:t>3.4.2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Durée de validité de l’offre</w:t>
        </w:r>
        <w:r w:rsidR="00920BEE">
          <w:rPr>
            <w:noProof/>
            <w:webHidden/>
          </w:rPr>
          <w:tab/>
        </w:r>
        <w:r w:rsidR="00920BEE">
          <w:rPr>
            <w:noProof/>
            <w:webHidden/>
          </w:rPr>
          <w:fldChar w:fldCharType="begin"/>
        </w:r>
        <w:r w:rsidR="00920BEE">
          <w:rPr>
            <w:noProof/>
            <w:webHidden/>
          </w:rPr>
          <w:instrText xml:space="preserve"> PAGEREF _Toc503965201 \h </w:instrText>
        </w:r>
        <w:r w:rsidR="00920BEE">
          <w:rPr>
            <w:noProof/>
            <w:webHidden/>
          </w:rPr>
        </w:r>
        <w:r w:rsidR="00920BEE">
          <w:rPr>
            <w:noProof/>
            <w:webHidden/>
          </w:rPr>
          <w:fldChar w:fldCharType="separate"/>
        </w:r>
        <w:r w:rsidR="00741E35">
          <w:rPr>
            <w:noProof/>
            <w:webHidden/>
          </w:rPr>
          <w:t>13</w:t>
        </w:r>
        <w:r w:rsidR="00920BEE">
          <w:rPr>
            <w:noProof/>
            <w:webHidden/>
          </w:rPr>
          <w:fldChar w:fldCharType="end"/>
        </w:r>
      </w:hyperlink>
    </w:p>
    <w:p w14:paraId="06944E17" w14:textId="46B9F739" w:rsidR="00920BEE" w:rsidRDefault="00000000">
      <w:pPr>
        <w:pStyle w:val="TM3"/>
        <w:rPr>
          <w:rFonts w:asciiTheme="minorHAnsi" w:eastAsiaTheme="minorEastAsia" w:hAnsiTheme="minorHAnsi" w:cstheme="minorBidi"/>
          <w:noProof/>
          <w:color w:val="auto"/>
          <w:sz w:val="22"/>
          <w:lang w:eastAsia="fr-BE"/>
        </w:rPr>
      </w:pPr>
      <w:hyperlink w:anchor="_Toc503965202" w:history="1">
        <w:r w:rsidR="00920BEE" w:rsidRPr="00577105">
          <w:rPr>
            <w:rStyle w:val="Lienhypertexte"/>
            <w:noProof/>
          </w:rPr>
          <w:t>3.4.3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Détermination des prix</w:t>
        </w:r>
        <w:r w:rsidR="00920BEE">
          <w:rPr>
            <w:noProof/>
            <w:webHidden/>
          </w:rPr>
          <w:tab/>
        </w:r>
        <w:r w:rsidR="00920BEE">
          <w:rPr>
            <w:noProof/>
            <w:webHidden/>
          </w:rPr>
          <w:fldChar w:fldCharType="begin"/>
        </w:r>
        <w:r w:rsidR="00920BEE">
          <w:rPr>
            <w:noProof/>
            <w:webHidden/>
          </w:rPr>
          <w:instrText xml:space="preserve"> PAGEREF _Toc503965202 \h </w:instrText>
        </w:r>
        <w:r w:rsidR="00920BEE">
          <w:rPr>
            <w:noProof/>
            <w:webHidden/>
          </w:rPr>
        </w:r>
        <w:r w:rsidR="00920BEE">
          <w:rPr>
            <w:noProof/>
            <w:webHidden/>
          </w:rPr>
          <w:fldChar w:fldCharType="separate"/>
        </w:r>
        <w:r w:rsidR="00741E35">
          <w:rPr>
            <w:noProof/>
            <w:webHidden/>
          </w:rPr>
          <w:t>13</w:t>
        </w:r>
        <w:r w:rsidR="00920BEE">
          <w:rPr>
            <w:noProof/>
            <w:webHidden/>
          </w:rPr>
          <w:fldChar w:fldCharType="end"/>
        </w:r>
      </w:hyperlink>
    </w:p>
    <w:p w14:paraId="02847E88" w14:textId="39E3BDA1" w:rsidR="00920BEE" w:rsidRDefault="00000000">
      <w:pPr>
        <w:pStyle w:val="TM4"/>
        <w:rPr>
          <w:rFonts w:asciiTheme="minorHAnsi" w:eastAsiaTheme="minorEastAsia" w:hAnsiTheme="minorHAnsi" w:cstheme="minorBidi"/>
          <w:noProof/>
          <w:color w:val="auto"/>
          <w:sz w:val="22"/>
          <w:lang w:eastAsia="fr-BE"/>
        </w:rPr>
      </w:pPr>
      <w:hyperlink w:anchor="_Toc503965203" w:history="1">
        <w:r w:rsidR="00920BEE" w:rsidRPr="00577105">
          <w:rPr>
            <w:rStyle w:val="Lienhypertexte"/>
            <w:noProof/>
          </w:rPr>
          <w:t>3.4.3.1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Eléments inclus dans le prix</w:t>
        </w:r>
        <w:r w:rsidR="00920BEE">
          <w:rPr>
            <w:noProof/>
            <w:webHidden/>
          </w:rPr>
          <w:tab/>
        </w:r>
        <w:r w:rsidR="00920BEE">
          <w:rPr>
            <w:noProof/>
            <w:webHidden/>
          </w:rPr>
          <w:fldChar w:fldCharType="begin"/>
        </w:r>
        <w:r w:rsidR="00920BEE">
          <w:rPr>
            <w:noProof/>
            <w:webHidden/>
          </w:rPr>
          <w:instrText xml:space="preserve"> PAGEREF _Toc503965203 \h </w:instrText>
        </w:r>
        <w:r w:rsidR="00920BEE">
          <w:rPr>
            <w:noProof/>
            <w:webHidden/>
          </w:rPr>
        </w:r>
        <w:r w:rsidR="00920BEE">
          <w:rPr>
            <w:noProof/>
            <w:webHidden/>
          </w:rPr>
          <w:fldChar w:fldCharType="separate"/>
        </w:r>
        <w:r w:rsidR="00741E35">
          <w:rPr>
            <w:noProof/>
            <w:webHidden/>
          </w:rPr>
          <w:t>13</w:t>
        </w:r>
        <w:r w:rsidR="00920BEE">
          <w:rPr>
            <w:noProof/>
            <w:webHidden/>
          </w:rPr>
          <w:fldChar w:fldCharType="end"/>
        </w:r>
      </w:hyperlink>
    </w:p>
    <w:p w14:paraId="2FF6E765" w14:textId="0C3F133D" w:rsidR="00920BEE" w:rsidRDefault="00000000">
      <w:pPr>
        <w:pStyle w:val="TM3"/>
        <w:rPr>
          <w:rFonts w:asciiTheme="minorHAnsi" w:eastAsiaTheme="minorEastAsia" w:hAnsiTheme="minorHAnsi" w:cstheme="minorBidi"/>
          <w:noProof/>
          <w:color w:val="auto"/>
          <w:sz w:val="22"/>
          <w:lang w:eastAsia="fr-BE"/>
        </w:rPr>
      </w:pPr>
      <w:hyperlink w:anchor="_Toc503965204" w:history="1">
        <w:r w:rsidR="00920BEE" w:rsidRPr="00577105">
          <w:rPr>
            <w:rStyle w:val="Lienhypertexte"/>
            <w:noProof/>
          </w:rPr>
          <w:t>3.4.4</w:t>
        </w:r>
        <w:r w:rsidR="00920BEE">
          <w:rPr>
            <w:rFonts w:asciiTheme="minorHAnsi" w:eastAsiaTheme="minorEastAsia" w:hAnsiTheme="minorHAnsi" w:cstheme="minorBidi"/>
            <w:noProof/>
            <w:color w:val="auto"/>
            <w:sz w:val="22"/>
            <w:lang w:eastAsia="fr-BE"/>
          </w:rPr>
          <w:tab/>
        </w:r>
        <w:r w:rsidR="00920BEE" w:rsidRPr="00577105">
          <w:rPr>
            <w:rStyle w:val="Lienhypertexte"/>
            <w:noProof/>
          </w:rPr>
          <w:t>Introduction des offres</w:t>
        </w:r>
        <w:r w:rsidR="00920BEE">
          <w:rPr>
            <w:noProof/>
            <w:webHidden/>
          </w:rPr>
          <w:tab/>
        </w:r>
        <w:r w:rsidR="00920BEE">
          <w:rPr>
            <w:noProof/>
            <w:webHidden/>
          </w:rPr>
          <w:fldChar w:fldCharType="begin"/>
        </w:r>
        <w:r w:rsidR="00920BEE">
          <w:rPr>
            <w:noProof/>
            <w:webHidden/>
          </w:rPr>
          <w:instrText xml:space="preserve"> PAGEREF _Toc503965204 \h </w:instrText>
        </w:r>
        <w:r w:rsidR="00920BEE">
          <w:rPr>
            <w:noProof/>
            <w:webHidden/>
          </w:rPr>
        </w:r>
        <w:r w:rsidR="00920BEE">
          <w:rPr>
            <w:noProof/>
            <w:webHidden/>
          </w:rPr>
          <w:fldChar w:fldCharType="separate"/>
        </w:r>
        <w:r w:rsidR="00741E35">
          <w:rPr>
            <w:noProof/>
            <w:webHidden/>
          </w:rPr>
          <w:t>15</w:t>
        </w:r>
        <w:r w:rsidR="00920BEE">
          <w:rPr>
            <w:noProof/>
            <w:webHidden/>
          </w:rPr>
          <w:fldChar w:fldCharType="end"/>
        </w:r>
      </w:hyperlink>
    </w:p>
    <w:p w14:paraId="2E17EC2E" w14:textId="097A5CB0" w:rsidR="00920BEE" w:rsidRDefault="00000000">
      <w:pPr>
        <w:pStyle w:val="TM3"/>
        <w:rPr>
          <w:rFonts w:asciiTheme="minorHAnsi" w:eastAsiaTheme="minorEastAsia" w:hAnsiTheme="minorHAnsi" w:cstheme="minorBidi"/>
          <w:noProof/>
          <w:color w:val="auto"/>
          <w:sz w:val="22"/>
          <w:lang w:eastAsia="fr-BE"/>
        </w:rPr>
      </w:pPr>
      <w:hyperlink w:anchor="_Toc503965205" w:history="1">
        <w:r w:rsidR="00920BEE" w:rsidRPr="00577105">
          <w:rPr>
            <w:rStyle w:val="Lienhypertexte"/>
            <w:noProof/>
          </w:rPr>
          <w:t>3.4.5</w:t>
        </w:r>
        <w:r w:rsidR="00920BEE">
          <w:rPr>
            <w:rFonts w:asciiTheme="minorHAnsi" w:eastAsiaTheme="minorEastAsia" w:hAnsiTheme="minorHAnsi" w:cstheme="minorBidi"/>
            <w:noProof/>
            <w:color w:val="auto"/>
            <w:sz w:val="22"/>
            <w:lang w:eastAsia="fr-BE"/>
          </w:rPr>
          <w:tab/>
        </w:r>
        <w:r w:rsidR="00920BEE" w:rsidRPr="00577105">
          <w:rPr>
            <w:rStyle w:val="Lienhypertexte"/>
            <w:noProof/>
          </w:rPr>
          <w:t>Modification ou retrait d’une offre déjà introduite</w:t>
        </w:r>
        <w:r w:rsidR="00920BEE">
          <w:rPr>
            <w:noProof/>
            <w:webHidden/>
          </w:rPr>
          <w:tab/>
        </w:r>
        <w:r w:rsidR="00920BEE">
          <w:rPr>
            <w:noProof/>
            <w:webHidden/>
          </w:rPr>
          <w:fldChar w:fldCharType="begin"/>
        </w:r>
        <w:r w:rsidR="00920BEE">
          <w:rPr>
            <w:noProof/>
            <w:webHidden/>
          </w:rPr>
          <w:instrText xml:space="preserve"> PAGEREF _Toc503965205 \h </w:instrText>
        </w:r>
        <w:r w:rsidR="00920BEE">
          <w:rPr>
            <w:noProof/>
            <w:webHidden/>
          </w:rPr>
        </w:r>
        <w:r w:rsidR="00920BEE">
          <w:rPr>
            <w:noProof/>
            <w:webHidden/>
          </w:rPr>
          <w:fldChar w:fldCharType="separate"/>
        </w:r>
        <w:r w:rsidR="00741E35">
          <w:rPr>
            <w:noProof/>
            <w:webHidden/>
          </w:rPr>
          <w:t>15</w:t>
        </w:r>
        <w:r w:rsidR="00920BEE">
          <w:rPr>
            <w:noProof/>
            <w:webHidden/>
          </w:rPr>
          <w:fldChar w:fldCharType="end"/>
        </w:r>
      </w:hyperlink>
    </w:p>
    <w:p w14:paraId="66CC6D10" w14:textId="2EBA6738" w:rsidR="00920BEE" w:rsidRDefault="00000000">
      <w:pPr>
        <w:pStyle w:val="TM3"/>
        <w:rPr>
          <w:rFonts w:asciiTheme="minorHAnsi" w:eastAsiaTheme="minorEastAsia" w:hAnsiTheme="minorHAnsi" w:cstheme="minorBidi"/>
          <w:noProof/>
          <w:color w:val="auto"/>
          <w:sz w:val="22"/>
          <w:lang w:eastAsia="fr-BE"/>
        </w:rPr>
      </w:pPr>
      <w:hyperlink w:anchor="_Toc503965206" w:history="1">
        <w:r w:rsidR="00920BEE" w:rsidRPr="00577105">
          <w:rPr>
            <w:rStyle w:val="Lienhypertexte"/>
            <w:noProof/>
          </w:rPr>
          <w:t>3.4.6</w:t>
        </w:r>
        <w:r w:rsidR="00920BEE">
          <w:rPr>
            <w:rFonts w:asciiTheme="minorHAnsi" w:eastAsiaTheme="minorEastAsia" w:hAnsiTheme="minorHAnsi" w:cstheme="minorBidi"/>
            <w:noProof/>
            <w:color w:val="auto"/>
            <w:sz w:val="22"/>
            <w:lang w:eastAsia="fr-BE"/>
          </w:rPr>
          <w:tab/>
        </w:r>
        <w:r w:rsidR="00920BEE" w:rsidRPr="00577105">
          <w:rPr>
            <w:rStyle w:val="Lienhypertexte"/>
            <w:noProof/>
          </w:rPr>
          <w:t>Sélection des soumissionnaires</w:t>
        </w:r>
        <w:r w:rsidR="00920BEE">
          <w:rPr>
            <w:noProof/>
            <w:webHidden/>
          </w:rPr>
          <w:tab/>
        </w:r>
        <w:r w:rsidR="00920BEE">
          <w:rPr>
            <w:noProof/>
            <w:webHidden/>
          </w:rPr>
          <w:fldChar w:fldCharType="begin"/>
        </w:r>
        <w:r w:rsidR="00920BEE">
          <w:rPr>
            <w:noProof/>
            <w:webHidden/>
          </w:rPr>
          <w:instrText xml:space="preserve"> PAGEREF _Toc503965206 \h </w:instrText>
        </w:r>
        <w:r w:rsidR="00920BEE">
          <w:rPr>
            <w:noProof/>
            <w:webHidden/>
          </w:rPr>
        </w:r>
        <w:r w:rsidR="00920BEE">
          <w:rPr>
            <w:noProof/>
            <w:webHidden/>
          </w:rPr>
          <w:fldChar w:fldCharType="separate"/>
        </w:r>
        <w:r w:rsidR="00741E35">
          <w:rPr>
            <w:noProof/>
            <w:webHidden/>
          </w:rPr>
          <w:t>15</w:t>
        </w:r>
        <w:r w:rsidR="00920BEE">
          <w:rPr>
            <w:noProof/>
            <w:webHidden/>
          </w:rPr>
          <w:fldChar w:fldCharType="end"/>
        </w:r>
      </w:hyperlink>
    </w:p>
    <w:p w14:paraId="4B80DC2C" w14:textId="3C6BAF87" w:rsidR="00920BEE" w:rsidRDefault="00000000">
      <w:pPr>
        <w:pStyle w:val="TM4"/>
        <w:rPr>
          <w:rFonts w:asciiTheme="minorHAnsi" w:eastAsiaTheme="minorEastAsia" w:hAnsiTheme="minorHAnsi" w:cstheme="minorBidi"/>
          <w:noProof/>
          <w:color w:val="auto"/>
          <w:sz w:val="22"/>
          <w:lang w:eastAsia="fr-BE"/>
        </w:rPr>
      </w:pPr>
      <w:hyperlink w:anchor="_Toc503965207" w:history="1">
        <w:r w:rsidR="00920BEE" w:rsidRPr="00577105">
          <w:rPr>
            <w:rStyle w:val="Lienhypertexte"/>
            <w:noProof/>
          </w:rPr>
          <w:t>3.4.6.1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Motifs d’exclusion</w:t>
        </w:r>
        <w:r w:rsidR="00920BEE">
          <w:rPr>
            <w:noProof/>
            <w:webHidden/>
          </w:rPr>
          <w:tab/>
        </w:r>
        <w:r w:rsidR="00920BEE">
          <w:rPr>
            <w:noProof/>
            <w:webHidden/>
          </w:rPr>
          <w:fldChar w:fldCharType="begin"/>
        </w:r>
        <w:r w:rsidR="00920BEE">
          <w:rPr>
            <w:noProof/>
            <w:webHidden/>
          </w:rPr>
          <w:instrText xml:space="preserve"> PAGEREF _Toc503965207 \h </w:instrText>
        </w:r>
        <w:r w:rsidR="00920BEE">
          <w:rPr>
            <w:noProof/>
            <w:webHidden/>
          </w:rPr>
        </w:r>
        <w:r w:rsidR="00920BEE">
          <w:rPr>
            <w:noProof/>
            <w:webHidden/>
          </w:rPr>
          <w:fldChar w:fldCharType="separate"/>
        </w:r>
        <w:r w:rsidR="00741E35">
          <w:rPr>
            <w:noProof/>
            <w:webHidden/>
          </w:rPr>
          <w:t>15</w:t>
        </w:r>
        <w:r w:rsidR="00920BEE">
          <w:rPr>
            <w:noProof/>
            <w:webHidden/>
          </w:rPr>
          <w:fldChar w:fldCharType="end"/>
        </w:r>
      </w:hyperlink>
    </w:p>
    <w:p w14:paraId="298B6A43" w14:textId="610159BD" w:rsidR="00920BEE" w:rsidRDefault="00000000">
      <w:pPr>
        <w:pStyle w:val="TM4"/>
        <w:rPr>
          <w:rFonts w:asciiTheme="minorHAnsi" w:eastAsiaTheme="minorEastAsia" w:hAnsiTheme="minorHAnsi" w:cstheme="minorBidi"/>
          <w:noProof/>
          <w:color w:val="auto"/>
          <w:sz w:val="22"/>
          <w:lang w:eastAsia="fr-BE"/>
        </w:rPr>
      </w:pPr>
      <w:hyperlink w:anchor="_Toc503965208" w:history="1">
        <w:r w:rsidR="00920BEE" w:rsidRPr="00577105">
          <w:rPr>
            <w:rStyle w:val="Lienhypertexte"/>
            <w:noProof/>
          </w:rPr>
          <w:t>3.4.6.2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Critères de sélection</w:t>
        </w:r>
        <w:r w:rsidR="00920BEE">
          <w:rPr>
            <w:noProof/>
            <w:webHidden/>
          </w:rPr>
          <w:tab/>
        </w:r>
        <w:r w:rsidR="00920BEE">
          <w:rPr>
            <w:noProof/>
            <w:webHidden/>
          </w:rPr>
          <w:fldChar w:fldCharType="begin"/>
        </w:r>
        <w:r w:rsidR="00920BEE">
          <w:rPr>
            <w:noProof/>
            <w:webHidden/>
          </w:rPr>
          <w:instrText xml:space="preserve"> PAGEREF _Toc503965208 \h </w:instrText>
        </w:r>
        <w:r w:rsidR="00920BEE">
          <w:rPr>
            <w:noProof/>
            <w:webHidden/>
          </w:rPr>
        </w:r>
        <w:r w:rsidR="00920BEE">
          <w:rPr>
            <w:noProof/>
            <w:webHidden/>
          </w:rPr>
          <w:fldChar w:fldCharType="separate"/>
        </w:r>
        <w:r w:rsidR="00741E35">
          <w:rPr>
            <w:noProof/>
            <w:webHidden/>
          </w:rPr>
          <w:t>16</w:t>
        </w:r>
        <w:r w:rsidR="00920BEE">
          <w:rPr>
            <w:noProof/>
            <w:webHidden/>
          </w:rPr>
          <w:fldChar w:fldCharType="end"/>
        </w:r>
      </w:hyperlink>
    </w:p>
    <w:p w14:paraId="647863DB" w14:textId="261E94A3" w:rsidR="00920BEE" w:rsidRDefault="00000000">
      <w:pPr>
        <w:pStyle w:val="TM4"/>
        <w:rPr>
          <w:rFonts w:asciiTheme="minorHAnsi" w:eastAsiaTheme="minorEastAsia" w:hAnsiTheme="minorHAnsi" w:cstheme="minorBidi"/>
          <w:noProof/>
          <w:color w:val="auto"/>
          <w:sz w:val="22"/>
          <w:lang w:eastAsia="fr-BE"/>
        </w:rPr>
      </w:pPr>
      <w:hyperlink w:anchor="_Toc503965209" w:history="1">
        <w:r w:rsidR="00920BEE" w:rsidRPr="00577105">
          <w:rPr>
            <w:rStyle w:val="Lienhypertexte"/>
            <w:noProof/>
          </w:rPr>
          <w:t>3.4.6.3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Aperçu de la procédure</w:t>
        </w:r>
        <w:r w:rsidR="00920BEE">
          <w:rPr>
            <w:noProof/>
            <w:webHidden/>
          </w:rPr>
          <w:tab/>
        </w:r>
        <w:r w:rsidR="00920BEE">
          <w:rPr>
            <w:noProof/>
            <w:webHidden/>
          </w:rPr>
          <w:fldChar w:fldCharType="begin"/>
        </w:r>
        <w:r w:rsidR="00920BEE">
          <w:rPr>
            <w:noProof/>
            <w:webHidden/>
          </w:rPr>
          <w:instrText xml:space="preserve"> PAGEREF _Toc503965209 \h </w:instrText>
        </w:r>
        <w:r w:rsidR="00920BEE">
          <w:rPr>
            <w:noProof/>
            <w:webHidden/>
          </w:rPr>
        </w:r>
        <w:r w:rsidR="00920BEE">
          <w:rPr>
            <w:noProof/>
            <w:webHidden/>
          </w:rPr>
          <w:fldChar w:fldCharType="separate"/>
        </w:r>
        <w:r w:rsidR="00741E35">
          <w:rPr>
            <w:noProof/>
            <w:webHidden/>
          </w:rPr>
          <w:t>16</w:t>
        </w:r>
        <w:r w:rsidR="00920BEE">
          <w:rPr>
            <w:noProof/>
            <w:webHidden/>
          </w:rPr>
          <w:fldChar w:fldCharType="end"/>
        </w:r>
      </w:hyperlink>
    </w:p>
    <w:p w14:paraId="799BA864" w14:textId="6CD4707B" w:rsidR="00920BEE" w:rsidRDefault="00000000">
      <w:pPr>
        <w:pStyle w:val="TM4"/>
        <w:rPr>
          <w:rFonts w:asciiTheme="minorHAnsi" w:eastAsiaTheme="minorEastAsia" w:hAnsiTheme="minorHAnsi" w:cstheme="minorBidi"/>
          <w:noProof/>
          <w:color w:val="auto"/>
          <w:sz w:val="22"/>
          <w:lang w:eastAsia="fr-BE"/>
        </w:rPr>
      </w:pPr>
      <w:hyperlink w:anchor="_Toc503965210" w:history="1">
        <w:r w:rsidR="00920BEE" w:rsidRPr="00577105">
          <w:rPr>
            <w:rStyle w:val="Lienhypertexte"/>
            <w:noProof/>
          </w:rPr>
          <w:t>3.4.6.4</w:t>
        </w:r>
        <w:r w:rsidR="00920BEE">
          <w:rPr>
            <w:rFonts w:asciiTheme="minorHAnsi" w:eastAsiaTheme="minorEastAsia" w:hAnsiTheme="minorHAnsi" w:cstheme="minorBidi"/>
            <w:noProof/>
            <w:color w:val="auto"/>
            <w:sz w:val="22"/>
            <w:lang w:eastAsia="fr-BE"/>
          </w:rPr>
          <w:tab/>
        </w:r>
        <w:r w:rsidR="00920BEE" w:rsidRPr="00577105">
          <w:rPr>
            <w:rStyle w:val="Lienhypertexte"/>
            <w:noProof/>
          </w:rPr>
          <w:t xml:space="preserve">Critères d’attribution </w:t>
        </w:r>
        <w:r w:rsidR="00920BEE" w:rsidRPr="00577105">
          <w:rPr>
            <w:rStyle w:val="Lienhypertexte"/>
            <w:rFonts w:ascii="Arial" w:hAnsi="Arial" w:cs="Arial"/>
            <w:noProof/>
          </w:rPr>
          <w:t>♣</w:t>
        </w:r>
        <w:r w:rsidR="00920BEE">
          <w:rPr>
            <w:noProof/>
            <w:webHidden/>
          </w:rPr>
          <w:tab/>
        </w:r>
        <w:r w:rsidR="00920BEE">
          <w:rPr>
            <w:noProof/>
            <w:webHidden/>
          </w:rPr>
          <w:fldChar w:fldCharType="begin"/>
        </w:r>
        <w:r w:rsidR="00920BEE">
          <w:rPr>
            <w:noProof/>
            <w:webHidden/>
          </w:rPr>
          <w:instrText xml:space="preserve"> PAGEREF _Toc503965210 \h </w:instrText>
        </w:r>
        <w:r w:rsidR="00920BEE">
          <w:rPr>
            <w:noProof/>
            <w:webHidden/>
          </w:rPr>
        </w:r>
        <w:r w:rsidR="00920BEE">
          <w:rPr>
            <w:noProof/>
            <w:webHidden/>
          </w:rPr>
          <w:fldChar w:fldCharType="separate"/>
        </w:r>
        <w:r w:rsidR="00741E35">
          <w:rPr>
            <w:noProof/>
            <w:webHidden/>
          </w:rPr>
          <w:t>17</w:t>
        </w:r>
        <w:r w:rsidR="00920BEE">
          <w:rPr>
            <w:noProof/>
            <w:webHidden/>
          </w:rPr>
          <w:fldChar w:fldCharType="end"/>
        </w:r>
      </w:hyperlink>
    </w:p>
    <w:p w14:paraId="6397EA61" w14:textId="76FCD825" w:rsidR="00920BEE" w:rsidRDefault="00000000">
      <w:pPr>
        <w:pStyle w:val="TM4"/>
        <w:rPr>
          <w:rFonts w:asciiTheme="minorHAnsi" w:eastAsiaTheme="minorEastAsia" w:hAnsiTheme="minorHAnsi" w:cstheme="minorBidi"/>
          <w:noProof/>
          <w:color w:val="auto"/>
          <w:sz w:val="22"/>
          <w:lang w:eastAsia="fr-BE"/>
        </w:rPr>
      </w:pPr>
      <w:hyperlink w:anchor="_Toc503965211" w:history="1">
        <w:r w:rsidR="00920BEE" w:rsidRPr="00577105">
          <w:rPr>
            <w:rStyle w:val="Lienhypertexte"/>
            <w:noProof/>
          </w:rPr>
          <w:t>3.4.6.5</w:t>
        </w:r>
        <w:r w:rsidR="00920BEE">
          <w:rPr>
            <w:rFonts w:asciiTheme="minorHAnsi" w:eastAsiaTheme="minorEastAsia" w:hAnsiTheme="minorHAnsi" w:cstheme="minorBidi"/>
            <w:noProof/>
            <w:color w:val="auto"/>
            <w:sz w:val="22"/>
            <w:lang w:eastAsia="fr-BE"/>
          </w:rPr>
          <w:tab/>
        </w:r>
        <w:r w:rsidR="00920BEE" w:rsidRPr="00577105">
          <w:rPr>
            <w:rStyle w:val="Lienhypertexte"/>
            <w:noProof/>
          </w:rPr>
          <w:t>Cotation finale</w:t>
        </w:r>
        <w:r w:rsidR="00920BEE">
          <w:rPr>
            <w:noProof/>
            <w:webHidden/>
          </w:rPr>
          <w:tab/>
        </w:r>
        <w:r w:rsidR="00920BEE">
          <w:rPr>
            <w:noProof/>
            <w:webHidden/>
          </w:rPr>
          <w:fldChar w:fldCharType="begin"/>
        </w:r>
        <w:r w:rsidR="00920BEE">
          <w:rPr>
            <w:noProof/>
            <w:webHidden/>
          </w:rPr>
          <w:instrText xml:space="preserve"> PAGEREF _Toc503965211 \h </w:instrText>
        </w:r>
        <w:r w:rsidR="00920BEE">
          <w:rPr>
            <w:noProof/>
            <w:webHidden/>
          </w:rPr>
        </w:r>
        <w:r w:rsidR="00920BEE">
          <w:rPr>
            <w:noProof/>
            <w:webHidden/>
          </w:rPr>
          <w:fldChar w:fldCharType="separate"/>
        </w:r>
        <w:r w:rsidR="00741E35">
          <w:rPr>
            <w:noProof/>
            <w:webHidden/>
          </w:rPr>
          <w:t>17</w:t>
        </w:r>
        <w:r w:rsidR="00920BEE">
          <w:rPr>
            <w:noProof/>
            <w:webHidden/>
          </w:rPr>
          <w:fldChar w:fldCharType="end"/>
        </w:r>
      </w:hyperlink>
    </w:p>
    <w:p w14:paraId="5607745D" w14:textId="6DE6EC46" w:rsidR="00920BEE" w:rsidRDefault="00000000">
      <w:pPr>
        <w:pStyle w:val="TM4"/>
        <w:rPr>
          <w:rFonts w:asciiTheme="minorHAnsi" w:eastAsiaTheme="minorEastAsia" w:hAnsiTheme="minorHAnsi" w:cstheme="minorBidi"/>
          <w:noProof/>
          <w:color w:val="auto"/>
          <w:sz w:val="22"/>
          <w:lang w:eastAsia="fr-BE"/>
        </w:rPr>
      </w:pPr>
      <w:hyperlink w:anchor="_Toc503965212" w:history="1">
        <w:r w:rsidR="00920BEE" w:rsidRPr="00577105">
          <w:rPr>
            <w:rStyle w:val="Lienhypertexte"/>
            <w:noProof/>
          </w:rPr>
          <w:t>3.4.6.6</w:t>
        </w:r>
        <w:r w:rsidR="00920BEE">
          <w:rPr>
            <w:rFonts w:asciiTheme="minorHAnsi" w:eastAsiaTheme="minorEastAsia" w:hAnsiTheme="minorHAnsi" w:cstheme="minorBidi"/>
            <w:noProof/>
            <w:color w:val="auto"/>
            <w:sz w:val="22"/>
            <w:lang w:eastAsia="fr-BE"/>
          </w:rPr>
          <w:tab/>
        </w:r>
        <w:r w:rsidR="00920BEE" w:rsidRPr="00577105">
          <w:rPr>
            <w:rStyle w:val="Lienhypertexte"/>
            <w:noProof/>
          </w:rPr>
          <w:t>Attribution du marché</w:t>
        </w:r>
        <w:r w:rsidR="00920BEE">
          <w:rPr>
            <w:noProof/>
            <w:webHidden/>
          </w:rPr>
          <w:tab/>
        </w:r>
        <w:r w:rsidR="00920BEE">
          <w:rPr>
            <w:noProof/>
            <w:webHidden/>
          </w:rPr>
          <w:fldChar w:fldCharType="begin"/>
        </w:r>
        <w:r w:rsidR="00920BEE">
          <w:rPr>
            <w:noProof/>
            <w:webHidden/>
          </w:rPr>
          <w:instrText xml:space="preserve"> PAGEREF _Toc503965212 \h </w:instrText>
        </w:r>
        <w:r w:rsidR="00920BEE">
          <w:rPr>
            <w:noProof/>
            <w:webHidden/>
          </w:rPr>
        </w:r>
        <w:r w:rsidR="00920BEE">
          <w:rPr>
            <w:noProof/>
            <w:webHidden/>
          </w:rPr>
          <w:fldChar w:fldCharType="separate"/>
        </w:r>
        <w:r w:rsidR="00741E35">
          <w:rPr>
            <w:noProof/>
            <w:webHidden/>
          </w:rPr>
          <w:t>17</w:t>
        </w:r>
        <w:r w:rsidR="00920BEE">
          <w:rPr>
            <w:noProof/>
            <w:webHidden/>
          </w:rPr>
          <w:fldChar w:fldCharType="end"/>
        </w:r>
      </w:hyperlink>
    </w:p>
    <w:p w14:paraId="7707E78D" w14:textId="48D278AA" w:rsidR="00920BEE" w:rsidRDefault="00000000">
      <w:pPr>
        <w:pStyle w:val="TM3"/>
        <w:rPr>
          <w:rFonts w:asciiTheme="minorHAnsi" w:eastAsiaTheme="minorEastAsia" w:hAnsiTheme="minorHAnsi" w:cstheme="minorBidi"/>
          <w:noProof/>
          <w:color w:val="auto"/>
          <w:sz w:val="22"/>
          <w:lang w:eastAsia="fr-BE"/>
        </w:rPr>
      </w:pPr>
      <w:hyperlink w:anchor="_Toc503965213" w:history="1">
        <w:r w:rsidR="00920BEE" w:rsidRPr="00577105">
          <w:rPr>
            <w:rStyle w:val="Lienhypertexte"/>
            <w:noProof/>
          </w:rPr>
          <w:t>3.4.7</w:t>
        </w:r>
        <w:r w:rsidR="00920BEE">
          <w:rPr>
            <w:rFonts w:asciiTheme="minorHAnsi" w:eastAsiaTheme="minorEastAsia" w:hAnsiTheme="minorHAnsi" w:cstheme="minorBidi"/>
            <w:noProof/>
            <w:color w:val="auto"/>
            <w:sz w:val="22"/>
            <w:lang w:eastAsia="fr-BE"/>
          </w:rPr>
          <w:tab/>
        </w:r>
        <w:r w:rsidR="00920BEE" w:rsidRPr="00577105">
          <w:rPr>
            <w:rStyle w:val="Lienhypertexte"/>
            <w:noProof/>
          </w:rPr>
          <w:t>Conclusion du contrat</w:t>
        </w:r>
        <w:r w:rsidR="00920BEE">
          <w:rPr>
            <w:noProof/>
            <w:webHidden/>
          </w:rPr>
          <w:tab/>
        </w:r>
        <w:r w:rsidR="00920BEE">
          <w:rPr>
            <w:noProof/>
            <w:webHidden/>
          </w:rPr>
          <w:fldChar w:fldCharType="begin"/>
        </w:r>
        <w:r w:rsidR="00920BEE">
          <w:rPr>
            <w:noProof/>
            <w:webHidden/>
          </w:rPr>
          <w:instrText xml:space="preserve"> PAGEREF _Toc503965213 \h </w:instrText>
        </w:r>
        <w:r w:rsidR="00920BEE">
          <w:rPr>
            <w:noProof/>
            <w:webHidden/>
          </w:rPr>
        </w:r>
        <w:r w:rsidR="00920BEE">
          <w:rPr>
            <w:noProof/>
            <w:webHidden/>
          </w:rPr>
          <w:fldChar w:fldCharType="separate"/>
        </w:r>
        <w:r w:rsidR="00741E35">
          <w:rPr>
            <w:noProof/>
            <w:webHidden/>
          </w:rPr>
          <w:t>17</w:t>
        </w:r>
        <w:r w:rsidR="00920BEE">
          <w:rPr>
            <w:noProof/>
            <w:webHidden/>
          </w:rPr>
          <w:fldChar w:fldCharType="end"/>
        </w:r>
      </w:hyperlink>
    </w:p>
    <w:p w14:paraId="054B0F47" w14:textId="43001E4F" w:rsidR="00920BEE" w:rsidRDefault="00000000">
      <w:pPr>
        <w:pStyle w:val="TM1"/>
        <w:rPr>
          <w:rFonts w:asciiTheme="minorHAnsi" w:eastAsiaTheme="minorEastAsia" w:hAnsiTheme="minorHAnsi" w:cstheme="minorBidi"/>
          <w:b w:val="0"/>
          <w:noProof/>
          <w:color w:val="auto"/>
          <w:sz w:val="22"/>
          <w:lang w:eastAsia="fr-BE"/>
        </w:rPr>
      </w:pPr>
      <w:hyperlink w:anchor="_Toc503965214" w:history="1">
        <w:r w:rsidR="00920BEE" w:rsidRPr="00577105">
          <w:rPr>
            <w:rStyle w:val="Lienhypertexte"/>
            <w:noProof/>
          </w:rPr>
          <w:t>4</w:t>
        </w:r>
        <w:r w:rsidR="00920BEE">
          <w:rPr>
            <w:rFonts w:asciiTheme="minorHAnsi" w:eastAsiaTheme="minorEastAsia" w:hAnsiTheme="minorHAnsi" w:cstheme="minorBidi"/>
            <w:b w:val="0"/>
            <w:noProof/>
            <w:color w:val="auto"/>
            <w:sz w:val="22"/>
            <w:lang w:eastAsia="fr-BE"/>
          </w:rPr>
          <w:tab/>
        </w:r>
        <w:r w:rsidR="00920BEE" w:rsidRPr="00577105">
          <w:rPr>
            <w:rStyle w:val="Lienhypertexte"/>
            <w:noProof/>
          </w:rPr>
          <w:t>Dispositions contractuelles particulères</w:t>
        </w:r>
        <w:r w:rsidR="00920BEE">
          <w:rPr>
            <w:noProof/>
            <w:webHidden/>
          </w:rPr>
          <w:tab/>
        </w:r>
        <w:r w:rsidR="00920BEE">
          <w:rPr>
            <w:noProof/>
            <w:webHidden/>
          </w:rPr>
          <w:fldChar w:fldCharType="begin"/>
        </w:r>
        <w:r w:rsidR="00920BEE">
          <w:rPr>
            <w:noProof/>
            <w:webHidden/>
          </w:rPr>
          <w:instrText xml:space="preserve"> PAGEREF _Toc503965214 \h </w:instrText>
        </w:r>
        <w:r w:rsidR="00920BEE">
          <w:rPr>
            <w:noProof/>
            <w:webHidden/>
          </w:rPr>
        </w:r>
        <w:r w:rsidR="00920BEE">
          <w:rPr>
            <w:noProof/>
            <w:webHidden/>
          </w:rPr>
          <w:fldChar w:fldCharType="separate"/>
        </w:r>
        <w:r w:rsidR="00741E35">
          <w:rPr>
            <w:noProof/>
            <w:webHidden/>
          </w:rPr>
          <w:t>19</w:t>
        </w:r>
        <w:r w:rsidR="00920BEE">
          <w:rPr>
            <w:noProof/>
            <w:webHidden/>
          </w:rPr>
          <w:fldChar w:fldCharType="end"/>
        </w:r>
      </w:hyperlink>
    </w:p>
    <w:p w14:paraId="2B95BE6E" w14:textId="3314BFAC"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15" w:history="1">
        <w:r w:rsidR="00920BEE" w:rsidRPr="00577105">
          <w:rPr>
            <w:rStyle w:val="Lienhypertexte"/>
            <w:noProof/>
          </w:rPr>
          <w:t>4.1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Fonctionnaire dirigeant (art. 11)</w:t>
        </w:r>
        <w:r w:rsidR="00920BEE">
          <w:rPr>
            <w:noProof/>
            <w:webHidden/>
          </w:rPr>
          <w:tab/>
        </w:r>
        <w:r w:rsidR="00920BEE">
          <w:rPr>
            <w:noProof/>
            <w:webHidden/>
          </w:rPr>
          <w:fldChar w:fldCharType="begin"/>
        </w:r>
        <w:r w:rsidR="00920BEE">
          <w:rPr>
            <w:noProof/>
            <w:webHidden/>
          </w:rPr>
          <w:instrText xml:space="preserve"> PAGEREF _Toc503965215 \h </w:instrText>
        </w:r>
        <w:r w:rsidR="00920BEE">
          <w:rPr>
            <w:noProof/>
            <w:webHidden/>
          </w:rPr>
        </w:r>
        <w:r w:rsidR="00920BEE">
          <w:rPr>
            <w:noProof/>
            <w:webHidden/>
          </w:rPr>
          <w:fldChar w:fldCharType="separate"/>
        </w:r>
        <w:r w:rsidR="00741E35">
          <w:rPr>
            <w:noProof/>
            <w:webHidden/>
          </w:rPr>
          <w:t>19</w:t>
        </w:r>
        <w:r w:rsidR="00920BEE">
          <w:rPr>
            <w:noProof/>
            <w:webHidden/>
          </w:rPr>
          <w:fldChar w:fldCharType="end"/>
        </w:r>
      </w:hyperlink>
    </w:p>
    <w:p w14:paraId="2AB75F2C" w14:textId="20F4DB6A"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16" w:history="1">
        <w:r w:rsidR="00920BEE" w:rsidRPr="00577105">
          <w:rPr>
            <w:rStyle w:val="Lienhypertexte"/>
            <w:noProof/>
          </w:rPr>
          <w:t>4.2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Sous-traitants (art. 12 à 15)</w:t>
        </w:r>
        <w:r w:rsidR="00920BEE">
          <w:rPr>
            <w:noProof/>
            <w:webHidden/>
          </w:rPr>
          <w:tab/>
        </w:r>
        <w:r w:rsidR="00920BEE">
          <w:rPr>
            <w:noProof/>
            <w:webHidden/>
          </w:rPr>
          <w:fldChar w:fldCharType="begin"/>
        </w:r>
        <w:r w:rsidR="00920BEE">
          <w:rPr>
            <w:noProof/>
            <w:webHidden/>
          </w:rPr>
          <w:instrText xml:space="preserve"> PAGEREF _Toc503965216 \h </w:instrText>
        </w:r>
        <w:r w:rsidR="00920BEE">
          <w:rPr>
            <w:noProof/>
            <w:webHidden/>
          </w:rPr>
        </w:r>
        <w:r w:rsidR="00920BEE">
          <w:rPr>
            <w:noProof/>
            <w:webHidden/>
          </w:rPr>
          <w:fldChar w:fldCharType="separate"/>
        </w:r>
        <w:r w:rsidR="00741E35">
          <w:rPr>
            <w:noProof/>
            <w:webHidden/>
          </w:rPr>
          <w:t>19</w:t>
        </w:r>
        <w:r w:rsidR="00920BEE">
          <w:rPr>
            <w:noProof/>
            <w:webHidden/>
          </w:rPr>
          <w:fldChar w:fldCharType="end"/>
        </w:r>
      </w:hyperlink>
    </w:p>
    <w:p w14:paraId="57CAF353" w14:textId="25269715"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17" w:history="1">
        <w:r w:rsidR="00920BEE" w:rsidRPr="00577105">
          <w:rPr>
            <w:rStyle w:val="Lienhypertexte"/>
            <w:noProof/>
          </w:rPr>
          <w:t>4.3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Confidentialité (art. 18)</w:t>
        </w:r>
        <w:r w:rsidR="00920BEE">
          <w:rPr>
            <w:noProof/>
            <w:webHidden/>
          </w:rPr>
          <w:tab/>
        </w:r>
        <w:r w:rsidR="00920BEE">
          <w:rPr>
            <w:noProof/>
            <w:webHidden/>
          </w:rPr>
          <w:fldChar w:fldCharType="begin"/>
        </w:r>
        <w:r w:rsidR="00920BEE">
          <w:rPr>
            <w:noProof/>
            <w:webHidden/>
          </w:rPr>
          <w:instrText xml:space="preserve"> PAGEREF _Toc503965217 \h </w:instrText>
        </w:r>
        <w:r w:rsidR="00920BEE">
          <w:rPr>
            <w:noProof/>
            <w:webHidden/>
          </w:rPr>
          <w:fldChar w:fldCharType="separate"/>
        </w:r>
        <w:r w:rsidR="00741E35">
          <w:rPr>
            <w:b/>
            <w:bCs/>
            <w:noProof/>
            <w:webHidden/>
            <w:lang w:val="fr-FR"/>
          </w:rPr>
          <w:t>Erreur ! Signet non défini.</w:t>
        </w:r>
        <w:r w:rsidR="00920BEE">
          <w:rPr>
            <w:noProof/>
            <w:webHidden/>
          </w:rPr>
          <w:fldChar w:fldCharType="end"/>
        </w:r>
      </w:hyperlink>
    </w:p>
    <w:p w14:paraId="1FE596EA" w14:textId="1E00C844"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18" w:history="1">
        <w:r w:rsidR="00920BEE" w:rsidRPr="00577105">
          <w:rPr>
            <w:rStyle w:val="Lienhypertexte"/>
            <w:noProof/>
          </w:rPr>
          <w:t>4.4</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Droits intellectuels (art. 19 à 23)</w:t>
        </w:r>
        <w:r w:rsidR="00920BEE">
          <w:rPr>
            <w:noProof/>
            <w:webHidden/>
          </w:rPr>
          <w:tab/>
        </w:r>
        <w:r w:rsidR="00920BEE">
          <w:rPr>
            <w:noProof/>
            <w:webHidden/>
          </w:rPr>
          <w:fldChar w:fldCharType="begin"/>
        </w:r>
        <w:r w:rsidR="00920BEE">
          <w:rPr>
            <w:noProof/>
            <w:webHidden/>
          </w:rPr>
          <w:instrText xml:space="preserve"> PAGEREF _Toc503965218 \h </w:instrText>
        </w:r>
        <w:r w:rsidR="00920BEE">
          <w:rPr>
            <w:noProof/>
            <w:webHidden/>
          </w:rPr>
        </w:r>
        <w:r w:rsidR="00920BEE">
          <w:rPr>
            <w:noProof/>
            <w:webHidden/>
          </w:rPr>
          <w:fldChar w:fldCharType="separate"/>
        </w:r>
        <w:r w:rsidR="00741E35">
          <w:rPr>
            <w:noProof/>
            <w:webHidden/>
          </w:rPr>
          <w:t>20</w:t>
        </w:r>
        <w:r w:rsidR="00920BEE">
          <w:rPr>
            <w:noProof/>
            <w:webHidden/>
          </w:rPr>
          <w:fldChar w:fldCharType="end"/>
        </w:r>
      </w:hyperlink>
    </w:p>
    <w:p w14:paraId="45DB47BA" w14:textId="32BDEFAB"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19" w:history="1">
        <w:r w:rsidR="00920BEE" w:rsidRPr="00577105">
          <w:rPr>
            <w:rStyle w:val="Lienhypertexte"/>
            <w:noProof/>
          </w:rPr>
          <w:t>4.5</w:t>
        </w:r>
        <w:r w:rsidR="00920BEE">
          <w:rPr>
            <w:rFonts w:asciiTheme="minorHAnsi" w:eastAsiaTheme="minorEastAsia" w:hAnsiTheme="minorHAnsi" w:cstheme="minorBidi"/>
            <w:noProof/>
            <w:color w:val="auto"/>
            <w:sz w:val="22"/>
            <w:lang w:eastAsia="fr-BE"/>
          </w:rPr>
          <w:tab/>
        </w:r>
        <w:r w:rsidR="00920BEE" w:rsidRPr="00577105">
          <w:rPr>
            <w:rStyle w:val="Lienhypertexte"/>
            <w:noProof/>
          </w:rPr>
          <w:t>Cautionnement (art.25 à 33)</w:t>
        </w:r>
        <w:r w:rsidR="00920BEE">
          <w:rPr>
            <w:noProof/>
            <w:webHidden/>
          </w:rPr>
          <w:tab/>
        </w:r>
        <w:r w:rsidR="00920BEE">
          <w:rPr>
            <w:noProof/>
            <w:webHidden/>
          </w:rPr>
          <w:fldChar w:fldCharType="begin"/>
        </w:r>
        <w:r w:rsidR="00920BEE">
          <w:rPr>
            <w:noProof/>
            <w:webHidden/>
          </w:rPr>
          <w:instrText xml:space="preserve"> PAGEREF _Toc503965219 \h </w:instrText>
        </w:r>
        <w:r w:rsidR="00920BEE">
          <w:rPr>
            <w:noProof/>
            <w:webHidden/>
          </w:rPr>
        </w:r>
        <w:r w:rsidR="00920BEE">
          <w:rPr>
            <w:noProof/>
            <w:webHidden/>
          </w:rPr>
          <w:fldChar w:fldCharType="separate"/>
        </w:r>
        <w:r w:rsidR="00741E35">
          <w:rPr>
            <w:noProof/>
            <w:webHidden/>
          </w:rPr>
          <w:t>22</w:t>
        </w:r>
        <w:r w:rsidR="00920BEE">
          <w:rPr>
            <w:noProof/>
            <w:webHidden/>
          </w:rPr>
          <w:fldChar w:fldCharType="end"/>
        </w:r>
      </w:hyperlink>
    </w:p>
    <w:p w14:paraId="085B97AB" w14:textId="0E2B7CC3"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20" w:history="1">
        <w:r w:rsidR="00920BEE" w:rsidRPr="00577105">
          <w:rPr>
            <w:rStyle w:val="Lienhypertexte"/>
            <w:noProof/>
          </w:rPr>
          <w:t>4.6</w:t>
        </w:r>
        <w:r w:rsidR="00920BEE">
          <w:rPr>
            <w:rFonts w:asciiTheme="minorHAnsi" w:eastAsiaTheme="minorEastAsia" w:hAnsiTheme="minorHAnsi" w:cstheme="minorBidi"/>
            <w:noProof/>
            <w:color w:val="auto"/>
            <w:sz w:val="22"/>
            <w:lang w:eastAsia="fr-BE"/>
          </w:rPr>
          <w:tab/>
        </w:r>
        <w:r w:rsidR="00920BEE" w:rsidRPr="00577105">
          <w:rPr>
            <w:rStyle w:val="Lienhypertexte"/>
            <w:noProof/>
          </w:rPr>
          <w:t>Conformité de l’exécution (art. 34)</w:t>
        </w:r>
        <w:r w:rsidR="00920BEE">
          <w:rPr>
            <w:noProof/>
            <w:webHidden/>
          </w:rPr>
          <w:tab/>
        </w:r>
        <w:r w:rsidR="00920BEE">
          <w:rPr>
            <w:noProof/>
            <w:webHidden/>
          </w:rPr>
          <w:fldChar w:fldCharType="begin"/>
        </w:r>
        <w:r w:rsidR="00920BEE">
          <w:rPr>
            <w:noProof/>
            <w:webHidden/>
          </w:rPr>
          <w:instrText xml:space="preserve"> PAGEREF _Toc503965220 \h </w:instrText>
        </w:r>
        <w:r w:rsidR="00920BEE">
          <w:rPr>
            <w:noProof/>
            <w:webHidden/>
          </w:rPr>
        </w:r>
        <w:r w:rsidR="00920BEE">
          <w:rPr>
            <w:noProof/>
            <w:webHidden/>
          </w:rPr>
          <w:fldChar w:fldCharType="separate"/>
        </w:r>
        <w:r w:rsidR="00741E35">
          <w:rPr>
            <w:noProof/>
            <w:webHidden/>
          </w:rPr>
          <w:t>24</w:t>
        </w:r>
        <w:r w:rsidR="00920BEE">
          <w:rPr>
            <w:noProof/>
            <w:webHidden/>
          </w:rPr>
          <w:fldChar w:fldCharType="end"/>
        </w:r>
      </w:hyperlink>
    </w:p>
    <w:p w14:paraId="3CD64095" w14:textId="6F5A00A0"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21" w:history="1">
        <w:r w:rsidR="00920BEE" w:rsidRPr="00577105">
          <w:rPr>
            <w:rStyle w:val="Lienhypertexte"/>
            <w:noProof/>
          </w:rPr>
          <w:t>4.7</w:t>
        </w:r>
        <w:r w:rsidR="00920BEE">
          <w:rPr>
            <w:rFonts w:asciiTheme="minorHAnsi" w:eastAsiaTheme="minorEastAsia" w:hAnsiTheme="minorHAnsi" w:cstheme="minorBidi"/>
            <w:noProof/>
            <w:color w:val="auto"/>
            <w:sz w:val="22"/>
            <w:lang w:eastAsia="fr-BE"/>
          </w:rPr>
          <w:tab/>
        </w:r>
        <w:r w:rsidR="00920BEE" w:rsidRPr="00577105">
          <w:rPr>
            <w:rStyle w:val="Lienhypertexte"/>
            <w:noProof/>
          </w:rPr>
          <w:t>Modifications du marché (art. 37 à 38/19)</w:t>
        </w:r>
        <w:r w:rsidR="00920BEE">
          <w:rPr>
            <w:noProof/>
            <w:webHidden/>
          </w:rPr>
          <w:tab/>
        </w:r>
        <w:r w:rsidR="00920BEE">
          <w:rPr>
            <w:noProof/>
            <w:webHidden/>
          </w:rPr>
          <w:fldChar w:fldCharType="begin"/>
        </w:r>
        <w:r w:rsidR="00920BEE">
          <w:rPr>
            <w:noProof/>
            <w:webHidden/>
          </w:rPr>
          <w:instrText xml:space="preserve"> PAGEREF _Toc503965221 \h </w:instrText>
        </w:r>
        <w:r w:rsidR="00920BEE">
          <w:rPr>
            <w:noProof/>
            <w:webHidden/>
          </w:rPr>
        </w:r>
        <w:r w:rsidR="00920BEE">
          <w:rPr>
            <w:noProof/>
            <w:webHidden/>
          </w:rPr>
          <w:fldChar w:fldCharType="separate"/>
        </w:r>
        <w:r w:rsidR="00741E35">
          <w:rPr>
            <w:noProof/>
            <w:webHidden/>
          </w:rPr>
          <w:t>24</w:t>
        </w:r>
        <w:r w:rsidR="00920BEE">
          <w:rPr>
            <w:noProof/>
            <w:webHidden/>
          </w:rPr>
          <w:fldChar w:fldCharType="end"/>
        </w:r>
      </w:hyperlink>
    </w:p>
    <w:p w14:paraId="02785638" w14:textId="4FC20EB7" w:rsidR="00920BEE" w:rsidRDefault="00000000">
      <w:pPr>
        <w:pStyle w:val="TM3"/>
        <w:rPr>
          <w:rFonts w:asciiTheme="minorHAnsi" w:eastAsiaTheme="minorEastAsia" w:hAnsiTheme="minorHAnsi" w:cstheme="minorBidi"/>
          <w:noProof/>
          <w:color w:val="auto"/>
          <w:sz w:val="22"/>
          <w:lang w:eastAsia="fr-BE"/>
        </w:rPr>
      </w:pPr>
      <w:hyperlink w:anchor="_Toc503965222" w:history="1">
        <w:r w:rsidR="00920BEE" w:rsidRPr="00577105">
          <w:rPr>
            <w:rStyle w:val="Lienhypertexte"/>
            <w:noProof/>
          </w:rPr>
          <w:t>4.7.1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Remplacement de l’adjudicataire (art. 38/3)</w:t>
        </w:r>
        <w:r w:rsidR="00920BEE">
          <w:rPr>
            <w:noProof/>
            <w:webHidden/>
          </w:rPr>
          <w:tab/>
        </w:r>
        <w:r w:rsidR="00920BEE">
          <w:rPr>
            <w:noProof/>
            <w:webHidden/>
          </w:rPr>
          <w:fldChar w:fldCharType="begin"/>
        </w:r>
        <w:r w:rsidR="00920BEE">
          <w:rPr>
            <w:noProof/>
            <w:webHidden/>
          </w:rPr>
          <w:instrText xml:space="preserve"> PAGEREF _Toc503965222 \h </w:instrText>
        </w:r>
        <w:r w:rsidR="00920BEE">
          <w:rPr>
            <w:noProof/>
            <w:webHidden/>
          </w:rPr>
        </w:r>
        <w:r w:rsidR="00920BEE">
          <w:rPr>
            <w:noProof/>
            <w:webHidden/>
          </w:rPr>
          <w:fldChar w:fldCharType="separate"/>
        </w:r>
        <w:r w:rsidR="00741E35">
          <w:rPr>
            <w:noProof/>
            <w:webHidden/>
          </w:rPr>
          <w:t>24</w:t>
        </w:r>
        <w:r w:rsidR="00920BEE">
          <w:rPr>
            <w:noProof/>
            <w:webHidden/>
          </w:rPr>
          <w:fldChar w:fldCharType="end"/>
        </w:r>
      </w:hyperlink>
    </w:p>
    <w:p w14:paraId="5D905DC3" w14:textId="480290C6" w:rsidR="00920BEE" w:rsidRDefault="00000000">
      <w:pPr>
        <w:pStyle w:val="TM3"/>
        <w:rPr>
          <w:rFonts w:asciiTheme="minorHAnsi" w:eastAsiaTheme="minorEastAsia" w:hAnsiTheme="minorHAnsi" w:cstheme="minorBidi"/>
          <w:noProof/>
          <w:color w:val="auto"/>
          <w:sz w:val="22"/>
          <w:lang w:eastAsia="fr-BE"/>
        </w:rPr>
      </w:pPr>
      <w:hyperlink w:anchor="_Toc503965223" w:history="1">
        <w:r w:rsidR="00920BEE" w:rsidRPr="00577105">
          <w:rPr>
            <w:rStyle w:val="Lienhypertexte"/>
            <w:noProof/>
          </w:rPr>
          <w:t>4.7.2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Révision des prix (art. 38/7)</w:t>
        </w:r>
        <w:r w:rsidR="00920BEE">
          <w:rPr>
            <w:noProof/>
            <w:webHidden/>
          </w:rPr>
          <w:tab/>
        </w:r>
        <w:r w:rsidR="00920BEE">
          <w:rPr>
            <w:noProof/>
            <w:webHidden/>
          </w:rPr>
          <w:fldChar w:fldCharType="begin"/>
        </w:r>
        <w:r w:rsidR="00920BEE">
          <w:rPr>
            <w:noProof/>
            <w:webHidden/>
          </w:rPr>
          <w:instrText xml:space="preserve"> PAGEREF _Toc503965223 \h </w:instrText>
        </w:r>
        <w:r w:rsidR="00920BEE">
          <w:rPr>
            <w:noProof/>
            <w:webHidden/>
          </w:rPr>
        </w:r>
        <w:r w:rsidR="00920BEE">
          <w:rPr>
            <w:noProof/>
            <w:webHidden/>
          </w:rPr>
          <w:fldChar w:fldCharType="separate"/>
        </w:r>
        <w:r w:rsidR="00741E35">
          <w:rPr>
            <w:noProof/>
            <w:webHidden/>
          </w:rPr>
          <w:t>24</w:t>
        </w:r>
        <w:r w:rsidR="00920BEE">
          <w:rPr>
            <w:noProof/>
            <w:webHidden/>
          </w:rPr>
          <w:fldChar w:fldCharType="end"/>
        </w:r>
      </w:hyperlink>
    </w:p>
    <w:p w14:paraId="0669DD42" w14:textId="26158A9B" w:rsidR="00920BEE" w:rsidRDefault="00000000">
      <w:pPr>
        <w:pStyle w:val="TM3"/>
        <w:rPr>
          <w:rFonts w:asciiTheme="minorHAnsi" w:eastAsiaTheme="minorEastAsia" w:hAnsiTheme="minorHAnsi" w:cstheme="minorBidi"/>
          <w:noProof/>
          <w:color w:val="auto"/>
          <w:sz w:val="22"/>
          <w:lang w:eastAsia="fr-BE"/>
        </w:rPr>
      </w:pPr>
      <w:hyperlink w:anchor="_Toc503965224" w:history="1">
        <w:r w:rsidR="00920BEE" w:rsidRPr="00577105">
          <w:rPr>
            <w:rStyle w:val="Lienhypertexte"/>
            <w:noProof/>
          </w:rPr>
          <w:t>4.7.3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Indemnités suite aux suspensions ordonnées par l’adjudicateur durant l’exécution (art. 38/12)</w:t>
        </w:r>
        <w:r w:rsidR="00920BEE">
          <w:rPr>
            <w:noProof/>
            <w:webHidden/>
          </w:rPr>
          <w:tab/>
        </w:r>
      </w:hyperlink>
      <w:r w:rsidR="00920BEE" w:rsidRPr="00920BEE">
        <w:rPr>
          <w:rStyle w:val="Lienhypertexte"/>
          <w:noProof/>
          <w:webHidden/>
        </w:rPr>
        <w:tab/>
      </w:r>
      <w:r w:rsidR="00920BEE" w:rsidRPr="00920BEE">
        <w:rPr>
          <w:rStyle w:val="Lienhypertexte"/>
          <w:noProof/>
          <w:webHidden/>
        </w:rPr>
        <w:fldChar w:fldCharType="begin"/>
      </w:r>
      <w:r w:rsidR="00920BEE" w:rsidRPr="00920BEE">
        <w:rPr>
          <w:rStyle w:val="Lienhypertexte"/>
          <w:noProof/>
          <w:webHidden/>
        </w:rPr>
        <w:instrText xml:space="preserve"> PAGEREF _Toc503965223 \h </w:instrText>
      </w:r>
      <w:r w:rsidR="00920BEE" w:rsidRPr="00920BEE">
        <w:rPr>
          <w:rStyle w:val="Lienhypertexte"/>
          <w:noProof/>
          <w:webHidden/>
        </w:rPr>
      </w:r>
      <w:r w:rsidR="00920BEE" w:rsidRPr="00920BEE">
        <w:rPr>
          <w:rStyle w:val="Lienhypertexte"/>
          <w:noProof/>
          <w:webHidden/>
        </w:rPr>
        <w:fldChar w:fldCharType="separate"/>
      </w:r>
      <w:r w:rsidR="00741E35">
        <w:rPr>
          <w:rStyle w:val="Lienhypertexte"/>
          <w:noProof/>
          <w:webHidden/>
        </w:rPr>
        <w:t>24</w:t>
      </w:r>
      <w:r w:rsidR="00920BEE" w:rsidRPr="00920BEE">
        <w:rPr>
          <w:rStyle w:val="Lienhypertexte"/>
          <w:noProof/>
          <w:webHidden/>
        </w:rPr>
        <w:fldChar w:fldCharType="end"/>
      </w:r>
    </w:p>
    <w:p w14:paraId="2659E82C" w14:textId="1195D3A8" w:rsidR="00920BEE" w:rsidRDefault="00000000">
      <w:pPr>
        <w:pStyle w:val="TM3"/>
        <w:rPr>
          <w:rFonts w:asciiTheme="minorHAnsi" w:eastAsiaTheme="minorEastAsia" w:hAnsiTheme="minorHAnsi" w:cstheme="minorBidi"/>
          <w:noProof/>
          <w:color w:val="auto"/>
          <w:sz w:val="22"/>
          <w:lang w:eastAsia="fr-BE"/>
        </w:rPr>
      </w:pPr>
      <w:hyperlink w:anchor="_Toc503965225" w:history="1">
        <w:r w:rsidR="00920BEE" w:rsidRPr="00577105">
          <w:rPr>
            <w:rStyle w:val="Lienhypertexte"/>
            <w:noProof/>
          </w:rPr>
          <w:t>4.7.4</w:t>
        </w:r>
        <w:r w:rsidR="00920BEE">
          <w:rPr>
            <w:rFonts w:asciiTheme="minorHAnsi" w:eastAsiaTheme="minorEastAsia" w:hAnsiTheme="minorHAnsi" w:cstheme="minorBidi"/>
            <w:noProof/>
            <w:color w:val="auto"/>
            <w:sz w:val="22"/>
            <w:lang w:eastAsia="fr-BE"/>
          </w:rPr>
          <w:tab/>
        </w:r>
        <w:r w:rsidR="00920BEE" w:rsidRPr="00577105">
          <w:rPr>
            <w:rStyle w:val="Lienhypertexte"/>
            <w:noProof/>
          </w:rPr>
          <w:t>Circonstances imprévisibles</w:t>
        </w:r>
        <w:r w:rsidR="00920BEE">
          <w:rPr>
            <w:noProof/>
            <w:webHidden/>
          </w:rPr>
          <w:tab/>
        </w:r>
        <w:r w:rsidR="00920BEE">
          <w:rPr>
            <w:noProof/>
            <w:webHidden/>
          </w:rPr>
          <w:fldChar w:fldCharType="begin"/>
        </w:r>
        <w:r w:rsidR="00920BEE">
          <w:rPr>
            <w:noProof/>
            <w:webHidden/>
          </w:rPr>
          <w:instrText xml:space="preserve"> PAGEREF _Toc503965225 \h </w:instrText>
        </w:r>
        <w:r w:rsidR="00920BEE">
          <w:rPr>
            <w:noProof/>
            <w:webHidden/>
          </w:rPr>
        </w:r>
        <w:r w:rsidR="00920BEE">
          <w:rPr>
            <w:noProof/>
            <w:webHidden/>
          </w:rPr>
          <w:fldChar w:fldCharType="separate"/>
        </w:r>
        <w:r w:rsidR="00741E35">
          <w:rPr>
            <w:noProof/>
            <w:webHidden/>
          </w:rPr>
          <w:t>25</w:t>
        </w:r>
        <w:r w:rsidR="00920BEE">
          <w:rPr>
            <w:noProof/>
            <w:webHidden/>
          </w:rPr>
          <w:fldChar w:fldCharType="end"/>
        </w:r>
      </w:hyperlink>
    </w:p>
    <w:p w14:paraId="622CA67D" w14:textId="73636BAB"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26" w:history="1">
        <w:r w:rsidR="00920BEE" w:rsidRPr="00577105">
          <w:rPr>
            <w:rStyle w:val="Lienhypertexte"/>
            <w:noProof/>
          </w:rPr>
          <w:t>4.8</w:t>
        </w:r>
        <w:r w:rsidR="00920BEE">
          <w:rPr>
            <w:rFonts w:asciiTheme="minorHAnsi" w:eastAsiaTheme="minorEastAsia" w:hAnsiTheme="minorHAnsi" w:cstheme="minorBidi"/>
            <w:noProof/>
            <w:color w:val="auto"/>
            <w:sz w:val="22"/>
            <w:lang w:eastAsia="fr-BE"/>
          </w:rPr>
          <w:tab/>
        </w:r>
        <w:r w:rsidR="00920BEE" w:rsidRPr="00577105">
          <w:rPr>
            <w:rStyle w:val="Lienhypertexte"/>
            <w:noProof/>
          </w:rPr>
          <w:t>Réception technique préalable (art. 42)</w:t>
        </w:r>
        <w:r w:rsidR="00920BEE">
          <w:rPr>
            <w:noProof/>
            <w:webHidden/>
          </w:rPr>
          <w:tab/>
        </w:r>
        <w:r w:rsidR="00920BEE">
          <w:rPr>
            <w:noProof/>
            <w:webHidden/>
          </w:rPr>
          <w:fldChar w:fldCharType="begin"/>
        </w:r>
        <w:r w:rsidR="00920BEE">
          <w:rPr>
            <w:noProof/>
            <w:webHidden/>
          </w:rPr>
          <w:instrText xml:space="preserve"> PAGEREF _Toc503965226 \h </w:instrText>
        </w:r>
        <w:r w:rsidR="00920BEE">
          <w:rPr>
            <w:noProof/>
            <w:webHidden/>
          </w:rPr>
        </w:r>
        <w:r w:rsidR="00920BEE">
          <w:rPr>
            <w:noProof/>
            <w:webHidden/>
          </w:rPr>
          <w:fldChar w:fldCharType="separate"/>
        </w:r>
        <w:r w:rsidR="00741E35">
          <w:rPr>
            <w:noProof/>
            <w:webHidden/>
          </w:rPr>
          <w:t>25</w:t>
        </w:r>
        <w:r w:rsidR="00920BEE">
          <w:rPr>
            <w:noProof/>
            <w:webHidden/>
          </w:rPr>
          <w:fldChar w:fldCharType="end"/>
        </w:r>
      </w:hyperlink>
    </w:p>
    <w:p w14:paraId="65FC06B0" w14:textId="039F9690"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27" w:history="1">
        <w:r w:rsidR="00920BEE" w:rsidRPr="00577105">
          <w:rPr>
            <w:rStyle w:val="Lienhypertexte"/>
            <w:noProof/>
          </w:rPr>
          <w:t>4.9</w:t>
        </w:r>
        <w:r w:rsidR="00920BEE">
          <w:rPr>
            <w:rFonts w:asciiTheme="minorHAnsi" w:eastAsiaTheme="minorEastAsia" w:hAnsiTheme="minorHAnsi" w:cstheme="minorBidi"/>
            <w:noProof/>
            <w:color w:val="auto"/>
            <w:sz w:val="22"/>
            <w:lang w:eastAsia="fr-BE"/>
          </w:rPr>
          <w:tab/>
        </w:r>
        <w:r w:rsidR="00920BEE" w:rsidRPr="00577105">
          <w:rPr>
            <w:rStyle w:val="Lienhypertexte"/>
            <w:noProof/>
          </w:rPr>
          <w:t>Modalités d’exécution (art. 146 es)</w:t>
        </w:r>
        <w:r w:rsidR="00920BEE">
          <w:rPr>
            <w:noProof/>
            <w:webHidden/>
          </w:rPr>
          <w:tab/>
        </w:r>
        <w:r w:rsidR="00920BEE">
          <w:rPr>
            <w:noProof/>
            <w:webHidden/>
          </w:rPr>
          <w:fldChar w:fldCharType="begin"/>
        </w:r>
        <w:r w:rsidR="00920BEE">
          <w:rPr>
            <w:noProof/>
            <w:webHidden/>
          </w:rPr>
          <w:instrText xml:space="preserve"> PAGEREF _Toc503965227 \h </w:instrText>
        </w:r>
        <w:r w:rsidR="00920BEE">
          <w:rPr>
            <w:noProof/>
            <w:webHidden/>
          </w:rPr>
        </w:r>
        <w:r w:rsidR="00920BEE">
          <w:rPr>
            <w:noProof/>
            <w:webHidden/>
          </w:rPr>
          <w:fldChar w:fldCharType="separate"/>
        </w:r>
        <w:r w:rsidR="00741E35">
          <w:rPr>
            <w:noProof/>
            <w:webHidden/>
          </w:rPr>
          <w:t>25</w:t>
        </w:r>
        <w:r w:rsidR="00920BEE">
          <w:rPr>
            <w:noProof/>
            <w:webHidden/>
          </w:rPr>
          <w:fldChar w:fldCharType="end"/>
        </w:r>
      </w:hyperlink>
    </w:p>
    <w:p w14:paraId="109982C1" w14:textId="239DAC40" w:rsidR="00920BEE" w:rsidRDefault="00000000">
      <w:pPr>
        <w:pStyle w:val="TM3"/>
        <w:rPr>
          <w:rFonts w:asciiTheme="minorHAnsi" w:eastAsiaTheme="minorEastAsia" w:hAnsiTheme="minorHAnsi" w:cstheme="minorBidi"/>
          <w:noProof/>
          <w:color w:val="auto"/>
          <w:sz w:val="22"/>
          <w:lang w:eastAsia="fr-BE"/>
        </w:rPr>
      </w:pPr>
      <w:hyperlink w:anchor="_Toc503965228" w:history="1">
        <w:r w:rsidR="00920BEE" w:rsidRPr="00577105">
          <w:rPr>
            <w:rStyle w:val="Lienhypertexte"/>
            <w:noProof/>
          </w:rPr>
          <w:t>4.9.1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Délais et clauses (art. 147)</w:t>
        </w:r>
        <w:r w:rsidR="00920BEE">
          <w:rPr>
            <w:noProof/>
            <w:webHidden/>
          </w:rPr>
          <w:tab/>
        </w:r>
        <w:r w:rsidR="00920BEE">
          <w:rPr>
            <w:noProof/>
            <w:webHidden/>
          </w:rPr>
          <w:fldChar w:fldCharType="begin"/>
        </w:r>
        <w:r w:rsidR="00920BEE">
          <w:rPr>
            <w:noProof/>
            <w:webHidden/>
          </w:rPr>
          <w:instrText xml:space="preserve"> PAGEREF _Toc503965228 \h </w:instrText>
        </w:r>
        <w:r w:rsidR="00920BEE">
          <w:rPr>
            <w:noProof/>
            <w:webHidden/>
          </w:rPr>
        </w:r>
        <w:r w:rsidR="00920BEE">
          <w:rPr>
            <w:noProof/>
            <w:webHidden/>
          </w:rPr>
          <w:fldChar w:fldCharType="separate"/>
        </w:r>
        <w:r w:rsidR="00741E35">
          <w:rPr>
            <w:noProof/>
            <w:webHidden/>
          </w:rPr>
          <w:t>25</w:t>
        </w:r>
        <w:r w:rsidR="00920BEE">
          <w:rPr>
            <w:noProof/>
            <w:webHidden/>
          </w:rPr>
          <w:fldChar w:fldCharType="end"/>
        </w:r>
      </w:hyperlink>
    </w:p>
    <w:p w14:paraId="6C39E068" w14:textId="79274423" w:rsidR="00920BEE" w:rsidRDefault="00000000">
      <w:pPr>
        <w:pStyle w:val="TM3"/>
        <w:rPr>
          <w:rFonts w:asciiTheme="minorHAnsi" w:eastAsiaTheme="minorEastAsia" w:hAnsiTheme="minorHAnsi" w:cstheme="minorBidi"/>
          <w:noProof/>
          <w:color w:val="auto"/>
          <w:sz w:val="22"/>
          <w:lang w:eastAsia="fr-BE"/>
        </w:rPr>
      </w:pPr>
      <w:hyperlink w:anchor="_Toc503965229" w:history="1">
        <w:r w:rsidR="00920BEE" w:rsidRPr="00577105">
          <w:rPr>
            <w:rStyle w:val="Lienhypertexte"/>
            <w:noProof/>
          </w:rPr>
          <w:t>4.9.2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Lieu où les services doivent être exécutés et formalités (art. 149)</w:t>
        </w:r>
        <w:r w:rsidR="00920BEE">
          <w:rPr>
            <w:noProof/>
            <w:webHidden/>
          </w:rPr>
          <w:tab/>
        </w:r>
        <w:r w:rsidR="00920BEE">
          <w:rPr>
            <w:noProof/>
            <w:webHidden/>
          </w:rPr>
          <w:fldChar w:fldCharType="begin"/>
        </w:r>
        <w:r w:rsidR="00920BEE">
          <w:rPr>
            <w:noProof/>
            <w:webHidden/>
          </w:rPr>
          <w:instrText xml:space="preserve"> PAGEREF _Toc503965229 \h </w:instrText>
        </w:r>
        <w:r w:rsidR="00920BEE">
          <w:rPr>
            <w:noProof/>
            <w:webHidden/>
          </w:rPr>
        </w:r>
        <w:r w:rsidR="00920BEE">
          <w:rPr>
            <w:noProof/>
            <w:webHidden/>
          </w:rPr>
          <w:fldChar w:fldCharType="separate"/>
        </w:r>
        <w:r w:rsidR="00741E35">
          <w:rPr>
            <w:noProof/>
            <w:webHidden/>
          </w:rPr>
          <w:t>26</w:t>
        </w:r>
        <w:r w:rsidR="00920BEE">
          <w:rPr>
            <w:noProof/>
            <w:webHidden/>
          </w:rPr>
          <w:fldChar w:fldCharType="end"/>
        </w:r>
      </w:hyperlink>
    </w:p>
    <w:p w14:paraId="0362DBC3" w14:textId="7E7779D7"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30" w:history="1">
        <w:r w:rsidR="00920BEE" w:rsidRPr="00577105">
          <w:rPr>
            <w:rStyle w:val="Lienhypertexte"/>
            <w:noProof/>
          </w:rPr>
          <w:t>4.10</w:t>
        </w:r>
        <w:r w:rsidR="00920BEE">
          <w:rPr>
            <w:rFonts w:asciiTheme="minorHAnsi" w:eastAsiaTheme="minorEastAsia" w:hAnsiTheme="minorHAnsi" w:cstheme="minorBidi"/>
            <w:noProof/>
            <w:color w:val="auto"/>
            <w:sz w:val="22"/>
            <w:lang w:eastAsia="fr-BE"/>
          </w:rPr>
          <w:tab/>
        </w:r>
        <w:r w:rsidR="00920BEE" w:rsidRPr="00577105">
          <w:rPr>
            <w:rStyle w:val="Lienhypertexte"/>
            <w:noProof/>
          </w:rPr>
          <w:t>Vérification des services (art. 150)</w:t>
        </w:r>
        <w:r w:rsidR="00920BEE">
          <w:rPr>
            <w:noProof/>
            <w:webHidden/>
          </w:rPr>
          <w:tab/>
        </w:r>
        <w:r w:rsidR="00920BEE">
          <w:rPr>
            <w:noProof/>
            <w:webHidden/>
          </w:rPr>
          <w:fldChar w:fldCharType="begin"/>
        </w:r>
        <w:r w:rsidR="00920BEE">
          <w:rPr>
            <w:noProof/>
            <w:webHidden/>
          </w:rPr>
          <w:instrText xml:space="preserve"> PAGEREF _Toc503965230 \h </w:instrText>
        </w:r>
        <w:r w:rsidR="00920BEE">
          <w:rPr>
            <w:noProof/>
            <w:webHidden/>
          </w:rPr>
        </w:r>
        <w:r w:rsidR="00920BEE">
          <w:rPr>
            <w:noProof/>
            <w:webHidden/>
          </w:rPr>
          <w:fldChar w:fldCharType="separate"/>
        </w:r>
        <w:r w:rsidR="00741E35">
          <w:rPr>
            <w:noProof/>
            <w:webHidden/>
          </w:rPr>
          <w:t>26</w:t>
        </w:r>
        <w:r w:rsidR="00920BEE">
          <w:rPr>
            <w:noProof/>
            <w:webHidden/>
          </w:rPr>
          <w:fldChar w:fldCharType="end"/>
        </w:r>
      </w:hyperlink>
    </w:p>
    <w:p w14:paraId="02958390" w14:textId="7694917B"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31" w:history="1">
        <w:r w:rsidR="00920BEE" w:rsidRPr="00577105">
          <w:rPr>
            <w:rStyle w:val="Lienhypertexte"/>
            <w:noProof/>
          </w:rPr>
          <w:t>4.11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Responsabilité du prestataire de services (art. 152-153)</w:t>
        </w:r>
        <w:r w:rsidR="00920BEE">
          <w:rPr>
            <w:noProof/>
            <w:webHidden/>
          </w:rPr>
          <w:tab/>
        </w:r>
        <w:r w:rsidR="00920BEE">
          <w:rPr>
            <w:noProof/>
            <w:webHidden/>
          </w:rPr>
          <w:fldChar w:fldCharType="begin"/>
        </w:r>
        <w:r w:rsidR="00920BEE">
          <w:rPr>
            <w:noProof/>
            <w:webHidden/>
          </w:rPr>
          <w:instrText xml:space="preserve"> PAGEREF _Toc503965231 \h </w:instrText>
        </w:r>
        <w:r w:rsidR="00920BEE">
          <w:rPr>
            <w:noProof/>
            <w:webHidden/>
          </w:rPr>
        </w:r>
        <w:r w:rsidR="00920BEE">
          <w:rPr>
            <w:noProof/>
            <w:webHidden/>
          </w:rPr>
          <w:fldChar w:fldCharType="separate"/>
        </w:r>
        <w:r w:rsidR="00741E35">
          <w:rPr>
            <w:noProof/>
            <w:webHidden/>
          </w:rPr>
          <w:t>26</w:t>
        </w:r>
        <w:r w:rsidR="00920BEE">
          <w:rPr>
            <w:noProof/>
            <w:webHidden/>
          </w:rPr>
          <w:fldChar w:fldCharType="end"/>
        </w:r>
      </w:hyperlink>
    </w:p>
    <w:p w14:paraId="3CE4D5DF" w14:textId="15B2670B"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32" w:history="1">
        <w:r w:rsidR="00920BEE" w:rsidRPr="00577105">
          <w:rPr>
            <w:rStyle w:val="Lienhypertexte"/>
            <w:noProof/>
          </w:rPr>
          <w:t>4.12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Moyens d’action du Pouvoir Adjudicateur (art. 44-51 et 154-155)</w:t>
        </w:r>
        <w:r w:rsidR="00920BEE">
          <w:rPr>
            <w:noProof/>
            <w:webHidden/>
          </w:rPr>
          <w:tab/>
        </w:r>
        <w:r w:rsidR="00920BEE">
          <w:rPr>
            <w:noProof/>
            <w:webHidden/>
          </w:rPr>
          <w:fldChar w:fldCharType="begin"/>
        </w:r>
        <w:r w:rsidR="00920BEE">
          <w:rPr>
            <w:noProof/>
            <w:webHidden/>
          </w:rPr>
          <w:instrText xml:space="preserve"> PAGEREF _Toc503965232 \h </w:instrText>
        </w:r>
        <w:r w:rsidR="00920BEE">
          <w:rPr>
            <w:noProof/>
            <w:webHidden/>
          </w:rPr>
        </w:r>
        <w:r w:rsidR="00920BEE">
          <w:rPr>
            <w:noProof/>
            <w:webHidden/>
          </w:rPr>
          <w:fldChar w:fldCharType="separate"/>
        </w:r>
        <w:r w:rsidR="00741E35">
          <w:rPr>
            <w:noProof/>
            <w:webHidden/>
          </w:rPr>
          <w:t>26</w:t>
        </w:r>
        <w:r w:rsidR="00920BEE">
          <w:rPr>
            <w:noProof/>
            <w:webHidden/>
          </w:rPr>
          <w:fldChar w:fldCharType="end"/>
        </w:r>
      </w:hyperlink>
    </w:p>
    <w:p w14:paraId="31EDAC73" w14:textId="2AE52DE5" w:rsidR="00920BEE" w:rsidRDefault="00000000">
      <w:pPr>
        <w:pStyle w:val="TM3"/>
        <w:rPr>
          <w:rFonts w:asciiTheme="minorHAnsi" w:eastAsiaTheme="minorEastAsia" w:hAnsiTheme="minorHAnsi" w:cstheme="minorBidi"/>
          <w:noProof/>
          <w:color w:val="auto"/>
          <w:sz w:val="22"/>
          <w:lang w:eastAsia="fr-BE"/>
        </w:rPr>
      </w:pPr>
      <w:hyperlink w:anchor="_Toc503965233" w:history="1">
        <w:r w:rsidR="00920BEE" w:rsidRPr="00577105">
          <w:rPr>
            <w:rStyle w:val="Lienhypertexte"/>
            <w:noProof/>
          </w:rPr>
          <w:t>4.12.1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Défaut d’exécution (art. 44)</w:t>
        </w:r>
        <w:r w:rsidR="00920BEE">
          <w:rPr>
            <w:noProof/>
            <w:webHidden/>
          </w:rPr>
          <w:tab/>
        </w:r>
        <w:r w:rsidR="00920BEE">
          <w:rPr>
            <w:noProof/>
            <w:webHidden/>
          </w:rPr>
          <w:fldChar w:fldCharType="begin"/>
        </w:r>
        <w:r w:rsidR="00920BEE">
          <w:rPr>
            <w:noProof/>
            <w:webHidden/>
          </w:rPr>
          <w:instrText xml:space="preserve"> PAGEREF _Toc503965233 \h </w:instrText>
        </w:r>
        <w:r w:rsidR="00920BEE">
          <w:rPr>
            <w:noProof/>
            <w:webHidden/>
          </w:rPr>
        </w:r>
        <w:r w:rsidR="00920BEE">
          <w:rPr>
            <w:noProof/>
            <w:webHidden/>
          </w:rPr>
          <w:fldChar w:fldCharType="separate"/>
        </w:r>
        <w:r w:rsidR="00741E35">
          <w:rPr>
            <w:noProof/>
            <w:webHidden/>
          </w:rPr>
          <w:t>27</w:t>
        </w:r>
        <w:r w:rsidR="00920BEE">
          <w:rPr>
            <w:noProof/>
            <w:webHidden/>
          </w:rPr>
          <w:fldChar w:fldCharType="end"/>
        </w:r>
      </w:hyperlink>
    </w:p>
    <w:p w14:paraId="05FD797E" w14:textId="6C82D22F" w:rsidR="00920BEE" w:rsidRDefault="00000000">
      <w:pPr>
        <w:pStyle w:val="TM3"/>
        <w:rPr>
          <w:rFonts w:asciiTheme="minorHAnsi" w:eastAsiaTheme="minorEastAsia" w:hAnsiTheme="minorHAnsi" w:cstheme="minorBidi"/>
          <w:noProof/>
          <w:color w:val="auto"/>
          <w:sz w:val="22"/>
          <w:lang w:eastAsia="fr-BE"/>
        </w:rPr>
      </w:pPr>
      <w:hyperlink w:anchor="_Toc503965234" w:history="1">
        <w:r w:rsidR="00920BEE" w:rsidRPr="00577105">
          <w:rPr>
            <w:rStyle w:val="Lienhypertexte"/>
            <w:noProof/>
          </w:rPr>
          <w:t>4.12.2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Amendes pour retard (art. 46 et 154)</w:t>
        </w:r>
        <w:r w:rsidR="00920BEE">
          <w:rPr>
            <w:noProof/>
            <w:webHidden/>
          </w:rPr>
          <w:tab/>
        </w:r>
        <w:r w:rsidR="00920BEE">
          <w:rPr>
            <w:noProof/>
            <w:webHidden/>
          </w:rPr>
          <w:fldChar w:fldCharType="begin"/>
        </w:r>
        <w:r w:rsidR="00920BEE">
          <w:rPr>
            <w:noProof/>
            <w:webHidden/>
          </w:rPr>
          <w:instrText xml:space="preserve"> PAGEREF _Toc503965234 \h </w:instrText>
        </w:r>
        <w:r w:rsidR="00920BEE">
          <w:rPr>
            <w:noProof/>
            <w:webHidden/>
          </w:rPr>
        </w:r>
        <w:r w:rsidR="00920BEE">
          <w:rPr>
            <w:noProof/>
            <w:webHidden/>
          </w:rPr>
          <w:fldChar w:fldCharType="separate"/>
        </w:r>
        <w:r w:rsidR="00741E35">
          <w:rPr>
            <w:noProof/>
            <w:webHidden/>
          </w:rPr>
          <w:t>27</w:t>
        </w:r>
        <w:r w:rsidR="00920BEE">
          <w:rPr>
            <w:noProof/>
            <w:webHidden/>
          </w:rPr>
          <w:fldChar w:fldCharType="end"/>
        </w:r>
      </w:hyperlink>
    </w:p>
    <w:p w14:paraId="682A95B6" w14:textId="5C7E07AF" w:rsidR="00920BEE" w:rsidRDefault="00000000">
      <w:pPr>
        <w:pStyle w:val="TM3"/>
        <w:rPr>
          <w:rFonts w:asciiTheme="minorHAnsi" w:eastAsiaTheme="minorEastAsia" w:hAnsiTheme="minorHAnsi" w:cstheme="minorBidi"/>
          <w:noProof/>
          <w:color w:val="auto"/>
          <w:sz w:val="22"/>
          <w:lang w:eastAsia="fr-BE"/>
        </w:rPr>
      </w:pPr>
      <w:hyperlink w:anchor="_Toc503965235" w:history="1">
        <w:r w:rsidR="00920BEE" w:rsidRPr="00577105">
          <w:rPr>
            <w:rStyle w:val="Lienhypertexte"/>
            <w:noProof/>
          </w:rPr>
          <w:t>4.12.3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Mesures d’office (art. 47 et 155)</w:t>
        </w:r>
        <w:r w:rsidR="00920BEE">
          <w:rPr>
            <w:noProof/>
            <w:webHidden/>
          </w:rPr>
          <w:tab/>
        </w:r>
        <w:r w:rsidR="00920BEE">
          <w:rPr>
            <w:noProof/>
            <w:webHidden/>
          </w:rPr>
          <w:fldChar w:fldCharType="begin"/>
        </w:r>
        <w:r w:rsidR="00920BEE">
          <w:rPr>
            <w:noProof/>
            <w:webHidden/>
          </w:rPr>
          <w:instrText xml:space="preserve"> PAGEREF _Toc503965235 \h </w:instrText>
        </w:r>
        <w:r w:rsidR="00920BEE">
          <w:rPr>
            <w:noProof/>
            <w:webHidden/>
          </w:rPr>
        </w:r>
        <w:r w:rsidR="00920BEE">
          <w:rPr>
            <w:noProof/>
            <w:webHidden/>
          </w:rPr>
          <w:fldChar w:fldCharType="separate"/>
        </w:r>
        <w:r w:rsidR="00741E35">
          <w:rPr>
            <w:noProof/>
            <w:webHidden/>
          </w:rPr>
          <w:t>27</w:t>
        </w:r>
        <w:r w:rsidR="00920BEE">
          <w:rPr>
            <w:noProof/>
            <w:webHidden/>
          </w:rPr>
          <w:fldChar w:fldCharType="end"/>
        </w:r>
      </w:hyperlink>
    </w:p>
    <w:p w14:paraId="44BE5723" w14:textId="5EC28889"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36" w:history="1">
        <w:r w:rsidR="00920BEE" w:rsidRPr="00577105">
          <w:rPr>
            <w:rStyle w:val="Lienhypertexte"/>
            <w:noProof/>
          </w:rPr>
          <w:t>4.13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Fin du marché</w:t>
        </w:r>
        <w:r w:rsidR="00920BEE">
          <w:rPr>
            <w:noProof/>
            <w:webHidden/>
          </w:rPr>
          <w:tab/>
        </w:r>
        <w:r w:rsidR="00920BEE">
          <w:rPr>
            <w:noProof/>
            <w:webHidden/>
          </w:rPr>
          <w:fldChar w:fldCharType="begin"/>
        </w:r>
        <w:r w:rsidR="00920BEE">
          <w:rPr>
            <w:noProof/>
            <w:webHidden/>
          </w:rPr>
          <w:instrText xml:space="preserve"> PAGEREF _Toc503965236 \h </w:instrText>
        </w:r>
        <w:r w:rsidR="00920BEE">
          <w:rPr>
            <w:noProof/>
            <w:webHidden/>
          </w:rPr>
          <w:fldChar w:fldCharType="separate"/>
        </w:r>
        <w:r w:rsidR="00741E35">
          <w:rPr>
            <w:b/>
            <w:bCs/>
            <w:noProof/>
            <w:webHidden/>
            <w:lang w:val="fr-FR"/>
          </w:rPr>
          <w:t>Erreur ! Signet non défini.</w:t>
        </w:r>
        <w:r w:rsidR="00920BEE">
          <w:rPr>
            <w:noProof/>
            <w:webHidden/>
          </w:rPr>
          <w:fldChar w:fldCharType="end"/>
        </w:r>
      </w:hyperlink>
    </w:p>
    <w:p w14:paraId="5521A265" w14:textId="6B97EBC2" w:rsidR="00920BEE" w:rsidRDefault="00000000">
      <w:pPr>
        <w:pStyle w:val="TM3"/>
        <w:rPr>
          <w:rFonts w:asciiTheme="minorHAnsi" w:eastAsiaTheme="minorEastAsia" w:hAnsiTheme="minorHAnsi" w:cstheme="minorBidi"/>
          <w:noProof/>
          <w:color w:val="auto"/>
          <w:sz w:val="22"/>
          <w:lang w:eastAsia="fr-BE"/>
        </w:rPr>
      </w:pPr>
      <w:hyperlink w:anchor="_Toc503965237" w:history="1">
        <w:r w:rsidR="00920BEE" w:rsidRPr="00577105">
          <w:rPr>
            <w:rStyle w:val="Lienhypertexte"/>
            <w:noProof/>
          </w:rPr>
          <w:t>4.13.1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Réception des services exécutés (art. 64-65 et 156)</w:t>
        </w:r>
        <w:r w:rsidR="00920BEE">
          <w:rPr>
            <w:noProof/>
            <w:webHidden/>
          </w:rPr>
          <w:tab/>
        </w:r>
        <w:r w:rsidR="00920BEE">
          <w:rPr>
            <w:noProof/>
            <w:webHidden/>
          </w:rPr>
          <w:fldChar w:fldCharType="begin"/>
        </w:r>
        <w:r w:rsidR="00920BEE">
          <w:rPr>
            <w:noProof/>
            <w:webHidden/>
          </w:rPr>
          <w:instrText xml:space="preserve"> PAGEREF _Toc503965237 \h </w:instrText>
        </w:r>
        <w:r w:rsidR="00920BEE">
          <w:rPr>
            <w:noProof/>
            <w:webHidden/>
          </w:rPr>
        </w:r>
        <w:r w:rsidR="00920BEE">
          <w:rPr>
            <w:noProof/>
            <w:webHidden/>
          </w:rPr>
          <w:fldChar w:fldCharType="separate"/>
        </w:r>
        <w:r w:rsidR="00741E35">
          <w:rPr>
            <w:noProof/>
            <w:webHidden/>
          </w:rPr>
          <w:t>28</w:t>
        </w:r>
        <w:r w:rsidR="00920BEE">
          <w:rPr>
            <w:noProof/>
            <w:webHidden/>
          </w:rPr>
          <w:fldChar w:fldCharType="end"/>
        </w:r>
      </w:hyperlink>
    </w:p>
    <w:p w14:paraId="065FDDE1" w14:textId="2EA8A021" w:rsidR="00920BEE" w:rsidRDefault="00000000">
      <w:pPr>
        <w:pStyle w:val="TM3"/>
        <w:rPr>
          <w:rFonts w:asciiTheme="minorHAnsi" w:eastAsiaTheme="minorEastAsia" w:hAnsiTheme="minorHAnsi" w:cstheme="minorBidi"/>
          <w:noProof/>
          <w:color w:val="auto"/>
          <w:sz w:val="22"/>
          <w:lang w:eastAsia="fr-BE"/>
        </w:rPr>
      </w:pPr>
      <w:hyperlink w:anchor="_Toc503965238" w:history="1">
        <w:r w:rsidR="00920BEE" w:rsidRPr="00577105">
          <w:rPr>
            <w:rStyle w:val="Lienhypertexte"/>
            <w:noProof/>
          </w:rPr>
          <w:t>4.13.2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&lt;&lt;Frais de réception</w:t>
        </w:r>
        <w:r w:rsidR="00920BEE">
          <w:rPr>
            <w:noProof/>
            <w:webHidden/>
          </w:rPr>
          <w:tab/>
        </w:r>
        <w:r w:rsidR="00920BEE">
          <w:rPr>
            <w:noProof/>
            <w:webHidden/>
          </w:rPr>
          <w:fldChar w:fldCharType="begin"/>
        </w:r>
        <w:r w:rsidR="00920BEE">
          <w:rPr>
            <w:noProof/>
            <w:webHidden/>
          </w:rPr>
          <w:instrText xml:space="preserve"> PAGEREF _Toc503965238 \h </w:instrText>
        </w:r>
        <w:r w:rsidR="00920BEE">
          <w:rPr>
            <w:noProof/>
            <w:webHidden/>
          </w:rPr>
        </w:r>
        <w:r w:rsidR="00920BEE">
          <w:rPr>
            <w:noProof/>
            <w:webHidden/>
          </w:rPr>
          <w:fldChar w:fldCharType="separate"/>
        </w:r>
        <w:r w:rsidR="00741E35">
          <w:rPr>
            <w:noProof/>
            <w:webHidden/>
          </w:rPr>
          <w:t>28</w:t>
        </w:r>
        <w:r w:rsidR="00920BEE">
          <w:rPr>
            <w:noProof/>
            <w:webHidden/>
          </w:rPr>
          <w:fldChar w:fldCharType="end"/>
        </w:r>
      </w:hyperlink>
    </w:p>
    <w:p w14:paraId="26CFA468" w14:textId="15A411AE" w:rsidR="00920BEE" w:rsidRDefault="00000000">
      <w:pPr>
        <w:pStyle w:val="TM3"/>
        <w:rPr>
          <w:rFonts w:asciiTheme="minorHAnsi" w:eastAsiaTheme="minorEastAsia" w:hAnsiTheme="minorHAnsi" w:cstheme="minorBidi"/>
          <w:noProof/>
          <w:color w:val="auto"/>
          <w:sz w:val="22"/>
          <w:lang w:eastAsia="fr-BE"/>
        </w:rPr>
      </w:pPr>
      <w:hyperlink w:anchor="_Toc503965239" w:history="1">
        <w:r w:rsidR="00920BEE" w:rsidRPr="00577105">
          <w:rPr>
            <w:rStyle w:val="Lienhypertexte"/>
            <w:noProof/>
          </w:rPr>
          <w:t>4.13.3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Facturation et paiement des services (art. 66 à 72 -160)</w:t>
        </w:r>
        <w:r w:rsidR="00920BEE">
          <w:rPr>
            <w:noProof/>
            <w:webHidden/>
          </w:rPr>
          <w:tab/>
        </w:r>
        <w:r w:rsidR="00920BEE">
          <w:rPr>
            <w:noProof/>
            <w:webHidden/>
          </w:rPr>
          <w:fldChar w:fldCharType="begin"/>
        </w:r>
        <w:r w:rsidR="00920BEE">
          <w:rPr>
            <w:noProof/>
            <w:webHidden/>
          </w:rPr>
          <w:instrText xml:space="preserve"> PAGEREF _Toc503965239 \h </w:instrText>
        </w:r>
        <w:r w:rsidR="00920BEE">
          <w:rPr>
            <w:noProof/>
            <w:webHidden/>
          </w:rPr>
        </w:r>
        <w:r w:rsidR="00920BEE">
          <w:rPr>
            <w:noProof/>
            <w:webHidden/>
          </w:rPr>
          <w:fldChar w:fldCharType="separate"/>
        </w:r>
        <w:r w:rsidR="00741E35">
          <w:rPr>
            <w:noProof/>
            <w:webHidden/>
          </w:rPr>
          <w:t>28</w:t>
        </w:r>
        <w:r w:rsidR="00920BEE">
          <w:rPr>
            <w:noProof/>
            <w:webHidden/>
          </w:rPr>
          <w:fldChar w:fldCharType="end"/>
        </w:r>
      </w:hyperlink>
    </w:p>
    <w:p w14:paraId="06E2EEF2" w14:textId="0AC82D08"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40" w:history="1">
        <w:r w:rsidR="00920BEE" w:rsidRPr="00577105">
          <w:rPr>
            <w:rStyle w:val="Lienhypertexte"/>
            <w:noProof/>
          </w:rPr>
          <w:t>4.14</w:t>
        </w:r>
        <w:r w:rsidR="00920BEE">
          <w:rPr>
            <w:rFonts w:asciiTheme="minorHAnsi" w:eastAsiaTheme="minorEastAsia" w:hAnsiTheme="minorHAnsi" w:cstheme="minorBidi"/>
            <w:noProof/>
            <w:color w:val="auto"/>
            <w:sz w:val="22"/>
            <w:lang w:eastAsia="fr-BE"/>
          </w:rPr>
          <w:tab/>
        </w:r>
        <w:r w:rsidR="00920BEE" w:rsidRPr="00577105">
          <w:rPr>
            <w:rStyle w:val="Lienhypertexte"/>
            <w:noProof/>
          </w:rPr>
          <w:t>Litiges (art. 73)</w:t>
        </w:r>
        <w:r w:rsidR="00920BEE">
          <w:rPr>
            <w:noProof/>
            <w:webHidden/>
          </w:rPr>
          <w:tab/>
        </w:r>
        <w:r w:rsidR="00920BEE">
          <w:rPr>
            <w:noProof/>
            <w:webHidden/>
          </w:rPr>
          <w:fldChar w:fldCharType="begin"/>
        </w:r>
        <w:r w:rsidR="00920BEE">
          <w:rPr>
            <w:noProof/>
            <w:webHidden/>
          </w:rPr>
          <w:instrText xml:space="preserve"> PAGEREF _Toc503965240 \h </w:instrText>
        </w:r>
        <w:r w:rsidR="00920BEE">
          <w:rPr>
            <w:noProof/>
            <w:webHidden/>
          </w:rPr>
        </w:r>
        <w:r w:rsidR="00920BEE">
          <w:rPr>
            <w:noProof/>
            <w:webHidden/>
          </w:rPr>
          <w:fldChar w:fldCharType="separate"/>
        </w:r>
        <w:r w:rsidR="00741E35">
          <w:rPr>
            <w:noProof/>
            <w:webHidden/>
          </w:rPr>
          <w:t>29</w:t>
        </w:r>
        <w:r w:rsidR="00920BEE">
          <w:rPr>
            <w:noProof/>
            <w:webHidden/>
          </w:rPr>
          <w:fldChar w:fldCharType="end"/>
        </w:r>
      </w:hyperlink>
    </w:p>
    <w:p w14:paraId="4AF56021" w14:textId="5177125F" w:rsidR="00920BEE" w:rsidRDefault="00000000">
      <w:pPr>
        <w:pStyle w:val="TM1"/>
        <w:rPr>
          <w:rFonts w:asciiTheme="minorHAnsi" w:eastAsiaTheme="minorEastAsia" w:hAnsiTheme="minorHAnsi" w:cstheme="minorBidi"/>
          <w:b w:val="0"/>
          <w:noProof/>
          <w:color w:val="auto"/>
          <w:sz w:val="22"/>
          <w:lang w:eastAsia="fr-BE"/>
        </w:rPr>
      </w:pPr>
      <w:hyperlink w:anchor="_Toc503965241" w:history="1">
        <w:r w:rsidR="00920BEE" w:rsidRPr="00577105">
          <w:rPr>
            <w:rStyle w:val="Lienhypertexte"/>
            <w:noProof/>
          </w:rPr>
          <w:t>5</w:t>
        </w:r>
        <w:r w:rsidR="00920BEE">
          <w:rPr>
            <w:rFonts w:asciiTheme="minorHAnsi" w:eastAsiaTheme="minorEastAsia" w:hAnsiTheme="minorHAnsi" w:cstheme="minorBidi"/>
            <w:b w:val="0"/>
            <w:noProof/>
            <w:color w:val="auto"/>
            <w:sz w:val="22"/>
            <w:lang w:eastAsia="fr-BE"/>
          </w:rPr>
          <w:tab/>
        </w:r>
        <w:r w:rsidR="00920BEE" w:rsidRPr="00577105">
          <w:rPr>
            <w:rStyle w:val="Lienhypertexte"/>
            <w:noProof/>
          </w:rPr>
          <w:t>Termes de référence</w:t>
        </w:r>
        <w:r w:rsidR="00920BEE">
          <w:rPr>
            <w:noProof/>
            <w:webHidden/>
          </w:rPr>
          <w:tab/>
        </w:r>
        <w:r w:rsidR="00920BEE">
          <w:rPr>
            <w:noProof/>
            <w:webHidden/>
          </w:rPr>
          <w:fldChar w:fldCharType="begin"/>
        </w:r>
        <w:r w:rsidR="00920BEE">
          <w:rPr>
            <w:noProof/>
            <w:webHidden/>
          </w:rPr>
          <w:instrText xml:space="preserve"> PAGEREF _Toc503965241 \h </w:instrText>
        </w:r>
        <w:r w:rsidR="00920BEE">
          <w:rPr>
            <w:noProof/>
            <w:webHidden/>
          </w:rPr>
        </w:r>
        <w:r w:rsidR="00920BEE">
          <w:rPr>
            <w:noProof/>
            <w:webHidden/>
          </w:rPr>
          <w:fldChar w:fldCharType="separate"/>
        </w:r>
        <w:r w:rsidR="00741E35">
          <w:rPr>
            <w:noProof/>
            <w:webHidden/>
          </w:rPr>
          <w:t>30</w:t>
        </w:r>
        <w:r w:rsidR="00920BEE">
          <w:rPr>
            <w:noProof/>
            <w:webHidden/>
          </w:rPr>
          <w:fldChar w:fldCharType="end"/>
        </w:r>
      </w:hyperlink>
    </w:p>
    <w:p w14:paraId="42759DE4" w14:textId="443EE26A" w:rsidR="00920BEE" w:rsidRDefault="00000000">
      <w:pPr>
        <w:pStyle w:val="TM1"/>
        <w:rPr>
          <w:rFonts w:asciiTheme="minorHAnsi" w:eastAsiaTheme="minorEastAsia" w:hAnsiTheme="minorHAnsi" w:cstheme="minorBidi"/>
          <w:b w:val="0"/>
          <w:noProof/>
          <w:color w:val="auto"/>
          <w:sz w:val="22"/>
          <w:lang w:eastAsia="fr-BE"/>
        </w:rPr>
      </w:pPr>
      <w:hyperlink w:anchor="_Toc503965242" w:history="1">
        <w:r w:rsidR="00920BEE" w:rsidRPr="00577105">
          <w:rPr>
            <w:rStyle w:val="Lienhypertexte"/>
            <w:noProof/>
          </w:rPr>
          <w:t>6</w:t>
        </w:r>
        <w:r w:rsidR="00920BEE">
          <w:rPr>
            <w:rFonts w:asciiTheme="minorHAnsi" w:eastAsiaTheme="minorEastAsia" w:hAnsiTheme="minorHAnsi" w:cstheme="minorBidi"/>
            <w:b w:val="0"/>
            <w:noProof/>
            <w:color w:val="auto"/>
            <w:sz w:val="22"/>
            <w:lang w:eastAsia="fr-BE"/>
          </w:rPr>
          <w:tab/>
        </w:r>
        <w:r w:rsidR="00920BEE" w:rsidRPr="00577105">
          <w:rPr>
            <w:rStyle w:val="Lienhypertexte"/>
            <w:noProof/>
          </w:rPr>
          <w:t>Formulaires</w:t>
        </w:r>
        <w:r w:rsidR="00920BEE">
          <w:rPr>
            <w:noProof/>
            <w:webHidden/>
          </w:rPr>
          <w:tab/>
        </w:r>
        <w:r w:rsidR="00920BEE">
          <w:rPr>
            <w:noProof/>
            <w:webHidden/>
          </w:rPr>
          <w:fldChar w:fldCharType="begin"/>
        </w:r>
        <w:r w:rsidR="00920BEE">
          <w:rPr>
            <w:noProof/>
            <w:webHidden/>
          </w:rPr>
          <w:instrText xml:space="preserve"> PAGEREF _Toc503965242 \h </w:instrText>
        </w:r>
        <w:r w:rsidR="00920BEE">
          <w:rPr>
            <w:noProof/>
            <w:webHidden/>
          </w:rPr>
        </w:r>
        <w:r w:rsidR="00920BEE">
          <w:rPr>
            <w:noProof/>
            <w:webHidden/>
          </w:rPr>
          <w:fldChar w:fldCharType="separate"/>
        </w:r>
        <w:r w:rsidR="00741E35">
          <w:rPr>
            <w:noProof/>
            <w:webHidden/>
          </w:rPr>
          <w:t>34</w:t>
        </w:r>
        <w:r w:rsidR="00920BEE">
          <w:rPr>
            <w:noProof/>
            <w:webHidden/>
          </w:rPr>
          <w:fldChar w:fldCharType="end"/>
        </w:r>
      </w:hyperlink>
    </w:p>
    <w:p w14:paraId="35370DBE" w14:textId="24C107FB"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43" w:history="1">
        <w:r w:rsidR="00920BEE" w:rsidRPr="00577105">
          <w:rPr>
            <w:rStyle w:val="Lienhypertexte"/>
            <w:noProof/>
          </w:rPr>
          <w:t>6.1</w:t>
        </w:r>
        <w:r w:rsidR="00920BEE">
          <w:rPr>
            <w:rFonts w:asciiTheme="minorHAnsi" w:eastAsiaTheme="minorEastAsia" w:hAnsiTheme="minorHAnsi" w:cstheme="minorBidi"/>
            <w:noProof/>
            <w:color w:val="auto"/>
            <w:sz w:val="22"/>
            <w:lang w:eastAsia="fr-BE"/>
          </w:rPr>
          <w:tab/>
        </w:r>
        <w:r w:rsidR="00920BEE" w:rsidRPr="00577105">
          <w:rPr>
            <w:rStyle w:val="Lienhypertexte"/>
            <w:noProof/>
          </w:rPr>
          <w:t>Formulaires d’identification</w:t>
        </w:r>
        <w:r w:rsidR="00920BEE">
          <w:rPr>
            <w:noProof/>
            <w:webHidden/>
          </w:rPr>
          <w:tab/>
        </w:r>
        <w:r w:rsidR="00920BEE">
          <w:rPr>
            <w:noProof/>
            <w:webHidden/>
          </w:rPr>
          <w:fldChar w:fldCharType="begin"/>
        </w:r>
        <w:r w:rsidR="00920BEE">
          <w:rPr>
            <w:noProof/>
            <w:webHidden/>
          </w:rPr>
          <w:instrText xml:space="preserve"> PAGEREF _Toc503965243 \h </w:instrText>
        </w:r>
        <w:r w:rsidR="00920BEE">
          <w:rPr>
            <w:noProof/>
            <w:webHidden/>
          </w:rPr>
          <w:fldChar w:fldCharType="separate"/>
        </w:r>
        <w:r w:rsidR="00741E35">
          <w:rPr>
            <w:b/>
            <w:bCs/>
            <w:noProof/>
            <w:webHidden/>
            <w:lang w:val="fr-FR"/>
          </w:rPr>
          <w:t>Erreur ! Signet non défini.</w:t>
        </w:r>
        <w:r w:rsidR="00920BEE">
          <w:rPr>
            <w:noProof/>
            <w:webHidden/>
          </w:rPr>
          <w:fldChar w:fldCharType="end"/>
        </w:r>
      </w:hyperlink>
    </w:p>
    <w:p w14:paraId="1C170AAB" w14:textId="08A367B6"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44" w:history="1">
        <w:r w:rsidR="00920BEE" w:rsidRPr="00577105">
          <w:rPr>
            <w:rStyle w:val="Lienhypertexte"/>
            <w:noProof/>
          </w:rPr>
          <w:t>6.2</w:t>
        </w:r>
        <w:r w:rsidR="00920BEE">
          <w:rPr>
            <w:rFonts w:asciiTheme="minorHAnsi" w:eastAsiaTheme="minorEastAsia" w:hAnsiTheme="minorHAnsi" w:cstheme="minorBidi"/>
            <w:noProof/>
            <w:color w:val="auto"/>
            <w:sz w:val="22"/>
            <w:lang w:eastAsia="fr-BE"/>
          </w:rPr>
          <w:tab/>
        </w:r>
        <w:r w:rsidR="00920BEE" w:rsidRPr="00577105">
          <w:rPr>
            <w:rStyle w:val="Lienhypertexte"/>
            <w:noProof/>
          </w:rPr>
          <w:t>Formulaire d’offre - Prix</w:t>
        </w:r>
        <w:r w:rsidR="00920BEE">
          <w:rPr>
            <w:noProof/>
            <w:webHidden/>
          </w:rPr>
          <w:tab/>
        </w:r>
        <w:r w:rsidR="00920BEE">
          <w:rPr>
            <w:noProof/>
            <w:webHidden/>
          </w:rPr>
          <w:fldChar w:fldCharType="begin"/>
        </w:r>
        <w:r w:rsidR="00920BEE">
          <w:rPr>
            <w:noProof/>
            <w:webHidden/>
          </w:rPr>
          <w:instrText xml:space="preserve"> PAGEREF _Toc503965244 \h </w:instrText>
        </w:r>
        <w:r w:rsidR="00920BEE">
          <w:rPr>
            <w:noProof/>
            <w:webHidden/>
          </w:rPr>
          <w:fldChar w:fldCharType="separate"/>
        </w:r>
        <w:r w:rsidR="00741E35">
          <w:rPr>
            <w:b/>
            <w:bCs/>
            <w:noProof/>
            <w:webHidden/>
            <w:lang w:val="fr-FR"/>
          </w:rPr>
          <w:t>Erreur ! Signet non défini.</w:t>
        </w:r>
        <w:r w:rsidR="00920BEE">
          <w:rPr>
            <w:noProof/>
            <w:webHidden/>
          </w:rPr>
          <w:fldChar w:fldCharType="end"/>
        </w:r>
      </w:hyperlink>
    </w:p>
    <w:p w14:paraId="3B00F107" w14:textId="3FBB99E0"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45" w:history="1">
        <w:r w:rsidR="00920BEE" w:rsidRPr="00577105">
          <w:rPr>
            <w:rStyle w:val="Lienhypertexte"/>
            <w:noProof/>
          </w:rPr>
          <w:t>6.3</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Déclaration d’intégrité pour les soumissionnaires</w:t>
        </w:r>
        <w:r w:rsidR="00920BEE">
          <w:rPr>
            <w:noProof/>
            <w:webHidden/>
          </w:rPr>
          <w:tab/>
        </w:r>
        <w:r w:rsidR="00920BEE">
          <w:rPr>
            <w:noProof/>
            <w:webHidden/>
          </w:rPr>
          <w:fldChar w:fldCharType="begin"/>
        </w:r>
        <w:r w:rsidR="00920BEE">
          <w:rPr>
            <w:noProof/>
            <w:webHidden/>
          </w:rPr>
          <w:instrText xml:space="preserve"> PAGEREF _Toc503965245 \h </w:instrText>
        </w:r>
        <w:r w:rsidR="00920BEE">
          <w:rPr>
            <w:noProof/>
            <w:webHidden/>
          </w:rPr>
          <w:fldChar w:fldCharType="separate"/>
        </w:r>
        <w:r w:rsidR="00741E35">
          <w:rPr>
            <w:b/>
            <w:bCs/>
            <w:noProof/>
            <w:webHidden/>
            <w:lang w:val="fr-FR"/>
          </w:rPr>
          <w:t>Erreur ! Signet non défini.</w:t>
        </w:r>
        <w:r w:rsidR="00920BEE">
          <w:rPr>
            <w:noProof/>
            <w:webHidden/>
          </w:rPr>
          <w:fldChar w:fldCharType="end"/>
        </w:r>
      </w:hyperlink>
    </w:p>
    <w:p w14:paraId="2E2B6825" w14:textId="02AD25BA"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46" w:history="1">
        <w:r w:rsidR="00920BEE" w:rsidRPr="00577105">
          <w:rPr>
            <w:rStyle w:val="Lienhypertexte"/>
            <w:noProof/>
          </w:rPr>
          <w:t>6.4</w:t>
        </w:r>
        <w:r w:rsidR="00920BEE">
          <w:rPr>
            <w:rFonts w:asciiTheme="minorHAnsi" w:eastAsiaTheme="minorEastAsia" w:hAnsiTheme="minorHAnsi" w:cstheme="minorBidi"/>
            <w:noProof/>
            <w:color w:val="auto"/>
            <w:sz w:val="22"/>
            <w:lang w:eastAsia="fr-BE"/>
          </w:rPr>
          <w:tab/>
        </w:r>
        <w:r w:rsidR="00920BEE" w:rsidRPr="00577105">
          <w:rPr>
            <w:rStyle w:val="Lienhypertexte"/>
            <w:noProof/>
          </w:rPr>
          <w:t>Dossier de sélection</w:t>
        </w:r>
        <w:r w:rsidR="00920BEE">
          <w:rPr>
            <w:noProof/>
            <w:webHidden/>
          </w:rPr>
          <w:tab/>
        </w:r>
        <w:r w:rsidR="00920BEE">
          <w:rPr>
            <w:noProof/>
            <w:webHidden/>
          </w:rPr>
          <w:fldChar w:fldCharType="begin"/>
        </w:r>
        <w:r w:rsidR="00920BEE">
          <w:rPr>
            <w:noProof/>
            <w:webHidden/>
          </w:rPr>
          <w:instrText xml:space="preserve"> PAGEREF _Toc503965246 \h </w:instrText>
        </w:r>
        <w:r w:rsidR="00920BEE">
          <w:rPr>
            <w:noProof/>
            <w:webHidden/>
          </w:rPr>
          <w:fldChar w:fldCharType="separate"/>
        </w:r>
        <w:r w:rsidR="00741E35">
          <w:rPr>
            <w:b/>
            <w:bCs/>
            <w:noProof/>
            <w:webHidden/>
            <w:lang w:val="fr-FR"/>
          </w:rPr>
          <w:t>Erreur ! Signet non défini.</w:t>
        </w:r>
        <w:r w:rsidR="00920BEE">
          <w:rPr>
            <w:noProof/>
            <w:webHidden/>
          </w:rPr>
          <w:fldChar w:fldCharType="end"/>
        </w:r>
      </w:hyperlink>
    </w:p>
    <w:p w14:paraId="52471BAC" w14:textId="23963D9C" w:rsidR="00920BEE" w:rsidRDefault="00000000">
      <w:pPr>
        <w:pStyle w:val="TM2"/>
        <w:tabs>
          <w:tab w:val="left" w:pos="880"/>
          <w:tab w:val="right" w:leader="dot" w:pos="8494"/>
        </w:tabs>
        <w:rPr>
          <w:rFonts w:asciiTheme="minorHAnsi" w:eastAsiaTheme="minorEastAsia" w:hAnsiTheme="minorHAnsi" w:cstheme="minorBidi"/>
          <w:noProof/>
          <w:color w:val="auto"/>
          <w:sz w:val="22"/>
          <w:lang w:eastAsia="fr-BE"/>
        </w:rPr>
      </w:pPr>
      <w:hyperlink w:anchor="_Toc503965247" w:history="1">
        <w:r w:rsidR="00920BEE" w:rsidRPr="00577105">
          <w:rPr>
            <w:rStyle w:val="Lienhypertexte"/>
            <w:noProof/>
          </w:rPr>
          <w:t>6.5</w:t>
        </w:r>
        <w:r w:rsidR="00920BEE">
          <w:rPr>
            <w:rFonts w:asciiTheme="minorHAnsi" w:eastAsiaTheme="minorEastAsia" w:hAnsiTheme="minorHAnsi" w:cstheme="minorBidi"/>
            <w:noProof/>
            <w:color w:val="auto"/>
            <w:sz w:val="22"/>
            <w:lang w:eastAsia="fr-BE"/>
          </w:rPr>
          <w:tab/>
        </w:r>
        <w:r w:rsidR="00920BEE" w:rsidRPr="00577105">
          <w:rPr>
            <w:rStyle w:val="Lienhypertexte"/>
            <w:noProof/>
          </w:rPr>
          <w:t>Récapitulatif des documents à remettre</w:t>
        </w:r>
        <w:r w:rsidR="00920BEE">
          <w:rPr>
            <w:noProof/>
            <w:webHidden/>
          </w:rPr>
          <w:tab/>
        </w:r>
        <w:r w:rsidR="00920BEE">
          <w:rPr>
            <w:noProof/>
            <w:webHidden/>
          </w:rPr>
          <w:fldChar w:fldCharType="begin"/>
        </w:r>
        <w:r w:rsidR="00920BEE">
          <w:rPr>
            <w:noProof/>
            <w:webHidden/>
          </w:rPr>
          <w:instrText xml:space="preserve"> PAGEREF _Toc503965247 \h </w:instrText>
        </w:r>
        <w:r w:rsidR="00920BEE">
          <w:rPr>
            <w:noProof/>
            <w:webHidden/>
          </w:rPr>
          <w:fldChar w:fldCharType="separate"/>
        </w:r>
        <w:r w:rsidR="00741E35">
          <w:rPr>
            <w:b/>
            <w:bCs/>
            <w:noProof/>
            <w:webHidden/>
            <w:lang w:val="fr-FR"/>
          </w:rPr>
          <w:t>Erreur ! Signet non défini.</w:t>
        </w:r>
        <w:r w:rsidR="00920BEE">
          <w:rPr>
            <w:noProof/>
            <w:webHidden/>
          </w:rPr>
          <w:fldChar w:fldCharType="end"/>
        </w:r>
      </w:hyperlink>
    </w:p>
    <w:p w14:paraId="53FA1D91" w14:textId="77777777"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2" w:name="_Toc503965175"/>
      <w:r>
        <w:lastRenderedPageBreak/>
        <w:t>Généralités</w:t>
      </w:r>
      <w:bookmarkEnd w:id="2"/>
      <w:r w:rsidR="00557219" w:rsidRPr="004145B4">
        <w:t xml:space="preserve"> </w:t>
      </w:r>
    </w:p>
    <w:p w14:paraId="5558DFF7" w14:textId="223F1388" w:rsidR="002B7D5A" w:rsidRPr="007749A0" w:rsidRDefault="006C4396" w:rsidP="00413425">
      <w:pPr>
        <w:pStyle w:val="Titre2"/>
      </w:pPr>
      <w:bookmarkStart w:id="3" w:name="_Toc503965176"/>
      <w:r>
        <w:t>Dérogations aux règles générales d’exécution</w:t>
      </w:r>
      <w:bookmarkEnd w:id="3"/>
    </w:p>
    <w:p w14:paraId="5617B48F" w14:textId="77777777" w:rsidR="005C33F3" w:rsidRP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1"/>
      </w:r>
    </w:p>
    <w:p w14:paraId="61E9FA1F" w14:textId="59CB23EF" w:rsidR="005C33F3" w:rsidRPr="0035668A" w:rsidRDefault="005C33F3" w:rsidP="0035668A">
      <w:pPr>
        <w:pStyle w:val="Corpsdetexte"/>
        <w:shd w:val="clear" w:color="auto" w:fill="FFFFFF" w:themeFill="background1"/>
        <w:rPr>
          <w:rFonts w:ascii="Georgia" w:eastAsia="Calibri" w:hAnsi="Georgia" w:cs="Times New Roman"/>
          <w:i/>
          <w:color w:val="585756"/>
          <w:kern w:val="0"/>
          <w:sz w:val="21"/>
          <w:szCs w:val="22"/>
          <w:lang w:val="fr-BE"/>
        </w:rPr>
      </w:pPr>
      <w:r w:rsidRPr="0035668A">
        <w:rPr>
          <w:rFonts w:ascii="Georgia" w:eastAsia="Calibri" w:hAnsi="Georgia" w:cs="Times New Roman"/>
          <w:color w:val="585756"/>
          <w:kern w:val="0"/>
          <w:sz w:val="21"/>
          <w:szCs w:val="22"/>
          <w:lang w:val="fr-BE"/>
        </w:rPr>
        <w:t>Dans le présent CSC, il est dérogé à l’article</w:t>
      </w:r>
      <w:r w:rsidR="0035668A">
        <w:rPr>
          <w:rFonts w:ascii="Georgia" w:eastAsia="Calibri" w:hAnsi="Georgia" w:cs="Times New Roman"/>
          <w:color w:val="585756"/>
          <w:kern w:val="0"/>
          <w:sz w:val="21"/>
          <w:szCs w:val="22"/>
          <w:lang w:val="fr-BE"/>
        </w:rPr>
        <w:t xml:space="preserve"> 26 </w:t>
      </w:r>
      <w:r w:rsidR="0035668A" w:rsidRPr="0035668A">
        <w:rPr>
          <w:rFonts w:ascii="Georgia" w:eastAsia="Calibri" w:hAnsi="Georgia" w:cs="Times New Roman"/>
          <w:color w:val="585756"/>
          <w:kern w:val="0"/>
          <w:sz w:val="21"/>
          <w:szCs w:val="22"/>
          <w:lang w:val="fr-BE"/>
        </w:rPr>
        <w:t>des</w:t>
      </w:r>
      <w:r w:rsidRPr="0035668A">
        <w:rPr>
          <w:rFonts w:ascii="Georgia" w:eastAsia="Calibri" w:hAnsi="Georgia" w:cs="Times New Roman"/>
          <w:color w:val="585756"/>
          <w:kern w:val="0"/>
          <w:sz w:val="21"/>
          <w:szCs w:val="22"/>
          <w:lang w:val="fr-BE"/>
        </w:rPr>
        <w:t xml:space="preserve"> Règles Générales d’Exécution - RGE (AR du 14.01.2013). </w:t>
      </w:r>
    </w:p>
    <w:p w14:paraId="62E0B304" w14:textId="780C41AB" w:rsidR="0067285B" w:rsidRDefault="0067285B" w:rsidP="0067285B">
      <w:pPr>
        <w:pStyle w:val="Titre2"/>
        <w:keepLines w:val="0"/>
        <w:widowControl w:val="0"/>
        <w:tabs>
          <w:tab w:val="num" w:pos="576"/>
        </w:tabs>
        <w:suppressAutoHyphens/>
        <w:spacing w:after="240"/>
      </w:pPr>
      <w:bookmarkStart w:id="4" w:name="_Ref260219633"/>
      <w:bookmarkStart w:id="5" w:name="_Ref260219636"/>
      <w:bookmarkStart w:id="6" w:name="_Toc364253062"/>
      <w:bookmarkStart w:id="7" w:name="_Toc503965177"/>
      <w:r>
        <w:t>Pouvoir adjudicateur</w:t>
      </w:r>
      <w:bookmarkEnd w:id="4"/>
      <w:bookmarkEnd w:id="5"/>
      <w:bookmarkEnd w:id="6"/>
      <w:bookmarkEnd w:id="7"/>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5D4C728B"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w:t>
      </w:r>
      <w:r w:rsidR="003A2A22" w:rsidRPr="00C91137">
        <w:rPr>
          <w:rFonts w:ascii="Georgia" w:eastAsia="Calibri" w:hAnsi="Georgia" w:cs="Times New Roman"/>
          <w:color w:val="585756"/>
          <w:kern w:val="0"/>
          <w:sz w:val="21"/>
          <w:szCs w:val="22"/>
          <w:lang w:val="fr-BE"/>
        </w:rPr>
        <w:t xml:space="preserve">par </w:t>
      </w:r>
      <w:r w:rsidR="003A2A22">
        <w:rPr>
          <w:rFonts w:ascii="Georgia" w:eastAsia="Calibri" w:hAnsi="Georgia" w:cs="Times New Roman"/>
          <w:color w:val="585756"/>
          <w:kern w:val="0"/>
          <w:sz w:val="21"/>
          <w:szCs w:val="22"/>
          <w:lang w:val="fr-BE"/>
        </w:rPr>
        <w:t>Madame</w:t>
      </w:r>
      <w:r w:rsidR="000B1571">
        <w:rPr>
          <w:rFonts w:ascii="Georgia" w:eastAsia="Calibri" w:hAnsi="Georgia" w:cs="Times New Roman"/>
          <w:color w:val="585756"/>
          <w:kern w:val="0"/>
          <w:sz w:val="21"/>
          <w:szCs w:val="22"/>
          <w:lang w:val="fr-BE"/>
        </w:rPr>
        <w:t xml:space="preserve"> Laura JACOBS, </w:t>
      </w:r>
      <w:proofErr w:type="spellStart"/>
      <w:r w:rsidR="000B1571">
        <w:rPr>
          <w:rFonts w:ascii="Georgia" w:eastAsia="Calibri" w:hAnsi="Georgia" w:cs="Times New Roman"/>
          <w:color w:val="585756"/>
          <w:kern w:val="0"/>
          <w:sz w:val="21"/>
          <w:szCs w:val="22"/>
          <w:lang w:val="fr-BE"/>
        </w:rPr>
        <w:t>Contract</w:t>
      </w:r>
      <w:proofErr w:type="spellEnd"/>
      <w:r w:rsidR="000B1571">
        <w:rPr>
          <w:rFonts w:ascii="Georgia" w:eastAsia="Calibri" w:hAnsi="Georgia" w:cs="Times New Roman"/>
          <w:color w:val="585756"/>
          <w:kern w:val="0"/>
          <w:sz w:val="21"/>
          <w:szCs w:val="22"/>
          <w:lang w:val="fr-BE"/>
        </w:rPr>
        <w:t xml:space="preserve"> Support Manager </w:t>
      </w:r>
      <w:proofErr w:type="spellStart"/>
      <w:r w:rsidR="000B1571">
        <w:rPr>
          <w:rFonts w:ascii="Georgia" w:eastAsia="Calibri" w:hAnsi="Georgia" w:cs="Times New Roman"/>
          <w:color w:val="585756"/>
          <w:kern w:val="0"/>
          <w:sz w:val="21"/>
          <w:szCs w:val="22"/>
          <w:lang w:val="fr-BE"/>
        </w:rPr>
        <w:t>Enabel</w:t>
      </w:r>
      <w:proofErr w:type="spellEnd"/>
      <w:r w:rsidR="000B1571">
        <w:rPr>
          <w:rFonts w:ascii="Georgia" w:eastAsia="Calibri" w:hAnsi="Georgia" w:cs="Times New Roman"/>
          <w:color w:val="585756"/>
          <w:kern w:val="0"/>
          <w:sz w:val="21"/>
          <w:szCs w:val="22"/>
          <w:lang w:val="fr-BE"/>
        </w:rPr>
        <w:t xml:space="preserve"> RDC/RCA.</w:t>
      </w:r>
    </w:p>
    <w:p w14:paraId="676D5F1C" w14:textId="5FA604DE" w:rsidR="0067285B" w:rsidRDefault="0067285B" w:rsidP="0067285B">
      <w:pPr>
        <w:pStyle w:val="Titre2"/>
        <w:keepLines w:val="0"/>
        <w:widowControl w:val="0"/>
        <w:tabs>
          <w:tab w:val="num" w:pos="576"/>
        </w:tabs>
        <w:suppressAutoHyphens/>
        <w:spacing w:after="240"/>
      </w:pPr>
      <w:bookmarkStart w:id="8" w:name="_Toc257039813"/>
      <w:bookmarkStart w:id="9" w:name="_Toc366161146"/>
      <w:bookmarkStart w:id="10" w:name="_Toc503965178"/>
      <w:r>
        <w:t>Cadre institutionnel d</w:t>
      </w:r>
      <w:bookmarkEnd w:id="8"/>
      <w:bookmarkEnd w:id="9"/>
      <w:r w:rsidR="00425E03">
        <w:t>’Enabel</w:t>
      </w:r>
      <w:bookmarkEnd w:id="10"/>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75E2DB8B" w:rsidR="00E535C1" w:rsidRPr="00C91137" w:rsidRDefault="00E535C1" w:rsidP="00C91137">
      <w:pPr>
        <w:pStyle w:val="BTCtextCTB"/>
        <w:rPr>
          <w:rFonts w:ascii="Georgia" w:eastAsia="Calibri" w:hAnsi="Georgia"/>
          <w:color w:val="585756"/>
          <w:sz w:val="21"/>
          <w:szCs w:val="22"/>
        </w:rPr>
      </w:pPr>
      <w:bookmarkStart w:id="11"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w:t>
      </w:r>
      <w:r w:rsidR="003A2A22" w:rsidRPr="00E535C1">
        <w:rPr>
          <w:rFonts w:ascii="Georgia" w:eastAsia="Calibri" w:hAnsi="Georgia"/>
          <w:color w:val="585756"/>
          <w:sz w:val="21"/>
          <w:szCs w:val="22"/>
        </w:rPr>
        <w:t>2019 ;</w:t>
      </w:r>
      <w:r w:rsidRPr="00E535C1">
        <w:rPr>
          <w:rFonts w:ascii="Georgia" w:eastAsia="Calibri" w:hAnsi="Georgia"/>
          <w:color w:val="585756"/>
          <w:sz w:val="21"/>
          <w:szCs w:val="22"/>
        </w:rPr>
        <w:t xml:space="preserve">  </w:t>
      </w:r>
    </w:p>
    <w:bookmarkEnd w:id="11"/>
    <w:p w14:paraId="4F174018" w14:textId="2129D9B9"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3A2A22" w:rsidRPr="00C91137">
        <w:rPr>
          <w:rFonts w:ascii="Georgia" w:eastAsia="Calibri" w:hAnsi="Georgia" w:cs="Times New Roman"/>
          <w:color w:val="585756"/>
          <w:kern w:val="0"/>
          <w:sz w:val="21"/>
          <w:szCs w:val="22"/>
          <w:lang w:val="fr-BE"/>
        </w:rPr>
        <w:t>d</w:t>
      </w:r>
      <w:r w:rsidR="003A2A22">
        <w:rPr>
          <w:rFonts w:ascii="Georgia" w:eastAsia="Calibri" w:hAnsi="Georgia" w:cs="Times New Roman"/>
          <w:color w:val="585756"/>
          <w:kern w:val="0"/>
          <w:sz w:val="21"/>
          <w:szCs w:val="22"/>
          <w:lang w:val="fr-BE"/>
        </w:rPr>
        <w:t>e Enabel</w:t>
      </w:r>
      <w:r w:rsidR="003A2A22"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532D375C" w:rsidR="0067285B" w:rsidRPr="00C91137" w:rsidRDefault="003A2A22"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2344A8AA" w:rsidR="0067285B" w:rsidRPr="00211A79" w:rsidRDefault="003A2A22"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xml:space="preserve">, ainsi que la loi du 10 février 1999 relative à la répression </w:t>
      </w:r>
      <w:r w:rsidR="0067285B" w:rsidRPr="00211A79">
        <w:rPr>
          <w:rFonts w:ascii="Georgia" w:eastAsia="Calibri" w:hAnsi="Georgia"/>
          <w:bCs w:val="0"/>
          <w:color w:val="585756"/>
          <w:sz w:val="21"/>
          <w:szCs w:val="22"/>
          <w:lang w:val="fr-BE" w:eastAsia="en-US"/>
        </w:rPr>
        <w:lastRenderedPageBreak/>
        <w:t>de la corruption transposant la Convention relative à la lutte contre la corruption de fonctionnaires étrangers dans des transactions commerciales internationales ;</w:t>
      </w:r>
    </w:p>
    <w:p w14:paraId="3FF339AC" w14:textId="60F012A6" w:rsidR="0067285B" w:rsidRPr="00211A79" w:rsidRDefault="003A2A22"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67285B">
        <w:rPr>
          <w:rFonts w:ascii="Georgia" w:eastAsia="Calibri" w:hAnsi="Georgia"/>
          <w:bCs w:val="0"/>
          <w:color w:val="585756"/>
          <w:sz w:val="21"/>
          <w:szCs w:val="22"/>
          <w:lang w:val="en-US" w:eastAsia="en-US"/>
        </w:rPr>
        <w:footnoteReference w:id="5"/>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5CD9E6B1" w:rsidR="0067285B" w:rsidRPr="00211A79" w:rsidRDefault="003A2A22"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34DEFA93" w:rsidR="0017446A" w:rsidRPr="00211A79" w:rsidRDefault="003A2A22"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2" w:name="législation"/>
      <w:bookmarkStart w:id="13" w:name="_Ref233108991"/>
      <w:bookmarkStart w:id="14" w:name="_Ref233108994"/>
      <w:bookmarkStart w:id="15" w:name="_Toc257380472"/>
      <w:bookmarkStart w:id="16" w:name="_Toc260134189"/>
      <w:bookmarkStart w:id="17" w:name="_Toc364253063"/>
      <w:bookmarkStart w:id="18" w:name="_Toc503965179"/>
      <w:r>
        <w:t>Règles régissant le marché</w:t>
      </w:r>
      <w:bookmarkEnd w:id="12"/>
      <w:bookmarkEnd w:id="13"/>
      <w:bookmarkEnd w:id="14"/>
      <w:bookmarkEnd w:id="15"/>
      <w:bookmarkEnd w:id="16"/>
      <w:bookmarkEnd w:id="17"/>
      <w:bookmarkEnd w:id="18"/>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19" w:name="_Hlk52270132"/>
      <w:r>
        <w:t>La Politique de Enabel concernant l’exploitation et les abus sexuels – juin 2019 ;</w:t>
      </w:r>
    </w:p>
    <w:p w14:paraId="7D0688DE" w14:textId="77777777" w:rsidR="001A013F" w:rsidRDefault="00E535C1" w:rsidP="001A013F">
      <w:pPr>
        <w:pStyle w:val="Paragraphedeliste"/>
        <w:numPr>
          <w:ilvl w:val="0"/>
          <w:numId w:val="4"/>
        </w:numPr>
      </w:pPr>
      <w:r>
        <w:t>La Politique de Enabel concernant la maîtrise des risques de fraude et de corruption – juin 2019 ;</w:t>
      </w:r>
    </w:p>
    <w:p w14:paraId="1798995F" w14:textId="77777777" w:rsidR="001A013F" w:rsidRDefault="00ED5EA4" w:rsidP="001A013F">
      <w:pPr>
        <w:pStyle w:val="Paragraphedeliste"/>
        <w:numPr>
          <w:ilvl w:val="0"/>
          <w:numId w:val="4"/>
        </w:numPr>
      </w:pPr>
      <w:r w:rsidRPr="001A013F">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66CB12AE" w:rsidR="00ED5EA4" w:rsidRDefault="00ED5EA4" w:rsidP="001A013F">
      <w:pPr>
        <w:pStyle w:val="Paragraphedeliste"/>
        <w:numPr>
          <w:ilvl w:val="0"/>
          <w:numId w:val="4"/>
        </w:numPr>
      </w:pPr>
      <w:r w:rsidRPr="00D14EA3">
        <w:t>Loi du 30 juillet 2018 relative à la protection des personnes physiques à l’égard des traitements de données à caractère personnel</w:t>
      </w:r>
    </w:p>
    <w:p w14:paraId="2A3AE1F5" w14:textId="0FE4009D" w:rsidR="00E535C1" w:rsidRDefault="00E535C1" w:rsidP="001A013F">
      <w:r>
        <w:lastRenderedPageBreak/>
        <w:t xml:space="preserve">Toute la réglementation belge sur les marchés publics peut être consultée sur www.publicprocurement.be, le code éthique et les politiques de Enabel mentionnées ci-dessus sur le site web de Enabel, ou </w:t>
      </w:r>
      <w:hyperlink r:id="rId15" w:history="1">
        <w:r w:rsidR="001A013F" w:rsidRPr="00EA6AC9">
          <w:rPr>
            <w:rStyle w:val="Lienhypertexte"/>
          </w:rPr>
          <w:t>https://www.enabel.be/fr/content/lethique-enabel</w:t>
        </w:r>
      </w:hyperlink>
      <w:r w:rsidR="001A013F">
        <w:t xml:space="preserve">, </w:t>
      </w:r>
    </w:p>
    <w:bookmarkEnd w:id="19"/>
    <w:p w14:paraId="3BC94C73" w14:textId="77777777" w:rsidR="002A1F15" w:rsidRPr="00E535C1" w:rsidRDefault="002A1F15" w:rsidP="005C33F3">
      <w:pPr>
        <w:autoSpaceDE w:val="0"/>
        <w:autoSpaceDN w:val="0"/>
        <w:adjustRightInd w:val="0"/>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20" w:name="_Toc224619176"/>
      <w:bookmarkStart w:id="21" w:name="_Toc257380473"/>
      <w:bookmarkStart w:id="22" w:name="_Toc260134190"/>
      <w:bookmarkStart w:id="23" w:name="_Toc364253064"/>
      <w:bookmarkStart w:id="24" w:name="_Toc503965180"/>
      <w:r>
        <w:t>Définitions</w:t>
      </w:r>
      <w:bookmarkEnd w:id="20"/>
      <w:bookmarkEnd w:id="21"/>
      <w:bookmarkEnd w:id="22"/>
      <w:bookmarkEnd w:id="23"/>
      <w:bookmarkEnd w:id="24"/>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7E8F7DCE"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FC59A9" w:rsidRPr="00211A79">
        <w:rPr>
          <w:rFonts w:ascii="Georgia" w:eastAsia="Calibri" w:hAnsi="Georgia"/>
          <w:bCs w:val="0"/>
          <w:color w:val="585756"/>
          <w:sz w:val="21"/>
          <w:szCs w:val="22"/>
          <w:u w:val="single"/>
          <w:lang w:val="fr-BE" w:eastAsia="en-US"/>
        </w:rPr>
        <w:t>l’adjudicateur</w:t>
      </w:r>
      <w:r w:rsidR="00FC59A9"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représentée par</w:t>
      </w:r>
      <w:r w:rsidR="0072670C">
        <w:rPr>
          <w:rFonts w:ascii="Georgia" w:eastAsia="Calibri" w:hAnsi="Georgia"/>
          <w:bCs w:val="0"/>
          <w:color w:val="585756"/>
          <w:sz w:val="21"/>
          <w:szCs w:val="22"/>
          <w:lang w:val="fr-BE" w:eastAsia="en-US"/>
        </w:rPr>
        <w:t xml:space="preserve"> Madame Laura JACOBS, </w:t>
      </w:r>
      <w:proofErr w:type="spellStart"/>
      <w:r w:rsidR="0072670C">
        <w:rPr>
          <w:rFonts w:ascii="Georgia" w:eastAsia="Calibri" w:hAnsi="Georgia"/>
          <w:bCs w:val="0"/>
          <w:color w:val="585756"/>
          <w:sz w:val="21"/>
          <w:szCs w:val="22"/>
          <w:lang w:val="fr-BE" w:eastAsia="en-US"/>
        </w:rPr>
        <w:t>Contract</w:t>
      </w:r>
      <w:proofErr w:type="spellEnd"/>
      <w:r w:rsidR="0072670C">
        <w:rPr>
          <w:rFonts w:ascii="Georgia" w:eastAsia="Calibri" w:hAnsi="Georgia"/>
          <w:bCs w:val="0"/>
          <w:color w:val="585756"/>
          <w:sz w:val="21"/>
          <w:szCs w:val="22"/>
          <w:lang w:val="fr-BE" w:eastAsia="en-US"/>
        </w:rPr>
        <w:t xml:space="preserve"> Support Manager RDC/RCA</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1B822D0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FC59A9" w:rsidRPr="00211A79">
        <w:rPr>
          <w:rFonts w:ascii="Georgia" w:eastAsia="Calibri" w:hAnsi="Georgia"/>
          <w:bCs w:val="0"/>
          <w:color w:val="585756"/>
          <w:sz w:val="21"/>
          <w:szCs w:val="22"/>
          <w:lang w:val="fr-BE" w:eastAsia="en-US"/>
        </w:rPr>
        <w:t>soumissionnaire ;</w:t>
      </w:r>
    </w:p>
    <w:p w14:paraId="33E92436" w14:textId="2342F64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FC59A9" w:rsidRPr="00211A79">
        <w:rPr>
          <w:rFonts w:ascii="Georgia" w:eastAsia="Calibri" w:hAnsi="Georgia"/>
          <w:bCs w:val="0"/>
          <w:color w:val="585756"/>
          <w:sz w:val="21"/>
          <w:szCs w:val="22"/>
          <w:u w:val="single"/>
          <w:lang w:val="fr-BE" w:eastAsia="en-US"/>
        </w:rPr>
        <w:t>soumissionnaire ;</w:t>
      </w:r>
    </w:p>
    <w:p w14:paraId="121F0B74" w14:textId="67D63EC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FC59A9" w:rsidRPr="00211A79">
        <w:rPr>
          <w:rFonts w:ascii="Georgia" w:eastAsia="Calibri" w:hAnsi="Georgia"/>
          <w:bCs w:val="0"/>
          <w:color w:val="585756"/>
          <w:sz w:val="21"/>
          <w:szCs w:val="22"/>
          <w:lang w:val="fr-BE" w:eastAsia="en-US"/>
        </w:rPr>
        <w:t>prix ;</w:t>
      </w:r>
    </w:p>
    <w:p w14:paraId="4C0720D4" w14:textId="6BBD6F4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FC59A9" w:rsidRPr="00211A79">
        <w:rPr>
          <w:rFonts w:ascii="Georgia" w:eastAsia="Calibri" w:hAnsi="Georgia"/>
          <w:bCs w:val="0"/>
          <w:color w:val="585756"/>
          <w:sz w:val="21"/>
          <w:szCs w:val="22"/>
          <w:u w:val="single"/>
          <w:lang w:val="fr-BE" w:eastAsia="en-US"/>
        </w:rPr>
        <w:t>RGE</w:t>
      </w:r>
      <w:r w:rsidR="00FC59A9"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bookmarkStart w:id="25" w:name="_Toc503965182"/>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6" w:name="_Toc257380474"/>
      <w:bookmarkStart w:id="27" w:name="_Toc260134191"/>
      <w:bookmarkStart w:id="28" w:name="_Toc364253065"/>
      <w:bookmarkStart w:id="29" w:name="_Toc52502987"/>
      <w:r>
        <w:t>Confidentialité</w:t>
      </w:r>
      <w:bookmarkEnd w:id="26"/>
      <w:bookmarkEnd w:id="27"/>
      <w:bookmarkEnd w:id="28"/>
      <w:bookmarkEnd w:id="29"/>
    </w:p>
    <w:p w14:paraId="3A08BE97" w14:textId="77777777" w:rsidR="00DF01C6" w:rsidRPr="00D14EA3" w:rsidRDefault="00DF01C6" w:rsidP="00DF01C6">
      <w:pPr>
        <w:pStyle w:val="Titre3"/>
        <w:rPr>
          <w:lang w:val="fr-FR"/>
        </w:rPr>
      </w:pPr>
      <w:r w:rsidRPr="00D14EA3">
        <w:rPr>
          <w:lang w:val="fr-FR"/>
        </w:rPr>
        <w:t>Traitement des données à caractère personnel</w:t>
      </w:r>
    </w:p>
    <w:p w14:paraId="7C84815E" w14:textId="77777777" w:rsidR="00DF01C6" w:rsidRPr="001478F6" w:rsidRDefault="00DF01C6" w:rsidP="00DF01C6">
      <w:pPr>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F01C6">
      <w:pPr>
        <w:pStyle w:val="Titre3"/>
      </w:pPr>
      <w:proofErr w:type="spellStart"/>
      <w:r w:rsidRPr="00873CB1">
        <w:t>Confidentialité</w:t>
      </w:r>
      <w:proofErr w:type="spellEnd"/>
    </w:p>
    <w:p w14:paraId="4C28BBB9" w14:textId="77777777" w:rsidR="00DF01C6" w:rsidRPr="001478F6" w:rsidRDefault="00DF01C6" w:rsidP="00DF01C6">
      <w:pPr>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DF01C6">
      <w:pPr>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2E5B5774" w:rsidR="00DF01C6" w:rsidRPr="001478F6" w:rsidRDefault="00DF01C6" w:rsidP="00DF01C6">
      <w:pPr>
        <w:rPr>
          <w:lang w:val="fr-FR"/>
        </w:rPr>
      </w:pPr>
      <w:r w:rsidRPr="001478F6">
        <w:rPr>
          <w:lang w:val="fr-FR"/>
        </w:rPr>
        <w:lastRenderedPageBreak/>
        <w:t xml:space="preserve">Voir aussi : </w:t>
      </w:r>
      <w:hyperlink r:id="rId16" w:history="1">
        <w:r w:rsidR="00C45156" w:rsidRPr="00EA6AC9">
          <w:rPr>
            <w:rStyle w:val="Lienhypertexte"/>
            <w:lang w:val="fr-FR"/>
          </w:rPr>
          <w:t>https://www.enabel.be/fr/content/declaration-de-confidentialite-denabel</w:t>
        </w:r>
      </w:hyperlink>
      <w:r w:rsidR="00C45156">
        <w:rPr>
          <w:lang w:val="fr-FR"/>
        </w:rPr>
        <w:t xml:space="preserve"> </w:t>
      </w:r>
    </w:p>
    <w:p w14:paraId="673DE741" w14:textId="0E5853E6" w:rsidR="002B7D5A" w:rsidRPr="00413425" w:rsidRDefault="00633898" w:rsidP="006A4D22">
      <w:pPr>
        <w:pStyle w:val="Titre2"/>
      </w:pPr>
      <w:r>
        <w:t>Obligations déontologiques</w:t>
      </w:r>
      <w:bookmarkEnd w:id="25"/>
    </w:p>
    <w:p w14:paraId="4BD40C80" w14:textId="77777777" w:rsidR="006A4D22" w:rsidRDefault="006A4D22" w:rsidP="00263803">
      <w:pPr>
        <w:pStyle w:val="Titre3"/>
        <w:numPr>
          <w:ilvl w:val="0"/>
          <w:numId w:val="0"/>
        </w:numPr>
      </w:pPr>
    </w:p>
    <w:p w14:paraId="41F2A785" w14:textId="04DD92BC" w:rsidR="006A4D22" w:rsidRPr="00263803" w:rsidRDefault="006A4D22" w:rsidP="0026380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w:t>
      </w:r>
      <w:proofErr w:type="gramStart"/>
      <w:r w:rsidRPr="00211A79">
        <w:rPr>
          <w:rFonts w:ascii="Georgia" w:eastAsia="Calibri" w:hAnsi="Georgia" w:cs="Times New Roman"/>
          <w:color w:val="585756"/>
          <w:kern w:val="0"/>
          <w:sz w:val="21"/>
          <w:szCs w:val="22"/>
          <w:lang w:val="fr-BE"/>
        </w:rPr>
        <w:t>peut</w:t>
      </w:r>
      <w:proofErr w:type="gramEnd"/>
      <w:r w:rsidRPr="00211A79">
        <w:rPr>
          <w:rFonts w:ascii="Georgia" w:eastAsia="Calibri" w:hAnsi="Georgia" w:cs="Times New Roman"/>
          <w:color w:val="585756"/>
          <w:kern w:val="0"/>
          <w:sz w:val="21"/>
          <w:szCs w:val="22"/>
          <w:lang w:val="fr-BE"/>
        </w:rPr>
        <w:t xml:space="preserve">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bookmarkStart w:id="30" w:name="_Toc52268426"/>
      <w:bookmarkEnd w:id="30"/>
    </w:p>
    <w:p w14:paraId="56DAF577" w14:textId="5E3B49F9" w:rsidR="006A4D22" w:rsidRPr="00263803" w:rsidRDefault="006A4D22" w:rsidP="0026380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31" w:name="_Toc52268427"/>
      <w:bookmarkEnd w:id="31"/>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2503DF51" w:rsidR="006A4D22" w:rsidRPr="00263803" w:rsidRDefault="006A4D22" w:rsidP="00263803">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263803">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2" w:name="_Toc52268428"/>
      <w:bookmarkEnd w:id="32"/>
    </w:p>
    <w:p w14:paraId="1AE82304" w14:textId="711BF3C6" w:rsidR="006A4D22" w:rsidRPr="00263803" w:rsidRDefault="006A4D22" w:rsidP="0026380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3" w:name="_Toc52268429"/>
      <w:bookmarkEnd w:id="33"/>
    </w:p>
    <w:p w14:paraId="069E5C30" w14:textId="5863F408" w:rsidR="006A4D22" w:rsidRPr="00263803" w:rsidRDefault="006A4D22" w:rsidP="00263803">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r w:rsidRPr="00415FB9">
        <w:rPr>
          <w:lang w:val="fr-BE"/>
        </w:rPr>
        <w:t xml:space="preserve"> </w:t>
      </w:r>
      <w:bookmarkStart w:id="34" w:name="_Toc52268430"/>
      <w:bookmarkEnd w:id="34"/>
    </w:p>
    <w:p w14:paraId="286F510F" w14:textId="050FCD5B" w:rsidR="006A4D22" w:rsidRPr="00263803" w:rsidRDefault="006A4D22" w:rsidP="0026380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263803">
        <w:rPr>
          <w:rFonts w:ascii="Georgia" w:eastAsia="Calibri" w:hAnsi="Georgia" w:cs="Times New Roman"/>
          <w:color w:val="585756"/>
          <w:kern w:val="0"/>
          <w:sz w:val="21"/>
          <w:szCs w:val="22"/>
          <w:lang w:val="fr-BE"/>
        </w:rPr>
        <w:t>corruption…)</w:t>
      </w:r>
      <w:r>
        <w:rPr>
          <w:rFonts w:ascii="Georgia" w:eastAsia="Calibri" w:hAnsi="Georgia" w:cs="Times New Roman"/>
          <w:color w:val="585756"/>
          <w:kern w:val="0"/>
          <w:sz w:val="21"/>
          <w:szCs w:val="22"/>
          <w:lang w:val="fr-BE"/>
        </w:rPr>
        <w:t xml:space="preserve"> doivent être adressées au bureau d’intégrité via l’adresse </w:t>
      </w:r>
      <w:hyperlink r:id="rId17"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5" w:name="_Toc52268431"/>
      <w:bookmarkEnd w:id="35"/>
    </w:p>
    <w:p w14:paraId="35D37E2F" w14:textId="32DFCCDE" w:rsidR="004B0850" w:rsidRPr="00211A79" w:rsidRDefault="006A4D22"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263803" w:rsidRPr="00415FB9">
        <w:rPr>
          <w:rFonts w:ascii="Georgia" w:eastAsia="Calibri" w:hAnsi="Georgia" w:cs="Times New Roman"/>
          <w:color w:val="585756"/>
          <w:kern w:val="0"/>
          <w:sz w:val="21"/>
          <w:lang w:val="fr-BE"/>
        </w:rPr>
        <w:t>…)</w:t>
      </w:r>
      <w:r w:rsidRPr="00415FB9">
        <w:rPr>
          <w:rFonts w:ascii="Georgia" w:eastAsia="Calibri" w:hAnsi="Georgia" w:cs="Times New Roman"/>
          <w:color w:val="585756"/>
          <w:kern w:val="0"/>
          <w:sz w:val="21"/>
          <w:lang w:val="fr-BE"/>
        </w:rPr>
        <w:t xml:space="preserve"> doivent être adressées au bureau d’intégrité via l’adresse </w:t>
      </w:r>
      <w:hyperlink r:id="rId18" w:tgtFrame="_blank" w:history="1">
        <w:r w:rsidRPr="00415FB9">
          <w:rPr>
            <w:rFonts w:ascii="Georgia" w:eastAsia="Calibri" w:hAnsi="Georgia" w:cs="Times New Roman"/>
            <w:color w:val="585756"/>
            <w:kern w:val="0"/>
            <w:sz w:val="21"/>
            <w:lang w:val="fr-BE"/>
          </w:rPr>
          <w:t>https://www.enabelintegrity.be</w:t>
        </w:r>
      </w:hyperlink>
      <w:r w:rsidR="00263803">
        <w:rPr>
          <w:rFonts w:ascii="Georgia" w:eastAsia="Calibri" w:hAnsi="Georgia" w:cs="Times New Roman"/>
          <w:color w:val="585756"/>
          <w:kern w:val="0"/>
          <w:sz w:val="21"/>
          <w:lang w:val="fr-BE"/>
        </w:rPr>
        <w:t xml:space="preserve"> </w:t>
      </w:r>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36" w:name="_Ref228951536"/>
      <w:bookmarkStart w:id="37" w:name="_Toc257039818"/>
      <w:bookmarkStart w:id="38" w:name="_Toc366161151"/>
      <w:bookmarkStart w:id="39" w:name="_Toc503965183"/>
      <w:r w:rsidRPr="00633898">
        <w:t>Droit applicable et tribunaux compétents</w:t>
      </w:r>
      <w:bookmarkEnd w:id="36"/>
      <w:bookmarkEnd w:id="37"/>
      <w:bookmarkEnd w:id="38"/>
      <w:bookmarkEnd w:id="39"/>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487AA6">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0" w:name="_Toc364253066"/>
      <w:r w:rsidR="00FB4DBA">
        <w:t xml:space="preserve"> </w:t>
      </w:r>
      <w:bookmarkStart w:id="41" w:name="_Toc257380476"/>
      <w:bookmarkStart w:id="42" w:name="_Toc260134193"/>
      <w:bookmarkStart w:id="43" w:name="_Toc364253067"/>
      <w:bookmarkEnd w:id="40"/>
    </w:p>
    <w:p w14:paraId="594678B6" w14:textId="77777777" w:rsidR="00E535C1" w:rsidRPr="00E535C1" w:rsidRDefault="00E535C1" w:rsidP="00E535C1"/>
    <w:p w14:paraId="32C58D24" w14:textId="43800A12" w:rsidR="00251977" w:rsidRPr="00263803" w:rsidRDefault="00FB4DBA" w:rsidP="00263803">
      <w:pPr>
        <w:pStyle w:val="Titre1"/>
        <w:numPr>
          <w:ilvl w:val="0"/>
          <w:numId w:val="5"/>
        </w:numPr>
      </w:pPr>
      <w:bookmarkStart w:id="44" w:name="_Toc503965185"/>
      <w:bookmarkEnd w:id="41"/>
      <w:bookmarkEnd w:id="42"/>
      <w:bookmarkEnd w:id="43"/>
      <w:r>
        <w:t>Objet et portée du marché</w:t>
      </w:r>
      <w:bookmarkEnd w:id="44"/>
    </w:p>
    <w:p w14:paraId="14A53237" w14:textId="77777777" w:rsidR="00FB4DBA" w:rsidRDefault="00FB4DBA" w:rsidP="00FB4DBA">
      <w:pPr>
        <w:pStyle w:val="Titre2"/>
        <w:keepLines w:val="0"/>
        <w:widowControl w:val="0"/>
        <w:tabs>
          <w:tab w:val="num" w:pos="576"/>
        </w:tabs>
        <w:suppressAutoHyphens/>
        <w:spacing w:after="240"/>
        <w:ind w:left="578" w:hanging="578"/>
      </w:pPr>
      <w:bookmarkStart w:id="45" w:name="_Toc503965186"/>
      <w:r>
        <w:t>Nature du marché</w:t>
      </w:r>
      <w:bookmarkEnd w:id="45"/>
    </w:p>
    <w:p w14:paraId="208430E3"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6" w:name="_Toc257380471"/>
      <w:bookmarkStart w:id="47" w:name="_Toc260134188"/>
      <w:bookmarkStart w:id="48" w:name="_Toc364253068"/>
      <w:bookmarkStart w:id="49" w:name="_Toc503965187"/>
      <w:r>
        <w:t>Objet</w:t>
      </w:r>
      <w:bookmarkEnd w:id="46"/>
      <w:bookmarkEnd w:id="47"/>
      <w:r>
        <w:t xml:space="preserve"> du marché</w:t>
      </w:r>
      <w:bookmarkEnd w:id="48"/>
      <w:bookmarkEnd w:id="49"/>
    </w:p>
    <w:p w14:paraId="1D77BDBD" w14:textId="6D80BD61" w:rsidR="00263803" w:rsidRPr="00263803" w:rsidRDefault="00263803" w:rsidP="0026380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présent marché de la consultance a pour objet de contribuer à l’atteinte des résultats </w:t>
      </w:r>
      <w:r w:rsidRPr="00C65E7D">
        <w:rPr>
          <w:rFonts w:ascii="Georgia" w:eastAsia="Calibri" w:hAnsi="Georgia" w:cs="Arial"/>
          <w:color w:val="585756"/>
          <w:kern w:val="0"/>
          <w:sz w:val="22"/>
          <w:szCs w:val="22"/>
        </w:rPr>
        <w:t xml:space="preserve">du projet sur les volets </w:t>
      </w:r>
      <w:r>
        <w:rPr>
          <w:rFonts w:ascii="Georgia" w:eastAsia="Calibri" w:hAnsi="Georgia" w:cs="Arial"/>
          <w:color w:val="585756"/>
          <w:kern w:val="0"/>
          <w:sz w:val="22"/>
          <w:szCs w:val="22"/>
        </w:rPr>
        <w:t>gouvernance locale, appui institutionnel et développement local</w:t>
      </w:r>
      <w:r w:rsidRPr="00C65E7D">
        <w:rPr>
          <w:rFonts w:ascii="Georgia" w:eastAsia="Calibri" w:hAnsi="Georgia" w:cs="Arial"/>
          <w:color w:val="585756"/>
          <w:kern w:val="0"/>
          <w:sz w:val="22"/>
          <w:szCs w:val="22"/>
        </w:rPr>
        <w:t>. Il s’agira concrètement de :   </w:t>
      </w:r>
    </w:p>
    <w:p w14:paraId="15B6BFEC" w14:textId="77777777" w:rsidR="00263803" w:rsidRPr="00C65E7D" w:rsidRDefault="00263803">
      <w:pPr>
        <w:pStyle w:val="Paragraphedeliste"/>
        <w:widowControl w:val="0"/>
        <w:numPr>
          <w:ilvl w:val="0"/>
          <w:numId w:val="21"/>
        </w:numPr>
        <w:suppressAutoHyphens/>
        <w:spacing w:before="120" w:after="40"/>
        <w:jc w:val="both"/>
        <w:rPr>
          <w:rFonts w:cs="Arial"/>
          <w:sz w:val="22"/>
        </w:rPr>
      </w:pPr>
      <w:r w:rsidRPr="00C65E7D">
        <w:rPr>
          <w:rFonts w:cs="Arial"/>
          <w:sz w:val="22"/>
        </w:rPr>
        <w:t>Analyser, au départ notamment du DTF du projet, de la note de réorientations stratégiques et du rapport de résultats 2022, la qualité et la cohérence des actions précédemment menées ;</w:t>
      </w:r>
    </w:p>
    <w:p w14:paraId="1EED866C" w14:textId="77777777" w:rsidR="00263803" w:rsidRPr="00C65E7D" w:rsidRDefault="00263803">
      <w:pPr>
        <w:pStyle w:val="Paragraphedeliste"/>
        <w:widowControl w:val="0"/>
        <w:numPr>
          <w:ilvl w:val="0"/>
          <w:numId w:val="21"/>
        </w:numPr>
        <w:suppressAutoHyphens/>
        <w:spacing w:before="120" w:after="40"/>
        <w:jc w:val="both"/>
        <w:rPr>
          <w:rFonts w:cs="Arial"/>
          <w:sz w:val="22"/>
        </w:rPr>
      </w:pPr>
      <w:r w:rsidRPr="00C65E7D">
        <w:rPr>
          <w:rFonts w:cs="Arial"/>
          <w:sz w:val="22"/>
        </w:rPr>
        <w:t>Contribuer à élaborer un plan d’action pour</w:t>
      </w:r>
      <w:r>
        <w:rPr>
          <w:rFonts w:cs="Arial"/>
          <w:sz w:val="22"/>
        </w:rPr>
        <w:t xml:space="preserve"> le second semestre</w:t>
      </w:r>
      <w:r w:rsidRPr="00C65E7D">
        <w:rPr>
          <w:rFonts w:cs="Arial"/>
          <w:sz w:val="22"/>
        </w:rPr>
        <w:t xml:space="preserve"> 2023 en fonction des différents résultats, incluant les activités y attachées, la logique de mise en œuvre, la ou les approches proposées ; </w:t>
      </w:r>
    </w:p>
    <w:p w14:paraId="194A8DDE" w14:textId="77777777" w:rsidR="00263803" w:rsidRPr="00C65E7D" w:rsidRDefault="00263803">
      <w:pPr>
        <w:pStyle w:val="Paragraphedeliste"/>
        <w:widowControl w:val="0"/>
        <w:numPr>
          <w:ilvl w:val="0"/>
          <w:numId w:val="21"/>
        </w:numPr>
        <w:suppressAutoHyphens/>
        <w:spacing w:before="120" w:after="40"/>
        <w:jc w:val="both"/>
        <w:rPr>
          <w:rFonts w:cs="Arial"/>
          <w:sz w:val="22"/>
        </w:rPr>
      </w:pPr>
      <w:r w:rsidRPr="00C65E7D">
        <w:rPr>
          <w:rFonts w:cs="Arial"/>
          <w:sz w:val="22"/>
        </w:rPr>
        <w:t>Assurer la mise en œuvre de ce plan d’action et l’atteinte des résultats avec l’appui des équipes Enabel impliquées dans les activités en question et dont la consultance assurera la coordination ;</w:t>
      </w:r>
    </w:p>
    <w:p w14:paraId="5C312CB4" w14:textId="77777777" w:rsidR="00263803" w:rsidRPr="00C65E7D" w:rsidRDefault="00263803">
      <w:pPr>
        <w:pStyle w:val="Paragraphedeliste"/>
        <w:widowControl w:val="0"/>
        <w:numPr>
          <w:ilvl w:val="0"/>
          <w:numId w:val="21"/>
        </w:numPr>
        <w:suppressAutoHyphens/>
        <w:spacing w:before="120" w:after="40"/>
        <w:jc w:val="both"/>
        <w:rPr>
          <w:rFonts w:cs="Arial"/>
          <w:sz w:val="22"/>
        </w:rPr>
      </w:pPr>
      <w:r w:rsidRPr="00C65E7D">
        <w:rPr>
          <w:rFonts w:cs="Arial"/>
          <w:sz w:val="22"/>
        </w:rPr>
        <w:t>Faire le suivi-évaluation des activités menées sur terrain avec l’appui des équipes Enabel ;</w:t>
      </w:r>
    </w:p>
    <w:p w14:paraId="658CD1ED" w14:textId="77777777" w:rsidR="00263803" w:rsidRPr="00C65E7D" w:rsidRDefault="00263803">
      <w:pPr>
        <w:pStyle w:val="Paragraphedeliste"/>
        <w:widowControl w:val="0"/>
        <w:numPr>
          <w:ilvl w:val="0"/>
          <w:numId w:val="21"/>
        </w:numPr>
        <w:suppressAutoHyphens/>
        <w:spacing w:before="120" w:after="40"/>
        <w:jc w:val="both"/>
        <w:rPr>
          <w:rFonts w:cs="Arial"/>
          <w:sz w:val="22"/>
        </w:rPr>
      </w:pPr>
      <w:r w:rsidRPr="00C65E7D">
        <w:rPr>
          <w:rFonts w:cs="Arial"/>
          <w:sz w:val="22"/>
        </w:rPr>
        <w:t>Analyser et améliorer les documents méthodologiques et outils existants ;</w:t>
      </w:r>
    </w:p>
    <w:p w14:paraId="665E5773" w14:textId="77777777" w:rsidR="00263803" w:rsidRDefault="00263803">
      <w:pPr>
        <w:pStyle w:val="Paragraphedeliste"/>
        <w:widowControl w:val="0"/>
        <w:numPr>
          <w:ilvl w:val="0"/>
          <w:numId w:val="21"/>
        </w:numPr>
        <w:suppressAutoHyphens/>
        <w:spacing w:before="120" w:after="40"/>
        <w:jc w:val="both"/>
        <w:rPr>
          <w:rFonts w:cs="Arial"/>
          <w:sz w:val="22"/>
        </w:rPr>
      </w:pPr>
      <w:r w:rsidRPr="00C65E7D">
        <w:rPr>
          <w:rFonts w:cs="Arial"/>
          <w:sz w:val="22"/>
        </w:rPr>
        <w:t>Elaborer les documents méthodologiques et outils manquants.</w:t>
      </w:r>
    </w:p>
    <w:p w14:paraId="102B2998" w14:textId="77777777" w:rsidR="00263803" w:rsidRPr="00211A79" w:rsidRDefault="00263803" w:rsidP="00FB4DBA">
      <w:pPr>
        <w:pStyle w:val="Corpsdetexte"/>
        <w:rPr>
          <w:rFonts w:ascii="Georgia" w:eastAsia="Calibri" w:hAnsi="Georgia" w:cs="Times New Roman"/>
          <w:color w:val="585756"/>
          <w:kern w:val="0"/>
          <w:sz w:val="21"/>
          <w:szCs w:val="22"/>
          <w:lang w:val="fr-BE"/>
        </w:rPr>
      </w:pPr>
    </w:p>
    <w:p w14:paraId="5C0B67C0" w14:textId="77777777" w:rsidR="00FB4DBA" w:rsidRDefault="00FB4DBA" w:rsidP="00FB4DBA">
      <w:pPr>
        <w:pStyle w:val="Corpsdetexte"/>
      </w:pPr>
    </w:p>
    <w:p w14:paraId="3C980BA3" w14:textId="3C75D0BC" w:rsidR="00FB4DBA" w:rsidRDefault="00FB4DBA" w:rsidP="00FB4DBA">
      <w:pPr>
        <w:pStyle w:val="Titre2"/>
        <w:keepLines w:val="0"/>
        <w:widowControl w:val="0"/>
        <w:tabs>
          <w:tab w:val="num" w:pos="576"/>
        </w:tabs>
        <w:suppressAutoHyphens/>
        <w:spacing w:after="240"/>
        <w:ind w:left="578" w:hanging="578"/>
      </w:pPr>
      <w:bookmarkStart w:id="50" w:name="_Toc503965188"/>
      <w:r>
        <w:t>Lots</w:t>
      </w:r>
      <w:r>
        <w:rPr>
          <w:rStyle w:val="Appelnotedebasdep"/>
        </w:rPr>
        <w:footnoteReference w:id="10"/>
      </w:r>
      <w:bookmarkEnd w:id="50"/>
    </w:p>
    <w:p w14:paraId="6883D5DB" w14:textId="2DDE4C82" w:rsidR="00FB4DBA" w:rsidRPr="00263803" w:rsidRDefault="00FB4DBA" w:rsidP="00FB4DBA">
      <w:pPr>
        <w:pStyle w:val="Corpsdetexte"/>
        <w:rPr>
          <w:rFonts w:ascii="Georgia" w:hAnsi="Georgia"/>
          <w:i/>
          <w:color w:val="404040" w:themeColor="text1" w:themeTint="BF"/>
          <w:sz w:val="21"/>
          <w:szCs w:val="21"/>
          <w:highlight w:val="lightGray"/>
        </w:rPr>
      </w:pPr>
      <w:r w:rsidRPr="00900075">
        <w:rPr>
          <w:rFonts w:ascii="Georgia" w:eastAsia="Calibri" w:hAnsi="Georgia" w:cs="Times New Roman"/>
          <w:color w:val="404040" w:themeColor="text1" w:themeTint="BF"/>
          <w:kern w:val="0"/>
          <w:sz w:val="21"/>
          <w:szCs w:val="21"/>
          <w:lang w:val="fr-BE"/>
        </w:rPr>
        <w:t xml:space="preserve"> </w:t>
      </w:r>
      <w:r w:rsidR="00263803">
        <w:rPr>
          <w:rFonts w:ascii="Georgia" w:eastAsia="Calibri" w:hAnsi="Georgia" w:cs="Times New Roman"/>
          <w:color w:val="404040" w:themeColor="text1" w:themeTint="BF"/>
          <w:kern w:val="0"/>
          <w:sz w:val="21"/>
          <w:szCs w:val="21"/>
          <w:lang w:val="fr-BE"/>
        </w:rPr>
        <w:t>Le marché n’est pas divisé en lots.</w:t>
      </w:r>
    </w:p>
    <w:p w14:paraId="24B0129E" w14:textId="3B9568A1" w:rsidR="00FB4DBA" w:rsidRDefault="00FB4DBA" w:rsidP="00FB4DBA">
      <w:pPr>
        <w:pStyle w:val="Titre2"/>
        <w:keepLines w:val="0"/>
        <w:widowControl w:val="0"/>
        <w:tabs>
          <w:tab w:val="num" w:pos="576"/>
        </w:tabs>
        <w:suppressAutoHyphens/>
        <w:spacing w:after="240"/>
        <w:ind w:left="578" w:hanging="578"/>
      </w:pPr>
      <w:bookmarkStart w:id="51" w:name="_Toc503965189"/>
      <w:r>
        <w:t>Postes</w:t>
      </w:r>
      <w:bookmarkEnd w:id="51"/>
    </w:p>
    <w:p w14:paraId="5EF14B99" w14:textId="58EEA72D" w:rsidR="00FB4DBA" w:rsidRPr="00F41DD7" w:rsidRDefault="001E0B54"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FB4DBA" w:rsidRPr="00211A79">
        <w:rPr>
          <w:rFonts w:ascii="Georgia" w:eastAsia="Calibri" w:hAnsi="Georgia" w:cs="Times New Roman"/>
          <w:color w:val="585756"/>
          <w:kern w:val="0"/>
          <w:sz w:val="21"/>
          <w:szCs w:val="22"/>
          <w:lang w:val="fr-BE"/>
        </w:rPr>
        <w:t xml:space="preserve">es postes </w:t>
      </w:r>
      <w:r w:rsidRPr="00211A79">
        <w:rPr>
          <w:rFonts w:ascii="Georgia" w:eastAsia="Calibri" w:hAnsi="Georgia" w:cs="Times New Roman"/>
          <w:color w:val="585756"/>
          <w:kern w:val="0"/>
          <w:sz w:val="21"/>
          <w:szCs w:val="22"/>
          <w:lang w:val="fr-BE"/>
        </w:rPr>
        <w:t xml:space="preserve">sont </w:t>
      </w:r>
      <w:r>
        <w:rPr>
          <w:rFonts w:ascii="Georgia" w:eastAsia="Calibri" w:hAnsi="Georgia" w:cs="Times New Roman"/>
          <w:color w:val="585756"/>
          <w:kern w:val="0"/>
          <w:sz w:val="21"/>
          <w:szCs w:val="22"/>
          <w:lang w:val="fr-BE"/>
        </w:rPr>
        <w:t>ceux repris dans l’offre de prix et inclut obligatoirement un prix homme/jour au sein de l’intervention. Une offre pour une partie des postes n’est pas recevable.</w:t>
      </w:r>
    </w:p>
    <w:p w14:paraId="6BCF6B06" w14:textId="03FFA88D" w:rsidR="00FB4DBA" w:rsidRPr="00F41DD7" w:rsidRDefault="00FB4DBA" w:rsidP="00FB4DBA">
      <w:pPr>
        <w:pStyle w:val="Titre2"/>
        <w:keepLines w:val="0"/>
        <w:widowControl w:val="0"/>
        <w:tabs>
          <w:tab w:val="num" w:pos="576"/>
        </w:tabs>
        <w:suppressAutoHyphens/>
        <w:spacing w:after="240"/>
        <w:ind w:left="578" w:hanging="578"/>
      </w:pPr>
      <w:bookmarkStart w:id="52" w:name="_Toc364253069"/>
      <w:bookmarkStart w:id="53" w:name="_Toc503965190"/>
      <w:r>
        <w:lastRenderedPageBreak/>
        <w:t>Durée du marché</w:t>
      </w:r>
      <w:bookmarkEnd w:id="52"/>
      <w:r>
        <w:rPr>
          <w:rStyle w:val="Appelnotedebasdep"/>
        </w:rPr>
        <w:footnoteReference w:id="11"/>
      </w:r>
      <w:bookmarkEnd w:id="53"/>
    </w:p>
    <w:p w14:paraId="7A5AF2E3" w14:textId="77777777" w:rsidR="00F41DD7"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pour chacun à la notification de l’attribution </w:t>
      </w:r>
      <w:r w:rsidR="00F41DD7">
        <w:rPr>
          <w:rFonts w:ascii="Georgia" w:eastAsia="Calibri" w:hAnsi="Georgia" w:cs="Times New Roman"/>
          <w:color w:val="585756"/>
          <w:kern w:val="0"/>
          <w:sz w:val="21"/>
          <w:szCs w:val="22"/>
          <w:lang w:val="fr-BE"/>
        </w:rPr>
        <w:t>e</w:t>
      </w:r>
      <w:r w:rsidRPr="00211A79">
        <w:rPr>
          <w:rFonts w:ascii="Georgia" w:eastAsia="Calibri" w:hAnsi="Georgia" w:cs="Times New Roman"/>
          <w:color w:val="585756"/>
          <w:kern w:val="0"/>
          <w:sz w:val="21"/>
          <w:szCs w:val="22"/>
          <w:lang w:val="fr-BE"/>
        </w:rPr>
        <w:t>t</w:t>
      </w:r>
      <w:r w:rsidR="00F41DD7">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a une durée </w:t>
      </w:r>
      <w:r w:rsidR="00F41DD7" w:rsidRPr="00211A79">
        <w:rPr>
          <w:rFonts w:ascii="Georgia" w:eastAsia="Calibri" w:hAnsi="Georgia" w:cs="Times New Roman"/>
          <w:color w:val="585756"/>
          <w:kern w:val="0"/>
          <w:sz w:val="21"/>
          <w:szCs w:val="22"/>
          <w:lang w:val="fr-BE"/>
        </w:rPr>
        <w:t xml:space="preserve">de </w:t>
      </w:r>
      <w:r w:rsidR="00F41DD7">
        <w:rPr>
          <w:rFonts w:ascii="Georgia" w:eastAsia="Calibri" w:hAnsi="Georgia" w:cs="Times New Roman"/>
          <w:color w:val="585756"/>
          <w:kern w:val="0"/>
          <w:sz w:val="21"/>
          <w:szCs w:val="22"/>
          <w:lang w:val="fr-BE"/>
        </w:rPr>
        <w:t>4 mois.</w:t>
      </w:r>
    </w:p>
    <w:p w14:paraId="1260F247" w14:textId="58F64AB3" w:rsidR="00FB4DBA" w:rsidRPr="00F41DD7" w:rsidRDefault="00F41DD7"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fonction des besoins du projet, la durée de la mission pourra être prolongée </w:t>
      </w:r>
      <w:r w:rsidR="00C874BD">
        <w:rPr>
          <w:rFonts w:ascii="Georgia" w:eastAsia="Calibri" w:hAnsi="Georgia" w:cs="Times New Roman"/>
          <w:color w:val="585756"/>
          <w:kern w:val="0"/>
          <w:sz w:val="21"/>
          <w:szCs w:val="22"/>
          <w:lang w:val="fr-BE"/>
        </w:rPr>
        <w:t xml:space="preserve">jusqu’à </w:t>
      </w:r>
      <w:r>
        <w:rPr>
          <w:rFonts w:ascii="Georgia" w:eastAsia="Calibri" w:hAnsi="Georgia" w:cs="Times New Roman"/>
          <w:color w:val="585756"/>
          <w:kern w:val="0"/>
          <w:sz w:val="21"/>
          <w:szCs w:val="22"/>
          <w:lang w:val="fr-BE"/>
        </w:rPr>
        <w:t>une durée de 3 mois.</w:t>
      </w:r>
      <w:r w:rsidR="00FB4DBA" w:rsidRPr="00211A79">
        <w:rPr>
          <w:rFonts w:ascii="Georgia" w:eastAsia="Calibri" w:hAnsi="Georgia" w:cs="Times New Roman"/>
          <w:color w:val="585756"/>
          <w:kern w:val="0"/>
          <w:sz w:val="21"/>
          <w:szCs w:val="22"/>
          <w:lang w:val="fr-BE"/>
        </w:rPr>
        <w:t xml:space="preserve"> </w:t>
      </w:r>
    </w:p>
    <w:p w14:paraId="2CC6B088" w14:textId="16244655" w:rsidR="00FB4DBA" w:rsidRPr="00F41DD7" w:rsidRDefault="00FB4DBA" w:rsidP="00F41DD7">
      <w:pPr>
        <w:pStyle w:val="Titre2"/>
        <w:keepLines w:val="0"/>
        <w:widowControl w:val="0"/>
        <w:tabs>
          <w:tab w:val="num" w:pos="576"/>
        </w:tabs>
        <w:suppressAutoHyphens/>
        <w:spacing w:after="240"/>
        <w:ind w:left="578" w:hanging="578"/>
      </w:pPr>
      <w:bookmarkStart w:id="54" w:name="_Toc257039826"/>
      <w:bookmarkStart w:id="55" w:name="_Toc366161158"/>
      <w:bookmarkStart w:id="56" w:name="_Toc503965191"/>
      <w:r w:rsidRPr="004846FD">
        <w:t xml:space="preserve">Variantes </w:t>
      </w:r>
      <w:r w:rsidRPr="000A1A2D">
        <w:t>♣</w:t>
      </w:r>
      <w:bookmarkEnd w:id="54"/>
      <w:bookmarkEnd w:id="55"/>
      <w:bookmarkEnd w:id="56"/>
      <w:r w:rsidRPr="000A1A2D">
        <w:t xml:space="preserve"> </w:t>
      </w:r>
    </w:p>
    <w:p w14:paraId="5D6F0C99" w14:textId="23A61CE2" w:rsidR="00FB4DBA" w:rsidRPr="00346006" w:rsidRDefault="00E138D8" w:rsidP="00FB4DBA">
      <w:pPr>
        <w:pStyle w:val="Corpsdetexte"/>
      </w:pPr>
      <w:bookmarkStart w:id="57" w:name="_Ref264270773"/>
      <w:r>
        <w:t>N/A</w:t>
      </w:r>
    </w:p>
    <w:p w14:paraId="08433675" w14:textId="66631C00" w:rsidR="00FB4DBA" w:rsidRDefault="00FB4DBA" w:rsidP="00FB4DBA">
      <w:pPr>
        <w:pStyle w:val="Titre2"/>
        <w:keepLines w:val="0"/>
        <w:widowControl w:val="0"/>
        <w:tabs>
          <w:tab w:val="num" w:pos="576"/>
        </w:tabs>
        <w:suppressAutoHyphens/>
        <w:spacing w:after="240"/>
        <w:ind w:left="578" w:hanging="578"/>
      </w:pPr>
      <w:bookmarkStart w:id="58" w:name="_Toc364253071"/>
      <w:bookmarkStart w:id="59" w:name="_Toc503965192"/>
      <w:r>
        <w:t>Option</w:t>
      </w:r>
      <w:bookmarkEnd w:id="57"/>
      <w:bookmarkEnd w:id="58"/>
      <w:bookmarkEnd w:id="59"/>
    </w:p>
    <w:p w14:paraId="70651AFF" w14:textId="0006B2F6" w:rsidR="00FB4DBA" w:rsidRPr="00E138D8" w:rsidRDefault="00E138D8" w:rsidP="00E138D8">
      <w:r>
        <w:t>N/A</w:t>
      </w:r>
    </w:p>
    <w:p w14:paraId="5CAA7C87" w14:textId="2E331D1D" w:rsidR="00FB4DBA" w:rsidRDefault="00FB4DBA" w:rsidP="00FB4DBA">
      <w:pPr>
        <w:pStyle w:val="Titre2"/>
        <w:keepLines w:val="0"/>
        <w:widowControl w:val="0"/>
        <w:tabs>
          <w:tab w:val="num" w:pos="576"/>
        </w:tabs>
        <w:suppressAutoHyphens/>
        <w:spacing w:after="240"/>
        <w:ind w:left="578" w:hanging="578"/>
      </w:pPr>
      <w:bookmarkStart w:id="60" w:name="_Toc364253072"/>
      <w:bookmarkStart w:id="61" w:name="_Toc503965193"/>
      <w:r>
        <w:t>Quantité</w:t>
      </w:r>
      <w:bookmarkEnd w:id="60"/>
      <w:bookmarkEnd w:id="61"/>
    </w:p>
    <w:p w14:paraId="6FC0265C" w14:textId="77777777" w:rsidR="00E138D8" w:rsidRPr="006B32D6" w:rsidRDefault="00E138D8" w:rsidP="00E138D8">
      <w:pPr>
        <w:pStyle w:val="Corpsdetexte"/>
        <w:spacing w:before="166"/>
        <w:ind w:right="-1"/>
        <w:rPr>
          <w:rFonts w:ascii="Georgia" w:eastAsia="Calibri" w:hAnsi="Georgia" w:cs="Times New Roman"/>
          <w:color w:val="3B3838" w:themeColor="background2" w:themeShade="40"/>
          <w:kern w:val="0"/>
          <w:sz w:val="21"/>
          <w:szCs w:val="22"/>
        </w:rPr>
      </w:pPr>
      <w:r w:rsidRPr="006B32D6">
        <w:rPr>
          <w:rFonts w:ascii="Georgia" w:eastAsia="Calibri" w:hAnsi="Georgia" w:cs="Times New Roman"/>
          <w:color w:val="3B3838" w:themeColor="background2" w:themeShade="40"/>
          <w:kern w:val="0"/>
          <w:sz w:val="21"/>
          <w:szCs w:val="22"/>
        </w:rPr>
        <w:t xml:space="preserve">Les quantités sont fournies à titre indicatif. </w:t>
      </w:r>
    </w:p>
    <w:p w14:paraId="398C7CBA" w14:textId="77777777" w:rsidR="00E138D8" w:rsidRPr="006B32D6" w:rsidRDefault="00E138D8" w:rsidP="00E138D8">
      <w:pPr>
        <w:pStyle w:val="Corpsdetexte"/>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Le soumissionnaire est tenu sous peine d’irrégularité substantielle de son offre de remettre le prix sur les deux tranches telles que reprises ci-dessous : </w:t>
      </w:r>
    </w:p>
    <w:p w14:paraId="5D99B539" w14:textId="18F6B70C" w:rsidR="00E138D8" w:rsidRPr="006B32D6" w:rsidRDefault="00E138D8">
      <w:pPr>
        <w:pStyle w:val="Corpsdetexte"/>
        <w:numPr>
          <w:ilvl w:val="0"/>
          <w:numId w:val="21"/>
        </w:numPr>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Tranche ferme : Expertise terrain dont la durée </w:t>
      </w:r>
      <w:r>
        <w:rPr>
          <w:rFonts w:ascii="Georgia" w:eastAsia="Calibri" w:hAnsi="Georgia" w:cs="Times New Roman"/>
          <w:color w:val="585756"/>
          <w:kern w:val="0"/>
          <w:sz w:val="21"/>
          <w:szCs w:val="22"/>
          <w:lang w:val="fr-BE"/>
        </w:rPr>
        <w:t xml:space="preserve">est </w:t>
      </w:r>
      <w:r w:rsidRPr="006B32D6">
        <w:rPr>
          <w:rFonts w:ascii="Georgia" w:eastAsia="Calibri" w:hAnsi="Georgia" w:cs="Times New Roman"/>
          <w:color w:val="585756"/>
          <w:kern w:val="0"/>
          <w:sz w:val="21"/>
          <w:szCs w:val="22"/>
          <w:lang w:val="fr-BE"/>
        </w:rPr>
        <w:t xml:space="preserve">de </w:t>
      </w:r>
      <w:r>
        <w:rPr>
          <w:rFonts w:ascii="Georgia" w:eastAsia="Calibri" w:hAnsi="Georgia" w:cs="Times New Roman"/>
          <w:color w:val="585756"/>
          <w:kern w:val="0"/>
          <w:sz w:val="21"/>
          <w:szCs w:val="22"/>
          <w:lang w:val="fr-BE"/>
        </w:rPr>
        <w:t>4</w:t>
      </w:r>
      <w:r w:rsidRPr="006B32D6">
        <w:rPr>
          <w:rFonts w:ascii="Georgia" w:eastAsia="Calibri" w:hAnsi="Georgia" w:cs="Times New Roman"/>
          <w:color w:val="585756"/>
          <w:kern w:val="0"/>
          <w:sz w:val="21"/>
          <w:szCs w:val="22"/>
          <w:lang w:val="fr-BE"/>
        </w:rPr>
        <w:t xml:space="preserve"> mois</w:t>
      </w:r>
    </w:p>
    <w:p w14:paraId="6CCA3AC0" w14:textId="72F87954" w:rsidR="00E138D8" w:rsidRPr="006B32D6" w:rsidRDefault="00E138D8">
      <w:pPr>
        <w:pStyle w:val="Corpsdetexte"/>
        <w:numPr>
          <w:ilvl w:val="0"/>
          <w:numId w:val="21"/>
        </w:numPr>
        <w:rPr>
          <w:rFonts w:ascii="Georgia" w:eastAsia="Calibri" w:hAnsi="Georgia" w:cs="Times New Roman"/>
          <w:color w:val="585756"/>
          <w:kern w:val="0"/>
          <w:sz w:val="21"/>
          <w:szCs w:val="22"/>
          <w:lang w:val="fr-BE"/>
        </w:rPr>
      </w:pPr>
      <w:r w:rsidRPr="006B32D6">
        <w:rPr>
          <w:rFonts w:ascii="Georgia" w:eastAsia="Calibri" w:hAnsi="Georgia" w:cs="Times New Roman"/>
          <w:color w:val="585756"/>
          <w:kern w:val="0"/>
          <w:sz w:val="21"/>
          <w:szCs w:val="22"/>
          <w:lang w:val="fr-BE"/>
        </w:rPr>
        <w:t xml:space="preserve">Tranche conditionnelle : Expertise terrain </w:t>
      </w:r>
      <w:r w:rsidR="009C0EF9">
        <w:rPr>
          <w:rFonts w:ascii="Georgia" w:eastAsia="Calibri" w:hAnsi="Georgia" w:cs="Times New Roman"/>
          <w:color w:val="585756"/>
          <w:kern w:val="0"/>
          <w:sz w:val="21"/>
          <w:szCs w:val="22"/>
          <w:lang w:val="fr-BE"/>
        </w:rPr>
        <w:t xml:space="preserve">pour une </w:t>
      </w:r>
      <w:r w:rsidRPr="006B32D6">
        <w:rPr>
          <w:rFonts w:ascii="Georgia" w:eastAsia="Calibri" w:hAnsi="Georgia" w:cs="Times New Roman"/>
          <w:color w:val="585756"/>
          <w:kern w:val="0"/>
          <w:sz w:val="21"/>
          <w:szCs w:val="22"/>
          <w:lang w:val="fr-BE"/>
        </w:rPr>
        <w:t xml:space="preserve">durée </w:t>
      </w:r>
      <w:r w:rsidR="009C0EF9">
        <w:rPr>
          <w:rFonts w:ascii="Georgia" w:eastAsia="Calibri" w:hAnsi="Georgia" w:cs="Times New Roman"/>
          <w:color w:val="585756"/>
          <w:kern w:val="0"/>
          <w:sz w:val="21"/>
          <w:szCs w:val="22"/>
          <w:lang w:val="fr-BE"/>
        </w:rPr>
        <w:t xml:space="preserve">allant jusqu’à </w:t>
      </w:r>
      <w:r w:rsidRPr="006B32D6">
        <w:rPr>
          <w:rFonts w:ascii="Georgia" w:eastAsia="Calibri" w:hAnsi="Georgia" w:cs="Times New Roman"/>
          <w:color w:val="585756"/>
          <w:kern w:val="0"/>
          <w:sz w:val="21"/>
          <w:szCs w:val="22"/>
          <w:lang w:val="fr-BE"/>
        </w:rPr>
        <w:t>trois mois supplémentaires.  Cette dernière est fonction du besoin et sera donc conditionnée à une décision motivée du pouvoir adjudicateur.</w:t>
      </w:r>
    </w:p>
    <w:p w14:paraId="253CB8EF" w14:textId="76FCF8C1" w:rsidR="00E138D8" w:rsidRDefault="00E138D8" w:rsidP="00E138D8">
      <w:pPr>
        <w:pStyle w:val="Corpsdetexte"/>
        <w:spacing w:before="166"/>
        <w:ind w:right="-1"/>
        <w:rPr>
          <w:rFonts w:ascii="Georgia" w:eastAsia="Calibri" w:hAnsi="Georgia" w:cs="Times New Roman"/>
          <w:color w:val="3B3838" w:themeColor="background2" w:themeShade="40"/>
          <w:kern w:val="0"/>
          <w:sz w:val="21"/>
          <w:szCs w:val="22"/>
        </w:rPr>
      </w:pPr>
      <w:r w:rsidRPr="006B32D6">
        <w:rPr>
          <w:rFonts w:ascii="Georgia" w:eastAsia="Calibri" w:hAnsi="Georgia" w:cs="Times New Roman"/>
          <w:color w:val="3B3838" w:themeColor="background2" w:themeShade="40"/>
          <w:kern w:val="0"/>
          <w:sz w:val="21"/>
          <w:szCs w:val="22"/>
        </w:rPr>
        <w:t xml:space="preserve">La phase tranche ferme </w:t>
      </w:r>
      <w:r w:rsidR="008706E2">
        <w:rPr>
          <w:rFonts w:ascii="Georgia" w:eastAsia="Calibri" w:hAnsi="Georgia" w:cs="Times New Roman"/>
          <w:color w:val="3B3838" w:themeColor="background2" w:themeShade="40"/>
          <w:kern w:val="0"/>
          <w:sz w:val="21"/>
          <w:szCs w:val="22"/>
        </w:rPr>
        <w:t xml:space="preserve">est </w:t>
      </w:r>
      <w:r w:rsidRPr="006B32D6">
        <w:rPr>
          <w:rFonts w:ascii="Georgia" w:eastAsia="Calibri" w:hAnsi="Georgia" w:cs="Times New Roman"/>
          <w:color w:val="3B3838" w:themeColor="background2" w:themeShade="40"/>
          <w:kern w:val="0"/>
          <w:sz w:val="21"/>
          <w:szCs w:val="22"/>
        </w:rPr>
        <w:t>à prix forfaitaire, p</w:t>
      </w:r>
      <w:r w:rsidR="008706E2">
        <w:rPr>
          <w:rFonts w:ascii="Georgia" w:eastAsia="Calibri" w:hAnsi="Georgia" w:cs="Times New Roman"/>
          <w:color w:val="3B3838" w:themeColor="background2" w:themeShade="40"/>
          <w:kern w:val="0"/>
          <w:sz w:val="21"/>
          <w:szCs w:val="22"/>
        </w:rPr>
        <w:t>our cette tranche</w:t>
      </w:r>
      <w:r w:rsidRPr="006B32D6">
        <w:rPr>
          <w:rFonts w:ascii="Georgia" w:eastAsia="Calibri" w:hAnsi="Georgia" w:cs="Times New Roman"/>
          <w:color w:val="3B3838" w:themeColor="background2" w:themeShade="40"/>
          <w:kern w:val="0"/>
          <w:sz w:val="21"/>
          <w:szCs w:val="22"/>
        </w:rPr>
        <w:t xml:space="preserve"> un nombre d’HJ est fourni à titre indicatif afin de permettre au soumissionnaire d’établir un prix. Le prix forfaitaire payé sera le prix remis dans l’offre, indépendamment du nombre d’H/J réellement exécuté.</w:t>
      </w:r>
    </w:p>
    <w:p w14:paraId="5C48107E" w14:textId="3965EB37" w:rsidR="00FB4DBA" w:rsidRPr="00E138D8" w:rsidRDefault="008706E2" w:rsidP="00E138D8">
      <w:pPr>
        <w:pStyle w:val="Corpsdetexte"/>
        <w:spacing w:before="166"/>
        <w:ind w:right="-1"/>
        <w:rPr>
          <w:rFonts w:ascii="Georgia" w:eastAsia="Calibri" w:hAnsi="Georgia" w:cs="Times New Roman"/>
          <w:color w:val="3B3838" w:themeColor="background2" w:themeShade="40"/>
          <w:kern w:val="0"/>
          <w:sz w:val="21"/>
          <w:szCs w:val="22"/>
        </w:rPr>
      </w:pPr>
      <w:r>
        <w:rPr>
          <w:rFonts w:ascii="Georgia" w:eastAsia="Calibri" w:hAnsi="Georgia" w:cs="Times New Roman"/>
          <w:color w:val="3B3838" w:themeColor="background2" w:themeShade="40"/>
          <w:kern w:val="0"/>
          <w:sz w:val="21"/>
          <w:szCs w:val="22"/>
        </w:rPr>
        <w:t>La tranche conditionnelle est à bordereau de prix et le montant payé sera fonction du nombre de mois prestés. Le pouvoir adjudicateur ne prend aucun engagement concernant le nombre de mois qui feront l’objet de la tranche conditionnelle.</w:t>
      </w:r>
      <w:r w:rsidR="00D07797">
        <w:rPr>
          <w:rFonts w:ascii="Georgia" w:hAnsi="Georgia"/>
          <w:i/>
          <w:sz w:val="21"/>
          <w:szCs w:val="21"/>
          <w:highlight w:val="lightGray"/>
        </w:rPr>
        <w:br w:type="page"/>
      </w:r>
    </w:p>
    <w:p w14:paraId="7406E50E" w14:textId="77777777" w:rsidR="00D07797" w:rsidRDefault="00D07797" w:rsidP="00C72B94">
      <w:pPr>
        <w:pStyle w:val="Titre1"/>
        <w:numPr>
          <w:ilvl w:val="0"/>
          <w:numId w:val="5"/>
        </w:numPr>
      </w:pPr>
      <w:bookmarkStart w:id="62" w:name="_Toc503965194"/>
      <w:r>
        <w:lastRenderedPageBreak/>
        <w:t>Objet et portée du marché</w:t>
      </w:r>
      <w:bookmarkEnd w:id="62"/>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63" w:name="_Toc364253074"/>
      <w:bookmarkStart w:id="64" w:name="_Toc503965195"/>
      <w:bookmarkStart w:id="65" w:name="_Ref224472424"/>
      <w:bookmarkStart w:id="66" w:name="_Ref224472425"/>
      <w:bookmarkStart w:id="67" w:name="_Toc257380481"/>
      <w:bookmarkStart w:id="68" w:name="_Toc260134198"/>
      <w:r>
        <w:t>Mode de passation</w:t>
      </w:r>
      <w:bookmarkEnd w:id="63"/>
      <w:bookmarkEnd w:id="64"/>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69" w:name="_Toc364253075"/>
      <w:bookmarkStart w:id="70" w:name="_Toc503965196"/>
      <w:r w:rsidRPr="0025515F">
        <w:t>Public</w:t>
      </w:r>
      <w:r>
        <w:t>ation</w:t>
      </w:r>
      <w:r w:rsidRPr="0025515F">
        <w:t xml:space="preserve"> officieuse</w:t>
      </w:r>
      <w:bookmarkEnd w:id="69"/>
      <w:bookmarkEnd w:id="70"/>
    </w:p>
    <w:p w14:paraId="4C8C13C4" w14:textId="4F35929A" w:rsidR="009804F1" w:rsidRPr="002067EE"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1" w:name="_Toc503965197"/>
      <w:r w:rsidRPr="002067EE">
        <w:t>Public</w:t>
      </w:r>
      <w:r>
        <w:t>ation</w:t>
      </w:r>
      <w:r w:rsidRPr="002067EE">
        <w:t xml:space="preserve"> </w:t>
      </w:r>
      <w:r w:rsidR="0021448A">
        <w:t>Enabel</w:t>
      </w:r>
      <w:bookmarkEnd w:id="71"/>
    </w:p>
    <w:p w14:paraId="5AA09590" w14:textId="06F0C0EA" w:rsidR="007778B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est 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hyperlink r:id="rId19" w:history="1">
        <w:r w:rsidR="007778B9" w:rsidRPr="00EA6AC9">
          <w:rPr>
            <w:rStyle w:val="Lienhypertexte"/>
            <w:rFonts w:ascii="Georgia" w:eastAsia="Calibri" w:hAnsi="Georgia" w:cs="Times New Roman"/>
            <w:kern w:val="0"/>
            <w:sz w:val="21"/>
            <w:szCs w:val="22"/>
            <w:lang w:val="fr-BE"/>
          </w:rPr>
          <w:t>www.enabel.be</w:t>
        </w:r>
      </w:hyperlink>
      <w:r w:rsidRPr="00211A79">
        <w:rPr>
          <w:rFonts w:ascii="Georgia" w:eastAsia="Calibri" w:hAnsi="Georgia" w:cs="Times New Roman"/>
          <w:color w:val="585756"/>
          <w:kern w:val="0"/>
          <w:sz w:val="21"/>
          <w:szCs w:val="22"/>
          <w:lang w:val="fr-BE"/>
        </w:rPr>
        <w:t>)</w:t>
      </w:r>
      <w:r w:rsidR="007778B9">
        <w:rPr>
          <w:rFonts w:ascii="Georgia" w:eastAsia="Calibri" w:hAnsi="Georgia" w:cs="Times New Roman"/>
          <w:color w:val="585756"/>
          <w:kern w:val="0"/>
          <w:sz w:val="21"/>
          <w:szCs w:val="22"/>
          <w:lang w:val="fr-BE"/>
        </w:rPr>
        <w:t>.</w:t>
      </w:r>
    </w:p>
    <w:p w14:paraId="34DF2B95" w14:textId="61FD7526" w:rsidR="009804F1" w:rsidRPr="009804F1" w:rsidRDefault="00632933" w:rsidP="009804F1">
      <w:pPr>
        <w:pStyle w:val="Corpsdetexte"/>
        <w:rPr>
          <w:rFonts w:ascii="Georgia" w:hAnsi="Georgia"/>
          <w:sz w:val="21"/>
          <w:szCs w:val="21"/>
        </w:rPr>
      </w:pPr>
      <w:r>
        <w:rPr>
          <w:rFonts w:ascii="Georgia" w:hAnsi="Georgia"/>
          <w:sz w:val="21"/>
          <w:szCs w:val="21"/>
        </w:rPr>
        <w:t>Cette publication constitue une invitation à soumettre une offre.</w:t>
      </w:r>
    </w:p>
    <w:p w14:paraId="7097C3C0" w14:textId="143E5BEF" w:rsidR="009804F1" w:rsidRPr="009804F1" w:rsidRDefault="009804F1" w:rsidP="009804F1">
      <w:pPr>
        <w:pStyle w:val="Corpsdetexte"/>
        <w:rPr>
          <w:rFonts w:ascii="Georgia" w:hAnsi="Georgia"/>
          <w:sz w:val="21"/>
          <w:szCs w:val="21"/>
        </w:rPr>
      </w:pP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2" w:name="_Toc364253076"/>
      <w:bookmarkStart w:id="73" w:name="_Toc503965198"/>
      <w:r>
        <w:t>Information</w:t>
      </w:r>
      <w:bookmarkEnd w:id="65"/>
      <w:bookmarkEnd w:id="66"/>
      <w:bookmarkEnd w:id="67"/>
      <w:bookmarkEnd w:id="68"/>
      <w:bookmarkEnd w:id="72"/>
      <w:bookmarkEnd w:id="73"/>
    </w:p>
    <w:p w14:paraId="129C7EA4" w14:textId="21F5B7B4" w:rsidR="00AD58AC"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AD58AC">
        <w:rPr>
          <w:rFonts w:ascii="Georgia" w:eastAsia="Calibri" w:hAnsi="Georgia"/>
          <w:color w:val="585756"/>
          <w:sz w:val="21"/>
          <w:szCs w:val="22"/>
        </w:rPr>
        <w:t xml:space="preserve">Madame Laura JACOBS, </w:t>
      </w:r>
      <w:proofErr w:type="spellStart"/>
      <w:r w:rsidR="00AD58AC">
        <w:rPr>
          <w:rFonts w:ascii="Georgia" w:eastAsia="Calibri" w:hAnsi="Georgia"/>
          <w:color w:val="585756"/>
          <w:sz w:val="21"/>
          <w:szCs w:val="22"/>
        </w:rPr>
        <w:t>contract</w:t>
      </w:r>
      <w:proofErr w:type="spellEnd"/>
      <w:r w:rsidR="00AD58AC">
        <w:rPr>
          <w:rFonts w:ascii="Georgia" w:eastAsia="Calibri" w:hAnsi="Georgia"/>
          <w:color w:val="585756"/>
          <w:sz w:val="21"/>
          <w:szCs w:val="22"/>
        </w:rPr>
        <w:t xml:space="preserve"> Support Manager RDC/RCA</w:t>
      </w:r>
      <w:r w:rsidRPr="00211A79">
        <w:rPr>
          <w:rFonts w:ascii="Georgia" w:eastAsia="Calibri" w:hAnsi="Georgia"/>
          <w:color w:val="585756"/>
          <w:sz w:val="21"/>
          <w:szCs w:val="22"/>
        </w:rPr>
        <w:t xml:space="preserve">. </w:t>
      </w:r>
    </w:p>
    <w:p w14:paraId="188AB31E" w14:textId="15986662"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3FE8D4B" w14:textId="16807874" w:rsidR="00AD58AC"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w:t>
      </w:r>
      <w:r w:rsidR="00AD58AC">
        <w:rPr>
          <w:rFonts w:ascii="Georgia" w:eastAsia="Calibri" w:hAnsi="Georgia"/>
          <w:color w:val="585756"/>
          <w:sz w:val="21"/>
          <w:szCs w:val="22"/>
        </w:rPr>
        <w:t>à la notification de la décision d’attribution, il ne sera donné aucune information sur l’évolution de la procédure.</w:t>
      </w:r>
    </w:p>
    <w:p w14:paraId="7907E690" w14:textId="77777777" w:rsidR="00AD58AC" w:rsidRDefault="00AD58AC" w:rsidP="009804F1">
      <w:pPr>
        <w:pStyle w:val="BTCtextCTB"/>
        <w:rPr>
          <w:rFonts w:ascii="Georgia" w:eastAsia="Calibri" w:hAnsi="Georgia"/>
          <w:color w:val="585756"/>
          <w:sz w:val="21"/>
          <w:szCs w:val="22"/>
        </w:rPr>
      </w:pPr>
      <w:r>
        <w:rPr>
          <w:rFonts w:ascii="Georgia" w:eastAsia="Calibri" w:hAnsi="Georgia"/>
          <w:color w:val="585756"/>
          <w:sz w:val="21"/>
          <w:szCs w:val="22"/>
        </w:rPr>
        <w:t>Les documents de marché seront accessibles gratuitement à l’adresse suivante :</w:t>
      </w:r>
    </w:p>
    <w:p w14:paraId="1C065360" w14:textId="23AC2D27" w:rsidR="009804F1" w:rsidRPr="00211A79" w:rsidRDefault="00000000" w:rsidP="009804F1">
      <w:pPr>
        <w:pStyle w:val="BTCtextCTB"/>
        <w:rPr>
          <w:rFonts w:ascii="Georgia" w:eastAsia="Calibri" w:hAnsi="Georgia"/>
          <w:color w:val="585756"/>
          <w:sz w:val="21"/>
          <w:szCs w:val="22"/>
        </w:rPr>
      </w:pPr>
      <w:hyperlink r:id="rId20" w:history="1">
        <w:r w:rsidR="00AD58AC" w:rsidRPr="00EA6AC9">
          <w:rPr>
            <w:rStyle w:val="Lienhypertexte"/>
            <w:rFonts w:ascii="Georgia" w:eastAsia="Calibri" w:hAnsi="Georgia"/>
            <w:sz w:val="21"/>
            <w:szCs w:val="22"/>
          </w:rPr>
          <w:t>www.enabel.be</w:t>
        </w:r>
      </w:hyperlink>
      <w:r w:rsidR="00AD58AC">
        <w:rPr>
          <w:rFonts w:ascii="Georgia" w:eastAsia="Calibri" w:hAnsi="Georgia"/>
          <w:color w:val="585756"/>
          <w:sz w:val="21"/>
          <w:szCs w:val="22"/>
        </w:rPr>
        <w:t xml:space="preserve">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4" w:name="_Toc260134199"/>
      <w:bookmarkStart w:id="75" w:name="_Toc364253077"/>
      <w:bookmarkStart w:id="76" w:name="_Toc503965199"/>
      <w:r>
        <w:t>Offre</w:t>
      </w:r>
      <w:bookmarkEnd w:id="74"/>
      <w:bookmarkEnd w:id="75"/>
      <w:bookmarkEnd w:id="76"/>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7" w:name="_Toc503965200"/>
      <w:bookmarkStart w:id="78" w:name="_Toc257380483"/>
      <w:bookmarkStart w:id="79" w:name="_Toc260134200"/>
      <w:proofErr w:type="spellStart"/>
      <w:r w:rsidRPr="0026251B">
        <w:t>Données</w:t>
      </w:r>
      <w:proofErr w:type="spellEnd"/>
      <w:r w:rsidRPr="0026251B">
        <w:t xml:space="preserve"> à </w:t>
      </w:r>
      <w:proofErr w:type="spellStart"/>
      <w:r w:rsidRPr="0026251B">
        <w:t>mentionner</w:t>
      </w:r>
      <w:proofErr w:type="spellEnd"/>
      <w:r w:rsidRPr="0026251B">
        <w:t xml:space="preserve"> dans </w:t>
      </w:r>
      <w:proofErr w:type="spellStart"/>
      <w:r w:rsidRPr="0026251B">
        <w:t>l’offre</w:t>
      </w:r>
      <w:bookmarkEnd w:id="77"/>
      <w:proofErr w:type="spellEnd"/>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43395544" w14:textId="154138D3"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r w:rsidR="00AD58AC">
        <w:rPr>
          <w:rFonts w:ascii="Georgia" w:eastAsia="Calibri" w:hAnsi="Georgia" w:cs="Times New Roman"/>
          <w:color w:val="585756"/>
          <w:kern w:val="0"/>
          <w:sz w:val="21"/>
          <w:szCs w:val="22"/>
          <w:lang w:val="fr-BE"/>
        </w:rPr>
        <w:t>.</w:t>
      </w:r>
    </w:p>
    <w:p w14:paraId="0988EC25" w14:textId="77777777" w:rsidR="009804F1" w:rsidRPr="00211A79" w:rsidRDefault="009804F1" w:rsidP="009804F1">
      <w:pPr>
        <w:pStyle w:val="Corpsdetexte"/>
        <w:rPr>
          <w:rFonts w:ascii="Georgia" w:eastAsia="Calibri" w:hAnsi="Georgia" w:cs="Times New Roman"/>
          <w:color w:val="585756"/>
          <w:kern w:val="0"/>
          <w:sz w:val="21"/>
          <w:szCs w:val="22"/>
          <w:lang w:val="fr-BE"/>
        </w:rPr>
      </w:pP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4E236B23"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3FD1EEF0" w14:textId="77777777" w:rsidR="009804F1" w:rsidRDefault="009804F1" w:rsidP="009804F1">
      <w:pPr>
        <w:pStyle w:val="Corpsdetexte"/>
      </w:pPr>
    </w:p>
    <w:p w14:paraId="73C8432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0" w:name="_Toc503965201"/>
      <w:r w:rsidRPr="0026251B">
        <w:t xml:space="preserve">Durée de </w:t>
      </w:r>
      <w:proofErr w:type="spellStart"/>
      <w:r w:rsidRPr="0026251B">
        <w:t>validité</w:t>
      </w:r>
      <w:proofErr w:type="spellEnd"/>
      <w:r w:rsidRPr="0026251B">
        <w:t xml:space="preserve"> de </w:t>
      </w:r>
      <w:proofErr w:type="spellStart"/>
      <w:r w:rsidRPr="0026251B">
        <w:t>l’offre</w:t>
      </w:r>
      <w:bookmarkEnd w:id="80"/>
      <w:proofErr w:type="spellEnd"/>
    </w:p>
    <w:p w14:paraId="64C42FF0" w14:textId="0F60A156" w:rsidR="009804F1" w:rsidRPr="00211A79" w:rsidRDefault="009804F1" w:rsidP="009804F1">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Les soumissionnaires restent liés par leur offre pendant un délai de </w:t>
      </w:r>
      <w:r w:rsidR="7F000EC8" w:rsidRPr="00211A79">
        <w:rPr>
          <w:rFonts w:ascii="Georgia" w:eastAsia="Calibri" w:hAnsi="Georgia" w:cs="Times New Roman"/>
          <w:color w:val="585756"/>
          <w:kern w:val="0"/>
          <w:sz w:val="21"/>
          <w:szCs w:val="21"/>
          <w:lang w:val="fr-BE"/>
        </w:rPr>
        <w:t>90 jours</w:t>
      </w:r>
      <w:r w:rsidRPr="00211A79">
        <w:rPr>
          <w:rFonts w:ascii="Georgia" w:eastAsia="Calibri" w:hAnsi="Georgia" w:cs="Times New Roman"/>
          <w:color w:val="585756"/>
          <w:kern w:val="0"/>
          <w:sz w:val="21"/>
          <w:szCs w:val="21"/>
          <w:lang w:val="fr-BE"/>
        </w:rPr>
        <w:t xml:space="preserve"> calendrier, à compter de la date limite de réception. </w:t>
      </w:r>
    </w:p>
    <w:p w14:paraId="556FFA34"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4BAB3101" w14:textId="77777777" w:rsidR="009804F1" w:rsidRDefault="009804F1" w:rsidP="009804F1">
      <w:pPr>
        <w:pStyle w:val="Corpsdetexte"/>
      </w:pP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1" w:name="_Toc257380485"/>
      <w:bookmarkStart w:id="82" w:name="_Toc260134204"/>
      <w:bookmarkStart w:id="83" w:name="_Toc503965202"/>
      <w:bookmarkEnd w:id="78"/>
      <w:bookmarkEnd w:id="79"/>
      <w:proofErr w:type="spellStart"/>
      <w:r>
        <w:t>Détermination</w:t>
      </w:r>
      <w:proofErr w:type="spellEnd"/>
      <w:r>
        <w:t xml:space="preserve"> des prix</w:t>
      </w:r>
      <w:bookmarkEnd w:id="81"/>
      <w:bookmarkEnd w:id="82"/>
      <w:bookmarkEnd w:id="83"/>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CB32B05" w14:textId="77777777" w:rsidR="008706E2"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w:t>
      </w:r>
      <w:r w:rsidR="008706E2">
        <w:rPr>
          <w:rFonts w:ascii="Georgia" w:eastAsia="Calibri" w:hAnsi="Georgia" w:cs="Times New Roman"/>
          <w:color w:val="585756"/>
          <w:kern w:val="0"/>
          <w:sz w:val="21"/>
          <w:szCs w:val="22"/>
          <w:lang w:val="fr-BE"/>
        </w:rPr>
        <w:t xml:space="preserve"> mixte dans la mesure où </w:t>
      </w:r>
    </w:p>
    <w:p w14:paraId="51D3C86E" w14:textId="773566D4" w:rsidR="009804F1" w:rsidRDefault="008706E2" w:rsidP="008706E2">
      <w:pPr>
        <w:pStyle w:val="Corpsdetexte"/>
        <w:numPr>
          <w:ilvl w:val="0"/>
          <w:numId w:val="2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tranche ferme est</w:t>
      </w:r>
      <w:r w:rsidR="009804F1" w:rsidRPr="00211A79">
        <w:rPr>
          <w:rFonts w:ascii="Georgia" w:eastAsia="Calibri" w:hAnsi="Georgia" w:cs="Times New Roman"/>
          <w:color w:val="585756"/>
          <w:kern w:val="0"/>
          <w:sz w:val="21"/>
          <w:szCs w:val="22"/>
          <w:lang w:val="fr-BE"/>
        </w:rPr>
        <w:t xml:space="preserve"> à prix global, ce qui signifie que le prix global est forfaitaire et couvre l’ensemble des prestations du marché ou chacun des postes de l’inventaire</w:t>
      </w:r>
      <w:r>
        <w:rPr>
          <w:rFonts w:ascii="Georgia" w:eastAsia="Calibri" w:hAnsi="Georgia" w:cs="Times New Roman"/>
          <w:color w:val="585756"/>
          <w:kern w:val="0"/>
          <w:sz w:val="21"/>
          <w:szCs w:val="22"/>
          <w:lang w:val="fr-BE"/>
        </w:rPr>
        <w:t> ;</w:t>
      </w:r>
    </w:p>
    <w:p w14:paraId="720DB8BF" w14:textId="35855070" w:rsidR="008706E2" w:rsidRPr="008706E2" w:rsidRDefault="008706E2" w:rsidP="00900075">
      <w:pPr>
        <w:pStyle w:val="Corpsdetexte"/>
        <w:numPr>
          <w:ilvl w:val="0"/>
          <w:numId w:val="21"/>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tranche conditionnelle est à bordereau de prix, seul le prix mensuel est forfaitaire.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262A9CC" w14:textId="4DF94528" w:rsidR="009804F1" w:rsidRPr="00E22E26" w:rsidRDefault="009804F1" w:rsidP="009804F1">
      <w:pPr>
        <w:pStyle w:val="Titre4"/>
      </w:pPr>
      <w:bookmarkStart w:id="84" w:name="_Toc503965203"/>
      <w:r>
        <w:t>Eléments inclus dans le prix</w:t>
      </w:r>
      <w:bookmarkEnd w:id="84"/>
    </w:p>
    <w:p w14:paraId="0E18D140" w14:textId="788934B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7D269725" w14:textId="77777777" w:rsidR="00E22E26" w:rsidRDefault="00E22E26">
      <w:pPr>
        <w:pStyle w:val="Corpsdetexte"/>
        <w:numPr>
          <w:ilvl w:val="0"/>
          <w:numId w:val="22"/>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gestion administrative et le </w:t>
      </w:r>
      <w:r w:rsidRPr="00211A79">
        <w:rPr>
          <w:rFonts w:ascii="Georgia" w:eastAsia="Calibri" w:hAnsi="Georgia" w:cs="Times New Roman"/>
          <w:color w:val="585756"/>
          <w:kern w:val="0"/>
          <w:sz w:val="21"/>
          <w:szCs w:val="22"/>
          <w:lang w:val="fr-BE"/>
        </w:rPr>
        <w:t>secrétariat ;</w:t>
      </w:r>
    </w:p>
    <w:p w14:paraId="24E42705" w14:textId="77777777" w:rsidR="00E22E26" w:rsidRDefault="00E22E26">
      <w:pPr>
        <w:pStyle w:val="Corpsdetexte"/>
        <w:numPr>
          <w:ilvl w:val="0"/>
          <w:numId w:val="22"/>
        </w:numPr>
        <w:rPr>
          <w:rFonts w:ascii="Georgia" w:eastAsia="Calibri" w:hAnsi="Georgia" w:cs="Times New Roman"/>
          <w:color w:val="585756"/>
          <w:kern w:val="0"/>
          <w:sz w:val="21"/>
          <w:szCs w:val="22"/>
          <w:lang w:val="fr-BE"/>
        </w:rPr>
      </w:pPr>
      <w:r w:rsidRPr="00E22E26">
        <w:rPr>
          <w:rFonts w:ascii="Georgia" w:eastAsia="Calibri" w:hAnsi="Georgia" w:cs="Times New Roman"/>
          <w:color w:val="585756"/>
          <w:kern w:val="0"/>
          <w:sz w:val="21"/>
          <w:szCs w:val="22"/>
          <w:lang w:val="fr-BE"/>
        </w:rPr>
        <w:t>Le</w:t>
      </w:r>
      <w:r w:rsidR="009804F1" w:rsidRPr="00E22E26">
        <w:rPr>
          <w:rFonts w:ascii="Georgia" w:eastAsia="Calibri" w:hAnsi="Georgia" w:cs="Times New Roman"/>
          <w:color w:val="585756"/>
          <w:kern w:val="0"/>
          <w:sz w:val="21"/>
          <w:szCs w:val="22"/>
          <w:lang w:val="fr-BE"/>
        </w:rPr>
        <w:t xml:space="preserve"> déplacement, le transport et </w:t>
      </w:r>
      <w:r w:rsidRPr="00E22E26">
        <w:rPr>
          <w:rFonts w:ascii="Georgia" w:eastAsia="Calibri" w:hAnsi="Georgia" w:cs="Times New Roman"/>
          <w:color w:val="585756"/>
          <w:kern w:val="0"/>
          <w:sz w:val="21"/>
          <w:szCs w:val="22"/>
          <w:lang w:val="fr-BE"/>
        </w:rPr>
        <w:t>l’assurance ;</w:t>
      </w:r>
    </w:p>
    <w:p w14:paraId="155F1138" w14:textId="77777777" w:rsidR="00E22E26" w:rsidRDefault="00E22E26">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E22E26">
        <w:rPr>
          <w:rFonts w:ascii="Georgia" w:eastAsia="Calibri" w:hAnsi="Georgia" w:cs="Times New Roman"/>
          <w:color w:val="585756"/>
          <w:kern w:val="0"/>
          <w:sz w:val="21"/>
          <w:szCs w:val="22"/>
          <w:lang w:val="fr-BE"/>
        </w:rPr>
        <w:t xml:space="preserve">a documentation relative aux </w:t>
      </w:r>
      <w:r w:rsidRPr="00E22E26">
        <w:rPr>
          <w:rFonts w:ascii="Georgia" w:eastAsia="Calibri" w:hAnsi="Georgia" w:cs="Times New Roman"/>
          <w:color w:val="585756"/>
          <w:kern w:val="0"/>
          <w:sz w:val="21"/>
          <w:szCs w:val="22"/>
          <w:lang w:val="fr-BE"/>
        </w:rPr>
        <w:t>services ;</w:t>
      </w:r>
    </w:p>
    <w:p w14:paraId="7AB84CE3" w14:textId="77777777" w:rsidR="00E22E26" w:rsidRDefault="00E22E26">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E22E26">
        <w:rPr>
          <w:rFonts w:ascii="Georgia" w:eastAsia="Calibri" w:hAnsi="Georgia" w:cs="Times New Roman"/>
          <w:color w:val="585756"/>
          <w:kern w:val="0"/>
          <w:sz w:val="21"/>
          <w:szCs w:val="22"/>
          <w:lang w:val="fr-BE"/>
        </w:rPr>
        <w:t xml:space="preserve">a livraison de documents ou de pièces liés à </w:t>
      </w:r>
      <w:r w:rsidRPr="00E22E26">
        <w:rPr>
          <w:rFonts w:ascii="Georgia" w:eastAsia="Calibri" w:hAnsi="Georgia" w:cs="Times New Roman"/>
          <w:color w:val="585756"/>
          <w:kern w:val="0"/>
          <w:sz w:val="21"/>
          <w:szCs w:val="22"/>
          <w:lang w:val="fr-BE"/>
        </w:rPr>
        <w:t>l’exécution ;</w:t>
      </w:r>
    </w:p>
    <w:p w14:paraId="7936CF0D" w14:textId="77777777" w:rsidR="00E22E26" w:rsidRDefault="00E22E26">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E22E26">
        <w:rPr>
          <w:rFonts w:ascii="Georgia" w:eastAsia="Calibri" w:hAnsi="Georgia" w:cs="Times New Roman"/>
          <w:color w:val="585756"/>
          <w:kern w:val="0"/>
          <w:sz w:val="21"/>
          <w:szCs w:val="22"/>
          <w:lang w:val="fr-BE"/>
        </w:rPr>
        <w:t xml:space="preserve">es </w:t>
      </w:r>
      <w:r w:rsidRPr="00E22E26">
        <w:rPr>
          <w:rFonts w:ascii="Georgia" w:eastAsia="Calibri" w:hAnsi="Georgia" w:cs="Times New Roman"/>
          <w:color w:val="585756"/>
          <w:kern w:val="0"/>
          <w:sz w:val="21"/>
          <w:szCs w:val="22"/>
          <w:lang w:val="fr-BE"/>
        </w:rPr>
        <w:t>emballages ;</w:t>
      </w:r>
    </w:p>
    <w:p w14:paraId="1686E620" w14:textId="77777777" w:rsidR="00E22E26" w:rsidRDefault="00E22E26">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E22E26">
        <w:rPr>
          <w:rFonts w:ascii="Georgia" w:eastAsia="Calibri" w:hAnsi="Georgia" w:cs="Times New Roman"/>
          <w:color w:val="585756"/>
          <w:kern w:val="0"/>
          <w:sz w:val="21"/>
          <w:szCs w:val="22"/>
          <w:lang w:val="fr-BE"/>
        </w:rPr>
        <w:t xml:space="preserve">a formation nécessaire à </w:t>
      </w:r>
      <w:r w:rsidRPr="00E22E26">
        <w:rPr>
          <w:rFonts w:ascii="Georgia" w:eastAsia="Calibri" w:hAnsi="Georgia" w:cs="Times New Roman"/>
          <w:color w:val="585756"/>
          <w:kern w:val="0"/>
          <w:sz w:val="21"/>
          <w:szCs w:val="22"/>
          <w:lang w:val="fr-BE"/>
        </w:rPr>
        <w:t>l’usage ;</w:t>
      </w:r>
    </w:p>
    <w:p w14:paraId="71A227CD" w14:textId="77777777" w:rsidR="00E22E26" w:rsidRDefault="00E22E26">
      <w:pPr>
        <w:pStyle w:val="Corpsdetexte"/>
        <w:numPr>
          <w:ilvl w:val="0"/>
          <w:numId w:val="22"/>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9804F1" w:rsidRPr="00E22E26">
        <w:rPr>
          <w:rFonts w:ascii="Georgia" w:eastAsia="Calibri" w:hAnsi="Georgia" w:cs="Times New Roman"/>
          <w:color w:val="585756"/>
          <w:kern w:val="0"/>
          <w:sz w:val="21"/>
          <w:szCs w:val="22"/>
          <w:lang w:val="fr-BE"/>
        </w:rPr>
        <w:t>e cas échéant, les mesures imposées par la législation en matière de sécurité et de santé des travailleurs lors de l'exécution de leur travail</w:t>
      </w:r>
    </w:p>
    <w:p w14:paraId="43D2C590" w14:textId="77777777" w:rsidR="00E22E26" w:rsidRDefault="009804F1">
      <w:pPr>
        <w:pStyle w:val="Corpsdetexte"/>
        <w:numPr>
          <w:ilvl w:val="0"/>
          <w:numId w:val="22"/>
        </w:numPr>
        <w:rPr>
          <w:rFonts w:ascii="Georgia" w:eastAsia="Calibri" w:hAnsi="Georgia" w:cs="Times New Roman"/>
          <w:color w:val="585756"/>
          <w:kern w:val="0"/>
          <w:sz w:val="21"/>
          <w:szCs w:val="22"/>
          <w:lang w:val="fr-BE"/>
        </w:rPr>
      </w:pPr>
      <w:r w:rsidRPr="00E22E26">
        <w:rPr>
          <w:rFonts w:ascii="Georgia" w:eastAsia="Calibri" w:hAnsi="Georgia" w:cs="Times New Roman"/>
          <w:color w:val="585756"/>
          <w:kern w:val="0"/>
          <w:sz w:val="21"/>
          <w:szCs w:val="22"/>
          <w:lang w:val="fr-BE"/>
        </w:rPr>
        <w:lastRenderedPageBreak/>
        <w:t>Les droits de douane et d’accise relatifs au matériel et aux produits utilisés ;</w:t>
      </w:r>
    </w:p>
    <w:p w14:paraId="18895BBC" w14:textId="54F85837" w:rsidR="009804F1" w:rsidRPr="00175802" w:rsidRDefault="009804F1">
      <w:pPr>
        <w:pStyle w:val="Corpsdetexte"/>
        <w:numPr>
          <w:ilvl w:val="0"/>
          <w:numId w:val="22"/>
        </w:numPr>
        <w:rPr>
          <w:rFonts w:ascii="Georgia" w:eastAsia="Calibri" w:hAnsi="Georgia" w:cs="Times New Roman"/>
          <w:color w:val="585756"/>
          <w:kern w:val="0"/>
          <w:sz w:val="21"/>
          <w:szCs w:val="22"/>
          <w:lang w:val="fr-BE"/>
        </w:rPr>
      </w:pPr>
      <w:r w:rsidRPr="00E22E26">
        <w:rPr>
          <w:rFonts w:ascii="Georgia" w:eastAsia="Calibri" w:hAnsi="Georgia" w:cs="Times New Roman"/>
          <w:color w:val="585756"/>
          <w:kern w:val="0"/>
          <w:sz w:val="21"/>
          <w:szCs w:val="22"/>
          <w:lang w:val="fr-BE"/>
        </w:rPr>
        <w:t>Les frais de réception</w:t>
      </w:r>
      <w:r w:rsidRPr="007F6A75">
        <w:t>. </w:t>
      </w:r>
    </w:p>
    <w:p w14:paraId="6890FC1C" w14:textId="11A1EEEA" w:rsidR="009804F1" w:rsidRDefault="00175802" w:rsidP="00175802">
      <w:pPr>
        <w:pStyle w:val="Corpsdetexte"/>
        <w:rPr>
          <w:rFonts w:ascii="Georgia" w:eastAsia="Calibri" w:hAnsi="Georgia" w:cstheme="minorHAnsi"/>
          <w:color w:val="595959" w:themeColor="text1" w:themeTint="A6"/>
          <w:kern w:val="0"/>
          <w:sz w:val="22"/>
          <w:szCs w:val="22"/>
          <w:lang w:val="fr-BE"/>
        </w:rPr>
      </w:pPr>
      <w:r w:rsidRPr="006B32D6">
        <w:rPr>
          <w:rFonts w:ascii="Georgia" w:eastAsia="Calibri" w:hAnsi="Georgia" w:cstheme="minorHAnsi"/>
          <w:color w:val="595959" w:themeColor="text1" w:themeTint="A6"/>
          <w:kern w:val="0"/>
          <w:sz w:val="22"/>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543AEE9C" w14:textId="77777777" w:rsidR="00175802" w:rsidRPr="006B32D6" w:rsidRDefault="00175802" w:rsidP="00175802">
      <w:pPr>
        <w:pStyle w:val="Corpsdetexte"/>
        <w:rPr>
          <w:rFonts w:ascii="Georgia" w:eastAsia="Calibri" w:hAnsi="Georgia" w:cstheme="minorHAnsi"/>
          <w:b/>
          <w:color w:val="585756"/>
          <w:kern w:val="0"/>
          <w:sz w:val="21"/>
          <w:szCs w:val="21"/>
          <w:u w:val="single"/>
          <w:lang w:val="fr-BE"/>
        </w:rPr>
      </w:pPr>
      <w:r w:rsidRPr="006B32D6">
        <w:rPr>
          <w:rFonts w:ascii="Georgia" w:eastAsia="Calibri" w:hAnsi="Georgia" w:cstheme="minorHAnsi"/>
          <w:b/>
          <w:color w:val="585756"/>
          <w:kern w:val="0"/>
          <w:sz w:val="22"/>
          <w:szCs w:val="22"/>
          <w:u w:val="single"/>
          <w:lang w:val="fr-BE"/>
        </w:rPr>
        <w:t xml:space="preserve">Les frais suivants ne doivent pas être </w:t>
      </w:r>
      <w:proofErr w:type="gramStart"/>
      <w:r w:rsidRPr="006B32D6">
        <w:rPr>
          <w:rFonts w:ascii="Georgia" w:eastAsia="Calibri" w:hAnsi="Georgia" w:cstheme="minorHAnsi"/>
          <w:b/>
          <w:color w:val="585756"/>
          <w:kern w:val="0"/>
          <w:sz w:val="22"/>
          <w:szCs w:val="22"/>
          <w:u w:val="single"/>
          <w:lang w:val="fr-BE"/>
        </w:rPr>
        <w:t>inclus</w:t>
      </w:r>
      <w:r w:rsidRPr="006B32D6">
        <w:rPr>
          <w:rFonts w:ascii="Georgia" w:eastAsia="Calibri" w:hAnsi="Georgia" w:cstheme="minorHAnsi"/>
          <w:b/>
          <w:color w:val="585756"/>
          <w:kern w:val="0"/>
          <w:sz w:val="21"/>
          <w:szCs w:val="21"/>
          <w:u w:val="single"/>
          <w:lang w:val="fr-BE"/>
        </w:rPr>
        <w:t>:</w:t>
      </w:r>
      <w:proofErr w:type="gramEnd"/>
    </w:p>
    <w:p w14:paraId="73E0CAF5" w14:textId="77777777" w:rsidR="00175802" w:rsidRPr="006B32D6" w:rsidRDefault="00175802">
      <w:pPr>
        <w:pStyle w:val="Corpsdetexte"/>
        <w:numPr>
          <w:ilvl w:val="0"/>
          <w:numId w:val="24"/>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u w:val="single"/>
          <w:lang w:val="fr-BE"/>
        </w:rPr>
        <w:t>Les per diem :</w:t>
      </w:r>
      <w:r w:rsidRPr="006B32D6">
        <w:rPr>
          <w:rFonts w:ascii="Georgia" w:eastAsia="Calibri" w:hAnsi="Georgia" w:cstheme="minorHAnsi"/>
          <w:b/>
          <w:color w:val="585756"/>
          <w:kern w:val="0"/>
          <w:sz w:val="21"/>
          <w:szCs w:val="21"/>
          <w:lang w:val="fr-BE"/>
        </w:rPr>
        <w:t xml:space="preserve"> </w:t>
      </w:r>
      <w:r w:rsidRPr="006B32D6">
        <w:rPr>
          <w:rFonts w:ascii="Georgia" w:eastAsia="Calibri" w:hAnsi="Georgia" w:cstheme="minorHAnsi"/>
          <w:color w:val="585756"/>
          <w:kern w:val="0"/>
          <w:sz w:val="21"/>
          <w:szCs w:val="21"/>
          <w:lang w:val="fr-BE"/>
        </w:rPr>
        <w:t>le per diem (indemnité journalière) est un montant forfaitaire couvrant tous les frais supplémentaires encourus à titre professionnel (pas à titre privé donc) et consécutifs à la mission, tels que : le logement, les repas, les boissons, les petits trajets locaux (le cas échéant) et les autres petites dépenses (toutes les conversations téléphoniques, internet, les friandises, les pourboires…).</w:t>
      </w:r>
    </w:p>
    <w:p w14:paraId="11D7159D" w14:textId="77777777" w:rsidR="00175802" w:rsidRPr="006B32D6" w:rsidRDefault="00175802" w:rsidP="00175802">
      <w:pPr>
        <w:pStyle w:val="Corpsdetexte"/>
        <w:ind w:left="720"/>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Les indemnités journalières ne sont accordées que pour les prestations dans les pays partenaires. Elles concernent uniquement la durée effective de la mission, y compris les jours de week-ends et les jours fériés.</w:t>
      </w:r>
    </w:p>
    <w:p w14:paraId="0364DE36" w14:textId="77777777" w:rsidR="00175802" w:rsidRPr="006B32D6" w:rsidRDefault="00175802" w:rsidP="00175802">
      <w:pPr>
        <w:pStyle w:val="Corpsdetexte"/>
        <w:ind w:left="720"/>
        <w:jc w:val="left"/>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 xml:space="preserve">Le montant de l’indemnité journalière est celui fixé le plus récemment   et se trouvant sur ce lien </w:t>
      </w:r>
      <w:hyperlink r:id="rId21" w:history="1">
        <w:r w:rsidRPr="006B32D6">
          <w:rPr>
            <w:rStyle w:val="Lienhypertexte"/>
            <w:rFonts w:ascii="Georgia" w:hAnsi="Georgia" w:cstheme="minorHAnsi"/>
            <w:sz w:val="21"/>
            <w:szCs w:val="21"/>
          </w:rPr>
          <w:t>https://ec.europa.eu/international partnerships/system/files/per_diem_rates_20191218.pdf</w:t>
        </w:r>
      </w:hyperlink>
    </w:p>
    <w:p w14:paraId="4FAD7D9B" w14:textId="77777777" w:rsidR="00175802" w:rsidRPr="006B32D6" w:rsidRDefault="00175802" w:rsidP="00175802">
      <w:pPr>
        <w:pStyle w:val="Corpsdetexte"/>
        <w:rPr>
          <w:rFonts w:ascii="Georgia" w:eastAsia="Calibri" w:hAnsi="Georgia" w:cstheme="minorHAnsi"/>
          <w:color w:val="585756"/>
          <w:kern w:val="0"/>
          <w:sz w:val="21"/>
          <w:szCs w:val="21"/>
          <w:lang w:val="fr-BE"/>
        </w:rPr>
      </w:pPr>
      <w:r w:rsidRPr="006B32D6">
        <w:rPr>
          <w:rFonts w:ascii="Georgia" w:eastAsia="Calibri" w:hAnsi="Georgia" w:cstheme="minorHAnsi"/>
          <w:b/>
          <w:color w:val="585756"/>
          <w:kern w:val="0"/>
          <w:sz w:val="21"/>
          <w:szCs w:val="21"/>
          <w:u w:val="single"/>
          <w:lang w:val="fr-BE"/>
        </w:rPr>
        <w:t>Pour ce marché, les frais suivants sont pris en charge par Enabel ou remboursés sur base de pièces justificatives.</w:t>
      </w:r>
      <w:r w:rsidRPr="006B32D6">
        <w:rPr>
          <w:rFonts w:ascii="Georgia" w:eastAsia="Calibri" w:hAnsi="Georgia" w:cstheme="minorHAnsi"/>
          <w:color w:val="585756"/>
          <w:kern w:val="0"/>
          <w:sz w:val="21"/>
          <w:szCs w:val="21"/>
          <w:lang w:val="fr-BE"/>
        </w:rPr>
        <w:t xml:space="preserve"> </w:t>
      </w:r>
    </w:p>
    <w:p w14:paraId="4DB881CB" w14:textId="77777777" w:rsidR="00175802" w:rsidRPr="006B32D6" w:rsidRDefault="00175802" w:rsidP="00175802">
      <w:pPr>
        <w:pStyle w:val="Corpsdetexte"/>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Pour les frais remboursables sur base de pièces justificatives, l’accord de Enabel avant l’engagement est toujours nécessaire, sinon la dépense ne pourra pas être remboursée</w:t>
      </w:r>
      <w:r w:rsidRPr="006B32D6">
        <w:rPr>
          <w:rFonts w:ascii="Georgia" w:eastAsia="Calibri" w:hAnsi="Georgia" w:cstheme="minorHAnsi"/>
          <w:b/>
          <w:color w:val="585756"/>
          <w:kern w:val="0"/>
          <w:sz w:val="22"/>
          <w:szCs w:val="22"/>
          <w:u w:val="single"/>
          <w:lang w:val="fr-BE"/>
        </w:rPr>
        <w:t xml:space="preserve"> dans les prix unitaires proposés </w:t>
      </w:r>
      <w:r w:rsidRPr="006B32D6">
        <w:rPr>
          <w:rFonts w:ascii="Georgia" w:eastAsia="Calibri" w:hAnsi="Georgia" w:cstheme="minorHAnsi"/>
          <w:color w:val="585756"/>
          <w:kern w:val="0"/>
          <w:sz w:val="21"/>
          <w:szCs w:val="21"/>
          <w:lang w:val="fr-BE"/>
        </w:rPr>
        <w:t>même sur base de la pièce justificative :</w:t>
      </w:r>
    </w:p>
    <w:p w14:paraId="3A582476" w14:textId="77777777" w:rsidR="00175802" w:rsidRPr="006B32D6" w:rsidRDefault="00175802">
      <w:pPr>
        <w:pStyle w:val="Corpsdetexte"/>
        <w:numPr>
          <w:ilvl w:val="0"/>
          <w:numId w:val="23"/>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 xml:space="preserve">Transports internationaux par avion : les billets d’avion pour les vols internationaux entre le pays du domicile du consultant et le lieu de prestation sont organisés et pris en charge par le soumissionnaire (billet en classe économique du trajet le plus avantageux économiquement). </w:t>
      </w:r>
    </w:p>
    <w:p w14:paraId="627B82EE" w14:textId="77777777" w:rsidR="00175802" w:rsidRPr="006B32D6" w:rsidRDefault="00175802" w:rsidP="00175802">
      <w:pPr>
        <w:pStyle w:val="Corpsdetexte"/>
        <w:ind w:left="720"/>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 choix de l’itinéraire sera conditionné par la combinaison la plus logique entre :</w:t>
      </w:r>
    </w:p>
    <w:p w14:paraId="375AC9EA" w14:textId="77777777" w:rsidR="00175802" w:rsidRPr="006B32D6" w:rsidRDefault="00175802">
      <w:pPr>
        <w:pStyle w:val="Corpsdetexte"/>
        <w:numPr>
          <w:ilvl w:val="1"/>
          <w:numId w:val="23"/>
        </w:numPr>
        <w:ind w:left="1418" w:hanging="338"/>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 meilleur itinéraire acceptable ;</w:t>
      </w:r>
    </w:p>
    <w:p w14:paraId="3100ED9A" w14:textId="77777777" w:rsidR="00175802" w:rsidRPr="006B32D6" w:rsidRDefault="00175802">
      <w:pPr>
        <w:pStyle w:val="Corpsdetexte"/>
        <w:numPr>
          <w:ilvl w:val="1"/>
          <w:numId w:val="23"/>
        </w:numPr>
        <w:ind w:left="1418" w:hanging="338"/>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 tarif applicable le meilleur marché (classe Economy) en tenant compte des conditions référentielles définies par les contrats dont Enabel dispose avec les compagnies aériennes ;</w:t>
      </w:r>
    </w:p>
    <w:p w14:paraId="0BA7ED63" w14:textId="77777777" w:rsidR="00175802" w:rsidRPr="006B32D6" w:rsidRDefault="00175802">
      <w:pPr>
        <w:pStyle w:val="Corpsdetexte"/>
        <w:numPr>
          <w:ilvl w:val="1"/>
          <w:numId w:val="23"/>
        </w:numPr>
        <w:ind w:left="1418" w:hanging="338"/>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Les dates de voyage demandées.</w:t>
      </w:r>
    </w:p>
    <w:p w14:paraId="444AAA88" w14:textId="77777777" w:rsidR="00175802" w:rsidRPr="006B32D6" w:rsidRDefault="00175802" w:rsidP="00175802">
      <w:pPr>
        <w:pStyle w:val="Corpsdetexte"/>
        <w:ind w:left="720"/>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L’achat de billet se fait uniquement auprès de compagnies aériennes IATA.</w:t>
      </w:r>
    </w:p>
    <w:p w14:paraId="7F7D0CC0" w14:textId="77777777" w:rsidR="00175802" w:rsidRPr="006B32D6" w:rsidRDefault="00175802">
      <w:pPr>
        <w:pStyle w:val="Corpsdetexte"/>
        <w:numPr>
          <w:ilvl w:val="0"/>
          <w:numId w:val="23"/>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 xml:space="preserve">Transports professionnels dans le pays où se déroule la mission de terrain : le cas échéant, les transports dans le pays sont organisés et pris en charge par Enabel. </w:t>
      </w:r>
    </w:p>
    <w:p w14:paraId="7B5F30C9" w14:textId="77777777" w:rsidR="00175802" w:rsidRPr="006B32D6" w:rsidRDefault="00175802">
      <w:pPr>
        <w:pStyle w:val="paragraph"/>
        <w:numPr>
          <w:ilvl w:val="0"/>
          <w:numId w:val="23"/>
        </w:numPr>
        <w:spacing w:before="0" w:beforeAutospacing="0" w:after="0" w:afterAutospacing="0"/>
        <w:jc w:val="both"/>
        <w:textAlignment w:val="baseline"/>
        <w:rPr>
          <w:rFonts w:ascii="Georgia" w:eastAsia="Calibri" w:hAnsi="Georgia" w:cs="Arial"/>
          <w:color w:val="585756"/>
          <w:sz w:val="21"/>
          <w:szCs w:val="21"/>
          <w:lang w:eastAsia="en-US"/>
        </w:rPr>
      </w:pPr>
      <w:r w:rsidRPr="006B32D6">
        <w:rPr>
          <w:rFonts w:ascii="Georgia" w:eastAsia="Calibri" w:hAnsi="Georgia" w:cs="Arial"/>
          <w:color w:val="585756"/>
          <w:sz w:val="21"/>
          <w:szCs w:val="21"/>
          <w:lang w:eastAsia="en-US"/>
        </w:rPr>
        <w:t>Les frais de visa (non inclus les frais liés à l’obtention du passeport).</w:t>
      </w:r>
    </w:p>
    <w:p w14:paraId="0DDF85C9" w14:textId="77777777" w:rsidR="00175802" w:rsidRPr="006B32D6" w:rsidRDefault="00175802">
      <w:pPr>
        <w:pStyle w:val="Corpsdetexte"/>
        <w:numPr>
          <w:ilvl w:val="0"/>
          <w:numId w:val="23"/>
        </w:numPr>
        <w:rPr>
          <w:rFonts w:ascii="Georgia" w:eastAsia="Calibri" w:hAnsi="Georgia" w:cstheme="minorHAnsi"/>
          <w:color w:val="585756"/>
          <w:kern w:val="0"/>
          <w:sz w:val="21"/>
          <w:szCs w:val="21"/>
          <w:lang w:val="fr-BE"/>
        </w:rPr>
      </w:pPr>
      <w:r w:rsidRPr="006B32D6">
        <w:rPr>
          <w:rFonts w:ascii="Georgia" w:eastAsia="Calibri" w:hAnsi="Georgia" w:cs="Arial"/>
          <w:color w:val="585756"/>
          <w:sz w:val="22"/>
          <w:szCs w:val="22"/>
          <w:lang w:val="fr-BE"/>
        </w:rPr>
        <w:t xml:space="preserve">Les frais de logement en RDC ; </w:t>
      </w:r>
    </w:p>
    <w:p w14:paraId="531C1FBF" w14:textId="77777777" w:rsidR="00175802" w:rsidRPr="006B32D6" w:rsidRDefault="00175802" w:rsidP="00175802">
      <w:pPr>
        <w:pStyle w:val="Corpsdetexte"/>
        <w:rPr>
          <w:rFonts w:ascii="Georgia" w:eastAsia="Calibri" w:hAnsi="Georgia" w:cstheme="minorHAnsi"/>
          <w:b/>
          <w:color w:val="585756"/>
          <w:kern w:val="0"/>
          <w:sz w:val="21"/>
          <w:szCs w:val="21"/>
          <w:u w:val="single"/>
          <w:lang w:val="fr-BE"/>
        </w:rPr>
      </w:pPr>
      <w:r w:rsidRPr="006B32D6">
        <w:rPr>
          <w:rFonts w:ascii="Georgia" w:eastAsia="Calibri" w:hAnsi="Georgia" w:cstheme="minorHAnsi"/>
          <w:b/>
          <w:color w:val="585756"/>
          <w:kern w:val="0"/>
          <w:sz w:val="21"/>
          <w:szCs w:val="21"/>
          <w:u w:val="single"/>
          <w:lang w:val="fr-BE"/>
        </w:rPr>
        <w:t>Attention :</w:t>
      </w:r>
    </w:p>
    <w:p w14:paraId="78FAD746" w14:textId="77777777" w:rsidR="00175802" w:rsidRPr="006B32D6" w:rsidRDefault="00175802">
      <w:pPr>
        <w:pStyle w:val="Corpsdetexte"/>
        <w:numPr>
          <w:ilvl w:val="0"/>
          <w:numId w:val="23"/>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lastRenderedPageBreak/>
        <w:t xml:space="preserve">Le tarif journalier est payé pour tous les jours de travail effectif, même s’il s’agit d’un jour de week-end ou d’un jour férié, selon le planning de travail accepté joint à la facture. </w:t>
      </w:r>
    </w:p>
    <w:p w14:paraId="4A21800E" w14:textId="77777777" w:rsidR="00175802" w:rsidRPr="006B32D6" w:rsidRDefault="00175802">
      <w:pPr>
        <w:pStyle w:val="Corpsdetexte"/>
        <w:numPr>
          <w:ilvl w:val="0"/>
          <w:numId w:val="23"/>
        </w:numPr>
        <w:rPr>
          <w:rFonts w:ascii="Georgia" w:eastAsia="Calibri" w:hAnsi="Georgia" w:cstheme="minorHAnsi"/>
          <w:color w:val="585756"/>
          <w:kern w:val="0"/>
          <w:sz w:val="21"/>
          <w:szCs w:val="21"/>
          <w:lang w:val="fr-BE"/>
        </w:rPr>
      </w:pPr>
      <w:r w:rsidRPr="006B32D6">
        <w:rPr>
          <w:rFonts w:ascii="Georgia" w:eastAsia="Calibri" w:hAnsi="Georgia" w:cstheme="minorHAnsi"/>
          <w:color w:val="585756"/>
          <w:kern w:val="0"/>
          <w:sz w:val="21"/>
          <w:szCs w:val="21"/>
          <w:lang w:val="fr-BE"/>
        </w:rPr>
        <w:t>Pour les jours de voyage internationaux, 50 % du tarif journalier sont payés par jour de voyage, selon le planning accepté de la mission joint à la facture.</w:t>
      </w:r>
    </w:p>
    <w:p w14:paraId="215FD197" w14:textId="77777777" w:rsidR="00175802" w:rsidRPr="00175802" w:rsidRDefault="00175802" w:rsidP="00175802">
      <w:pPr>
        <w:pStyle w:val="Corpsdetexte"/>
        <w:rPr>
          <w:rFonts w:ascii="Georgia" w:eastAsia="Calibri" w:hAnsi="Georgia" w:cstheme="minorHAnsi"/>
          <w:color w:val="595959" w:themeColor="text1" w:themeTint="A6"/>
          <w:kern w:val="0"/>
          <w:sz w:val="22"/>
          <w:szCs w:val="22"/>
          <w:lang w:val="fr-BE"/>
        </w:rPr>
      </w:pPr>
    </w:p>
    <w:p w14:paraId="1D249C95"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85" w:name="_Toc257380488"/>
      <w:bookmarkStart w:id="86" w:name="_Toc260134207"/>
      <w:bookmarkStart w:id="87" w:name="_Toc503965204"/>
      <w:r w:rsidRPr="00AA6400">
        <w:t xml:space="preserve">Introduction des </w:t>
      </w:r>
      <w:proofErr w:type="spellStart"/>
      <w:r w:rsidRPr="00AA6400">
        <w:t>offres</w:t>
      </w:r>
      <w:bookmarkEnd w:id="85"/>
      <w:bookmarkEnd w:id="86"/>
      <w:bookmarkEnd w:id="87"/>
      <w:proofErr w:type="spellEnd"/>
    </w:p>
    <w:p w14:paraId="458F513E" w14:textId="12581A51" w:rsidR="002E06C0" w:rsidRPr="006B32D6" w:rsidRDefault="002E06C0" w:rsidP="002E06C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u w:val="single"/>
          <w:lang w:val="fr-FR"/>
        </w:rPr>
        <w:t xml:space="preserve">L’offre devra être réceptionnée </w:t>
      </w:r>
      <w:r w:rsidRPr="002E06C0">
        <w:rPr>
          <w:rFonts w:ascii="Georgia" w:eastAsia="Calibri" w:hAnsi="Georgia" w:cstheme="minorHAnsi"/>
          <w:color w:val="585756"/>
          <w:sz w:val="21"/>
          <w:szCs w:val="21"/>
          <w:highlight w:val="yellow"/>
          <w:u w:val="single"/>
          <w:lang w:val="fr-FR"/>
        </w:rPr>
        <w:t>le</w:t>
      </w:r>
      <w:r w:rsidR="00E1197D">
        <w:rPr>
          <w:rFonts w:ascii="Georgia" w:eastAsia="Calibri" w:hAnsi="Georgia" w:cstheme="minorHAnsi"/>
          <w:color w:val="585756"/>
          <w:sz w:val="21"/>
          <w:szCs w:val="21"/>
          <w:highlight w:val="yellow"/>
          <w:u w:val="single"/>
          <w:lang w:val="fr-FR"/>
        </w:rPr>
        <w:t xml:space="preserve"> 0</w:t>
      </w:r>
      <w:r w:rsidR="008706E2">
        <w:rPr>
          <w:rFonts w:ascii="Georgia" w:eastAsia="Calibri" w:hAnsi="Georgia" w:cstheme="minorHAnsi"/>
          <w:color w:val="585756"/>
          <w:sz w:val="21"/>
          <w:szCs w:val="21"/>
          <w:highlight w:val="yellow"/>
          <w:u w:val="single"/>
          <w:lang w:val="fr-FR"/>
        </w:rPr>
        <w:t xml:space="preserve">2 </w:t>
      </w:r>
      <w:r w:rsidRPr="002E06C0">
        <w:rPr>
          <w:rFonts w:ascii="Georgia" w:eastAsia="Calibri" w:hAnsi="Georgia" w:cstheme="minorHAnsi"/>
          <w:b/>
          <w:bCs/>
          <w:color w:val="585756"/>
          <w:sz w:val="21"/>
          <w:szCs w:val="21"/>
          <w:highlight w:val="yellow"/>
          <w:u w:val="single"/>
          <w:lang w:val="fr-FR"/>
        </w:rPr>
        <w:t>Mai 2023 à 9h00</w:t>
      </w:r>
      <w:r w:rsidRPr="006B32D6">
        <w:rPr>
          <w:rFonts w:ascii="Georgia" w:eastAsia="Calibri" w:hAnsi="Georgia" w:cstheme="minorHAnsi"/>
          <w:color w:val="585756"/>
          <w:sz w:val="21"/>
          <w:szCs w:val="21"/>
          <w:u w:val="single"/>
          <w:lang w:val="fr-FR"/>
        </w:rPr>
        <w:t xml:space="preserve"> au plus tard</w:t>
      </w:r>
      <w:r w:rsidRPr="006B32D6">
        <w:rPr>
          <w:rFonts w:ascii="Georgia" w:eastAsia="Calibri" w:hAnsi="Georgia" w:cstheme="minorHAnsi"/>
          <w:color w:val="585756"/>
          <w:sz w:val="21"/>
          <w:szCs w:val="21"/>
          <w:lang w:val="fr-FR"/>
        </w:rPr>
        <w:t xml:space="preserve"> (heure de Kinshasa-RD Congo).</w:t>
      </w:r>
    </w:p>
    <w:p w14:paraId="262C9F3A" w14:textId="41537816" w:rsidR="002E06C0" w:rsidRPr="006B32D6" w:rsidRDefault="002E06C0" w:rsidP="002E06C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Toute offre doit parvenir avant la date et l</w:t>
      </w:r>
      <w:r w:rsidR="00E1197D">
        <w:rPr>
          <w:rFonts w:ascii="Georgia" w:eastAsia="Calibri" w:hAnsi="Georgia" w:cstheme="minorHAnsi"/>
          <w:color w:val="585756"/>
          <w:sz w:val="21"/>
          <w:szCs w:val="21"/>
          <w:lang w:val="fr-FR"/>
        </w:rPr>
        <w:t>’</w:t>
      </w:r>
      <w:r w:rsidRPr="006B32D6">
        <w:rPr>
          <w:rFonts w:ascii="Georgia" w:eastAsia="Calibri" w:hAnsi="Georgia" w:cstheme="minorHAnsi"/>
          <w:color w:val="585756"/>
          <w:sz w:val="21"/>
          <w:szCs w:val="21"/>
          <w:lang w:val="fr-FR"/>
        </w:rPr>
        <w:t>heure ultime de dépôt.</w:t>
      </w:r>
    </w:p>
    <w:p w14:paraId="18E53689" w14:textId="77777777" w:rsidR="002E06C0" w:rsidRPr="006B32D6" w:rsidRDefault="002E06C0" w:rsidP="002E06C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Les offres parvenues tardivement ne seront pas acceptées (Article 83 de l’AR Passation).</w:t>
      </w:r>
    </w:p>
    <w:p w14:paraId="2C69DDAB" w14:textId="77777777" w:rsidR="002E06C0" w:rsidRPr="006B32D6" w:rsidRDefault="002E06C0" w:rsidP="002E06C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Sans préjudice des variantes éventuelles, le soumissionnaire ne peut remettre qu’une seule offre par marché.</w:t>
      </w:r>
    </w:p>
    <w:p w14:paraId="7469AFED" w14:textId="3A32C579" w:rsidR="002E06C0" w:rsidRPr="006B32D6" w:rsidRDefault="002E06C0" w:rsidP="002E06C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Le soumissionnaire introduit son offre</w:t>
      </w:r>
      <w:r w:rsidR="00E1197D">
        <w:rPr>
          <w:rFonts w:ascii="Georgia" w:eastAsia="Calibri" w:hAnsi="Georgia" w:cstheme="minorHAnsi"/>
          <w:color w:val="585756"/>
          <w:sz w:val="21"/>
          <w:szCs w:val="21"/>
          <w:lang w:val="fr-FR"/>
        </w:rPr>
        <w:t> </w:t>
      </w:r>
      <w:r w:rsidRPr="006B32D6">
        <w:rPr>
          <w:rFonts w:ascii="Georgia" w:eastAsia="Calibri" w:hAnsi="Georgia" w:cstheme="minorHAnsi"/>
          <w:color w:val="585756"/>
          <w:sz w:val="21"/>
          <w:szCs w:val="21"/>
          <w:lang w:val="fr-FR"/>
        </w:rPr>
        <w:t>:</w:t>
      </w:r>
    </w:p>
    <w:p w14:paraId="158F09E4" w14:textId="77777777" w:rsidR="002E06C0" w:rsidRPr="006B32D6" w:rsidRDefault="002E06C0" w:rsidP="002E06C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 xml:space="preserve">Par mail à l’adresse </w:t>
      </w:r>
      <w:hyperlink r:id="rId22" w:history="1">
        <w:r w:rsidRPr="006B32D6">
          <w:rPr>
            <w:rStyle w:val="Lienhypertexte"/>
            <w:rFonts w:ascii="Georgia" w:hAnsi="Georgia" w:cstheme="minorHAnsi"/>
            <w:b/>
            <w:bCs/>
            <w:sz w:val="21"/>
            <w:szCs w:val="21"/>
            <w:lang w:val="fr-FR"/>
          </w:rPr>
          <w:t>procurement.cod@enabel.be</w:t>
        </w:r>
      </w:hyperlink>
      <w:r w:rsidRPr="006B32D6">
        <w:rPr>
          <w:rStyle w:val="Lienhypertexte"/>
          <w:rFonts w:ascii="Georgia" w:hAnsi="Georgia" w:cstheme="minorHAnsi"/>
          <w:b/>
          <w:bCs/>
          <w:sz w:val="21"/>
          <w:szCs w:val="21"/>
          <w:lang w:val="fr-FR"/>
        </w:rPr>
        <w:t>, via un document PDF en annexe.</w:t>
      </w:r>
    </w:p>
    <w:p w14:paraId="2B7B2DCC" w14:textId="77777777" w:rsidR="002E06C0" w:rsidRPr="006B32D6" w:rsidRDefault="002E06C0" w:rsidP="002E06C0">
      <w:pPr>
        <w:pStyle w:val="BTCtextCTB"/>
        <w:rPr>
          <w:rFonts w:ascii="Georgia" w:eastAsia="Calibri" w:hAnsi="Georgia" w:cstheme="minorHAnsi"/>
          <w:color w:val="585756"/>
          <w:sz w:val="21"/>
          <w:szCs w:val="21"/>
          <w:lang w:val="fr-FR"/>
        </w:rPr>
      </w:pPr>
      <w:r w:rsidRPr="006B32D6">
        <w:rPr>
          <w:rFonts w:ascii="Georgia" w:eastAsia="Calibri" w:hAnsi="Georgia" w:cstheme="minorHAnsi"/>
          <w:color w:val="585756"/>
          <w:sz w:val="21"/>
          <w:szCs w:val="21"/>
          <w:lang w:val="fr-FR"/>
        </w:rPr>
        <w:t>L’ouverture des offres aura lieu à huis clos.</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88" w:name="_Toc503965205"/>
      <w:r w:rsidRPr="006A46F9">
        <w:rPr>
          <w:lang w:val="fr-BE"/>
        </w:rPr>
        <w:t>Modification ou retrait d’une offre déjà introduite</w:t>
      </w:r>
      <w:bookmarkEnd w:id="88"/>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59896349" w14:textId="48CE98DC"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w:t>
      </w:r>
      <w:r w:rsidR="00E1197D">
        <w:rPr>
          <w:rFonts w:ascii="Georgia" w:eastAsia="Calibri" w:hAnsi="Georgia"/>
          <w:color w:val="585756"/>
          <w:sz w:val="21"/>
          <w:szCs w:val="22"/>
        </w:rPr>
        <w:t>’</w:t>
      </w:r>
      <w:r w:rsidRPr="008C4A21">
        <w:rPr>
          <w:rFonts w:ascii="Georgia" w:eastAsia="Calibri" w:hAnsi="Georgia"/>
          <w:color w:val="585756"/>
          <w:sz w:val="21"/>
          <w:szCs w:val="22"/>
        </w:rPr>
        <w:t>objet et la portée des modifications doivent être indiqués avec précision.</w:t>
      </w:r>
    </w:p>
    <w:p w14:paraId="06B2C14A" w14:textId="77777777" w:rsidR="009804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04E24A6C" w14:textId="77777777" w:rsidR="001B7DB1" w:rsidRPr="006B32D6" w:rsidRDefault="001B7DB1" w:rsidP="001B7DB1">
      <w:pPr>
        <w:pStyle w:val="BTCtextCTB"/>
        <w:rPr>
          <w:rFonts w:ascii="Georgia" w:eastAsia="Calibri" w:hAnsi="Georgia"/>
          <w:color w:val="585756"/>
          <w:sz w:val="21"/>
          <w:szCs w:val="22"/>
        </w:rPr>
      </w:pPr>
      <w:r w:rsidRPr="006B32D6">
        <w:rPr>
          <w:rFonts w:ascii="Georgia" w:eastAsia="Calibri" w:hAnsi="Georgia"/>
          <w:color w:val="585756"/>
          <w:sz w:val="21"/>
          <w:szCs w:val="22"/>
        </w:rPr>
        <w:t>Afin de modifier ou retirer une offre déjà envoyée ou introduite, une déclaration écrite est exigée, correctement signée par le soumissionnaire ou par son mandataire.</w:t>
      </w:r>
    </w:p>
    <w:p w14:paraId="3CB782C1" w14:textId="04D16886" w:rsidR="001B7DB1" w:rsidRPr="001B7DB1" w:rsidRDefault="001B7DB1" w:rsidP="001B7DB1">
      <w:pPr>
        <w:pStyle w:val="BTCtextCTB"/>
        <w:rPr>
          <w:rFonts w:ascii="Georgia" w:eastAsia="Calibri" w:hAnsi="Georgia"/>
          <w:color w:val="585756"/>
          <w:sz w:val="21"/>
          <w:szCs w:val="22"/>
        </w:rPr>
      </w:pPr>
      <w:r w:rsidRPr="006B32D6">
        <w:rPr>
          <w:rFonts w:ascii="Georgia" w:eastAsia="Calibri" w:hAnsi="Georgia"/>
          <w:color w:val="585756"/>
          <w:sz w:val="21"/>
          <w:szCs w:val="22"/>
        </w:rPr>
        <w:t>Le retrait ou la modification peuvent également être communiqué via une moye électronique, pour autant qu’il soit conformé pat lettre recommandée déposée à la poste ou contre accusé de réception au plus tard le jour avant la date limite de réception des offres.</w:t>
      </w:r>
    </w:p>
    <w:p w14:paraId="4A429232" w14:textId="77777777" w:rsidR="009804F1"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89" w:name="_Toc503965206"/>
      <w:bookmarkStart w:id="90" w:name="_Ref233177124"/>
      <w:bookmarkStart w:id="91" w:name="_Ref233177126"/>
      <w:bookmarkStart w:id="92" w:name="_Toc257380489"/>
      <w:bookmarkStart w:id="93" w:name="_Toc260134208"/>
      <w:bookmarkStart w:id="94" w:name="_Toc364253078"/>
      <w:proofErr w:type="spellStart"/>
      <w:r>
        <w:t>Sélection</w:t>
      </w:r>
      <w:proofErr w:type="spellEnd"/>
      <w:r>
        <w:t xml:space="preserve"> des </w:t>
      </w:r>
      <w:proofErr w:type="spellStart"/>
      <w:r>
        <w:t>soumissionnaires</w:t>
      </w:r>
      <w:bookmarkEnd w:id="89"/>
      <w:proofErr w:type="spellEnd"/>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5" w:name="_Toc503965207"/>
      <w:r>
        <w:t>Motifs d’exclusion</w:t>
      </w:r>
      <w:bookmarkEnd w:id="95"/>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Le pouvoir adjudicateur demandera lui-même les renseignements ou documents qu’il peut obtenir gratuitement par des moyens électroniques auprès des services qui en sont les gestionnaires.</w:t>
      </w:r>
    </w:p>
    <w:p w14:paraId="4EA3A524" w14:textId="7511B822" w:rsidR="00A04626" w:rsidRPr="008706E2" w:rsidRDefault="00A04626" w:rsidP="008706E2">
      <w:pPr>
        <w:pStyle w:val="BTCtextCTB"/>
        <w:pBdr>
          <w:top w:val="single" w:sz="4" w:space="0" w:color="auto"/>
          <w:left w:val="single" w:sz="4" w:space="0" w:color="auto"/>
          <w:bottom w:val="single" w:sz="4" w:space="1" w:color="auto"/>
          <w:right w:val="single" w:sz="4" w:space="4" w:color="auto"/>
        </w:pBdr>
        <w:rPr>
          <w:rFonts w:ascii="Georgia" w:eastAsia="Calibri" w:hAnsi="Georgia" w:cstheme="minorHAnsi"/>
          <w:color w:val="585756"/>
          <w:sz w:val="21"/>
          <w:szCs w:val="21"/>
          <w:lang w:val="fr-FR"/>
        </w:rPr>
      </w:pPr>
      <w:bookmarkStart w:id="96" w:name="_Hlk115072112"/>
      <w:r w:rsidRPr="006B32D6">
        <w:rPr>
          <w:rFonts w:ascii="Georgia" w:eastAsia="Calibri" w:hAnsi="Georgia" w:cstheme="minorHAnsi"/>
          <w:color w:val="585756"/>
          <w:sz w:val="21"/>
          <w:szCs w:val="21"/>
          <w:lang w:val="fr-FR"/>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6"/>
    </w:p>
    <w:p w14:paraId="77032952" w14:textId="77777777" w:rsidR="00A04626" w:rsidRPr="006B32D6" w:rsidRDefault="00A04626" w:rsidP="00A04626">
      <w:pPr>
        <w:pStyle w:val="BTCtextCTB"/>
        <w:rPr>
          <w:rFonts w:ascii="Georgia" w:eastAsia="Calibri" w:hAnsi="Georgia" w:cstheme="minorHAnsi"/>
          <w:color w:val="595959" w:themeColor="text1" w:themeTint="A6"/>
          <w:sz w:val="21"/>
          <w:szCs w:val="21"/>
          <w:u w:val="single"/>
          <w:lang w:val="fr-FR"/>
        </w:rPr>
      </w:pPr>
      <w:r w:rsidRPr="006B32D6">
        <w:rPr>
          <w:rFonts w:ascii="Georgia" w:eastAsia="Calibri" w:hAnsi="Georgia" w:cstheme="minorHAnsi"/>
          <w:color w:val="595959" w:themeColor="text1" w:themeTint="A6"/>
          <w:sz w:val="21"/>
          <w:szCs w:val="21"/>
          <w:u w:val="single"/>
          <w:lang w:val="fr-FR"/>
        </w:rPr>
        <w:t>Conflit d’intérêts et mécanisme du « tourniquet »</w:t>
      </w:r>
    </w:p>
    <w:p w14:paraId="4F55276C" w14:textId="10A56AB7" w:rsidR="00A04626" w:rsidRPr="006B32D6" w:rsidRDefault="00A04626" w:rsidP="00A04626">
      <w:pPr>
        <w:pStyle w:val="BTCtextCTB"/>
        <w:rPr>
          <w:rFonts w:ascii="Georgia" w:eastAsia="Calibri" w:hAnsi="Georgia" w:cstheme="minorHAnsi"/>
          <w:color w:val="595959" w:themeColor="text1" w:themeTint="A6"/>
          <w:sz w:val="21"/>
          <w:szCs w:val="21"/>
          <w:lang w:val="fr-FR"/>
        </w:rPr>
      </w:pPr>
      <w:r w:rsidRPr="006B32D6">
        <w:rPr>
          <w:rFonts w:ascii="Georgia" w:eastAsia="Calibri" w:hAnsi="Georgia" w:cstheme="minorHAnsi"/>
          <w:color w:val="595959" w:themeColor="text1" w:themeTint="A6"/>
          <w:sz w:val="21"/>
          <w:szCs w:val="21"/>
          <w:lang w:val="fr-FR"/>
        </w:rPr>
        <w:t xml:space="preserve">Dans le cadre de la lutte contre les conflits d’intérêts, en particulier afin d’éviter le mécanisme du tourniquet («revolving </w:t>
      </w:r>
      <w:proofErr w:type="spellStart"/>
      <w:r w:rsidRPr="006B32D6">
        <w:rPr>
          <w:rFonts w:ascii="Georgia" w:eastAsia="Calibri" w:hAnsi="Georgia" w:cstheme="minorHAnsi"/>
          <w:color w:val="595959" w:themeColor="text1" w:themeTint="A6"/>
          <w:sz w:val="21"/>
          <w:szCs w:val="21"/>
          <w:lang w:val="fr-FR"/>
        </w:rPr>
        <w:t>doors</w:t>
      </w:r>
      <w:proofErr w:type="spellEnd"/>
      <w:r w:rsidRPr="006B32D6">
        <w:rPr>
          <w:rFonts w:ascii="Georgia" w:eastAsia="Calibri" w:hAnsi="Georgia" w:cstheme="minorHAnsi"/>
          <w:color w:val="595959" w:themeColor="text1" w:themeTint="A6"/>
          <w:sz w:val="21"/>
          <w:szCs w:val="21"/>
          <w:lang w:val="fr-FR"/>
        </w:rPr>
        <w:t>»), tel que défini dans la loi du 8 mai 2007 portant assentiment à la convention des Nations Unies contre la corruption, faite à New York le 31 octobre 2003, le soumissionnaire s’abstient de faire appel à un ou plusieurs anciens collaborateurs (internes ou externes) d’Enabel, dans les deux ans qui suivent son/leur démission, départ à la retraite ou tout autre type de départ d’Enabel, d’une quelconque manière, directement ou indirectement, pour l’élaboration et/ou l’introduction de son offre ou toute autre intervention dans le cadre</w:t>
      </w:r>
      <w:r w:rsidR="00E1197D" w:rsidRPr="006B32D6">
        <w:rPr>
          <w:rFonts w:ascii="Georgia" w:eastAsia="Calibri" w:hAnsi="Georgia" w:cstheme="minorHAnsi"/>
          <w:color w:val="595959" w:themeColor="text1" w:themeTint="A6"/>
          <w:sz w:val="21"/>
          <w:szCs w:val="21"/>
          <w:lang w:val="fr-FR"/>
        </w:rPr>
        <w:t xml:space="preserve"> </w:t>
      </w:r>
      <w:r w:rsidRPr="006B32D6">
        <w:rPr>
          <w:rFonts w:ascii="Georgia" w:eastAsia="Calibri" w:hAnsi="Georgia" w:cstheme="minorHAnsi"/>
          <w:color w:val="595959" w:themeColor="text1" w:themeTint="A6"/>
          <w:sz w:val="21"/>
          <w:szCs w:val="21"/>
          <w:lang w:val="fr-FR"/>
        </w:rPr>
        <w:t>de la procédure de passation, ainsi que pour certaines tâches à réaliser dans le cadre de l’exécution du présent marché.</w:t>
      </w:r>
    </w:p>
    <w:p w14:paraId="10D64529" w14:textId="77777777" w:rsidR="00A04626" w:rsidRPr="006B32D6" w:rsidRDefault="00A04626" w:rsidP="00A04626">
      <w:pPr>
        <w:pStyle w:val="BTCtextCTB"/>
        <w:rPr>
          <w:rFonts w:ascii="Georgia" w:eastAsia="Calibri" w:hAnsi="Georgia" w:cstheme="minorHAnsi"/>
          <w:color w:val="595959" w:themeColor="text1" w:themeTint="A6"/>
          <w:sz w:val="21"/>
          <w:szCs w:val="21"/>
          <w:lang w:val="fr-FR"/>
        </w:rPr>
      </w:pPr>
      <w:r w:rsidRPr="006B32D6">
        <w:rPr>
          <w:rFonts w:ascii="Georgia" w:eastAsia="Calibri" w:hAnsi="Georgia" w:cstheme="minorHAnsi"/>
          <w:color w:val="595959" w:themeColor="text1" w:themeTint="A6"/>
          <w:sz w:val="21"/>
          <w:szCs w:val="21"/>
          <w:lang w:val="fr-FR"/>
        </w:rPr>
        <w:t>La disposition qui précède ne s’applique toutefois que lorsqu’un lien direct existe entre les précédentes activités prestées pour le pouvoir adjudicateur par la ou les personnes concernées et ses/leurs activités dans le cadre du présent marché.</w:t>
      </w:r>
    </w:p>
    <w:p w14:paraId="5DFCD50E" w14:textId="529154BA" w:rsidR="009804F1" w:rsidRPr="001A229B" w:rsidRDefault="00A04626" w:rsidP="009804F1">
      <w:pPr>
        <w:pStyle w:val="BTCtextCTB"/>
        <w:rPr>
          <w:rFonts w:ascii="Georgia" w:eastAsia="Calibri" w:hAnsi="Georgia" w:cstheme="minorHAnsi"/>
          <w:color w:val="595959" w:themeColor="text1" w:themeTint="A6"/>
          <w:sz w:val="21"/>
          <w:szCs w:val="21"/>
          <w:lang w:val="fr-FR"/>
        </w:rPr>
      </w:pPr>
      <w:r w:rsidRPr="006B32D6">
        <w:rPr>
          <w:rFonts w:ascii="Georgia" w:eastAsia="Calibri" w:hAnsi="Georgia" w:cstheme="minorHAnsi"/>
          <w:color w:val="595959" w:themeColor="text1" w:themeTint="A6"/>
          <w:sz w:val="21"/>
          <w:szCs w:val="21"/>
          <w:lang w:val="fr-FR"/>
        </w:rPr>
        <w:t>Toute infraction à cette mesure pouvant être de nature à fausser les conditions normales de la concurrence est passible d’une sanction conformément aux dispositions de l’article 5 de la loi du 17 juin 2016 relative aux marchés publics et à certains marchés de travaux, de fournitures et de services. Concrètement, cette sanction consiste, selon le cas, soit à écarter l’offre, soit à résilier le marché.</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97" w:name="_Toc503965208"/>
      <w:r w:rsidRPr="00335743">
        <w:t>Critères de sélection</w:t>
      </w:r>
      <w:bookmarkEnd w:id="97"/>
    </w:p>
    <w:p w14:paraId="5765FD7F" w14:textId="2C6C455A" w:rsidR="009804F1" w:rsidRPr="001A229B" w:rsidRDefault="009804F1" w:rsidP="001A229B">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8" w:name="_Toc503965209"/>
      <w:r>
        <w:t>Aperçu de la procédure</w:t>
      </w:r>
      <w:bookmarkEnd w:id="98"/>
    </w:p>
    <w:p w14:paraId="6BDC41F5"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E6EE7DE" w14:textId="77777777" w:rsidR="001A229B" w:rsidRDefault="001A229B" w:rsidP="001A229B">
      <w:pPr>
        <w:pStyle w:val="BTCtextCTB"/>
        <w:rPr>
          <w:rFonts w:ascii="Georgia" w:eastAsia="Calibri" w:hAnsi="Georgia" w:cstheme="minorHAnsi"/>
          <w:color w:val="585756"/>
          <w:sz w:val="21"/>
          <w:szCs w:val="21"/>
        </w:rPr>
      </w:pPr>
      <w:r w:rsidRPr="006B32D6">
        <w:rPr>
          <w:rFonts w:ascii="Georgia" w:eastAsia="Calibri" w:hAnsi="Georgia" w:cstheme="minorHAnsi"/>
          <w:color w:val="585756"/>
          <w:sz w:val="21"/>
          <w:szCs w:val="21"/>
        </w:rPr>
        <w:t xml:space="preserve">Les offres régulières seront examinées par le comité d’évaluation. </w:t>
      </w:r>
    </w:p>
    <w:p w14:paraId="4EFC2BCD" w14:textId="38CB0AF6" w:rsidR="001A229B" w:rsidRPr="006B32D6" w:rsidRDefault="001A229B" w:rsidP="001A229B">
      <w:pPr>
        <w:pStyle w:val="BTCtextCTB"/>
        <w:rPr>
          <w:rFonts w:ascii="Georgia" w:eastAsia="Calibri" w:hAnsi="Georgia" w:cstheme="minorHAnsi"/>
          <w:color w:val="585756"/>
          <w:sz w:val="21"/>
          <w:szCs w:val="21"/>
        </w:rPr>
      </w:pPr>
      <w:r w:rsidRPr="006B32D6">
        <w:rPr>
          <w:rFonts w:ascii="Georgia" w:eastAsia="Calibri" w:hAnsi="Georgia" w:cstheme="minorHAnsi"/>
          <w:color w:val="585756"/>
          <w:sz w:val="21"/>
          <w:szCs w:val="21"/>
        </w:rPr>
        <w:t>Le pouvoir adjudicateur limitera le nombre d’offres à négocier en appliquant les critères d’attribution précisés dans les documents du marché.  Cet examen sera réalisé sur la base des critères d</w:t>
      </w:r>
      <w:r w:rsidR="00E1197D">
        <w:rPr>
          <w:rFonts w:ascii="Georgia" w:eastAsia="Calibri" w:hAnsi="Georgia" w:cstheme="minorHAnsi"/>
          <w:color w:val="585756"/>
          <w:sz w:val="21"/>
          <w:szCs w:val="21"/>
        </w:rPr>
        <w:t>’</w:t>
      </w:r>
      <w:r w:rsidRPr="006B32D6">
        <w:rPr>
          <w:rFonts w:ascii="Georgia" w:eastAsia="Calibri" w:hAnsi="Georgia" w:cstheme="minorHAnsi"/>
          <w:color w:val="585756"/>
          <w:sz w:val="21"/>
          <w:szCs w:val="21"/>
        </w:rPr>
        <w:t xml:space="preserve">attribution mentionnés dans le présent cahier spécial des charges et a pour but de composer une shortlist de soumissionnaires avec lesquels des négociations seront menées.  Maximum trois (3) soumissionnaires pourront être repris dans la shortlist. </w:t>
      </w:r>
    </w:p>
    <w:p w14:paraId="3B292759" w14:textId="77777777" w:rsidR="001A229B" w:rsidRPr="006B32D6" w:rsidRDefault="001A229B" w:rsidP="001A229B">
      <w:pPr>
        <w:pStyle w:val="BTCtextCTB"/>
        <w:rPr>
          <w:rFonts w:ascii="Georgia" w:eastAsia="Calibri" w:hAnsi="Georgia" w:cstheme="minorHAnsi"/>
          <w:color w:val="585756"/>
          <w:sz w:val="21"/>
          <w:szCs w:val="21"/>
        </w:rPr>
      </w:pPr>
      <w:r w:rsidRPr="006B32D6">
        <w:rPr>
          <w:rFonts w:ascii="Georgia" w:eastAsia="Calibri" w:hAnsi="Georgia" w:cstheme="minorHAnsi"/>
          <w:color w:val="585756"/>
          <w:sz w:val="21"/>
          <w:szCs w:val="21"/>
        </w:rPr>
        <w:t>Ensuite vient la phase des négociations. Le pouvoir adjudicateur peut négocier avec les soumissionnaires des offres initiales et toutes les offres ultérieures que ceux-ci ont présentées, à</w:t>
      </w:r>
      <w:r w:rsidRPr="006B32D6">
        <w:rPr>
          <w:rFonts w:ascii="Georgia" w:hAnsi="Georgia" w:cstheme="minorHAnsi"/>
          <w:sz w:val="21"/>
          <w:szCs w:val="21"/>
        </w:rPr>
        <w:t xml:space="preserve"> </w:t>
      </w:r>
      <w:r w:rsidRPr="006B32D6">
        <w:rPr>
          <w:rFonts w:ascii="Georgia" w:eastAsia="Calibri" w:hAnsi="Georgia" w:cstheme="minorHAnsi"/>
          <w:color w:val="585756"/>
          <w:sz w:val="21"/>
          <w:szCs w:val="21"/>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34D74CF0" w14:textId="77777777" w:rsidR="001A229B" w:rsidRPr="006B32D6" w:rsidRDefault="001A229B" w:rsidP="001A229B">
      <w:pPr>
        <w:pStyle w:val="BTCtextCTB"/>
        <w:rPr>
          <w:rFonts w:ascii="Georgia" w:eastAsia="Calibri" w:hAnsi="Georgia" w:cstheme="minorHAnsi"/>
          <w:color w:val="585756"/>
          <w:sz w:val="21"/>
          <w:szCs w:val="21"/>
        </w:rPr>
      </w:pPr>
      <w:r w:rsidRPr="006B32D6">
        <w:rPr>
          <w:rFonts w:ascii="Georgia" w:eastAsia="Calibri" w:hAnsi="Georgia" w:cstheme="minorHAnsi"/>
          <w:color w:val="585756"/>
          <w:sz w:val="21"/>
          <w:szCs w:val="21"/>
        </w:rPr>
        <w:t xml:space="preserve">Lorsque le pouvoir adjudicateur entend conclure les négociations, il en informera les soumissionnaires restant en lice et fixera une date limite commune pour la présentation d’éventuelles Best and Final </w:t>
      </w:r>
      <w:proofErr w:type="spellStart"/>
      <w:r w:rsidRPr="006B32D6">
        <w:rPr>
          <w:rFonts w:ascii="Georgia" w:eastAsia="Calibri" w:hAnsi="Georgia" w:cstheme="minorHAnsi"/>
          <w:color w:val="585756"/>
          <w:sz w:val="21"/>
          <w:szCs w:val="21"/>
        </w:rPr>
        <w:t>Offer</w:t>
      </w:r>
      <w:proofErr w:type="spellEnd"/>
      <w:r w:rsidRPr="006B32D6">
        <w:rPr>
          <w:rFonts w:ascii="Georgia" w:eastAsia="Calibri" w:hAnsi="Georgia" w:cstheme="minorHAnsi"/>
          <w:color w:val="585756"/>
          <w:sz w:val="21"/>
          <w:szCs w:val="21"/>
        </w:rPr>
        <w:t xml:space="preserve">, BAFO. </w:t>
      </w:r>
      <w:bookmarkStart w:id="99" w:name="_Hlk108071235"/>
    </w:p>
    <w:bookmarkEnd w:id="99"/>
    <w:p w14:paraId="42AF513A" w14:textId="77777777" w:rsidR="001A229B" w:rsidRPr="006B32D6" w:rsidRDefault="001A229B" w:rsidP="001A229B">
      <w:pPr>
        <w:pStyle w:val="BTCtextCTB"/>
        <w:rPr>
          <w:rFonts w:ascii="Georgia" w:eastAsia="Calibri" w:hAnsi="Georgia" w:cstheme="minorHAnsi"/>
          <w:color w:val="585756"/>
          <w:sz w:val="21"/>
          <w:szCs w:val="21"/>
        </w:rPr>
      </w:pPr>
      <w:r w:rsidRPr="006B32D6">
        <w:rPr>
          <w:rFonts w:ascii="Georgia" w:eastAsia="Calibri" w:hAnsi="Georgia" w:cstheme="minorHAnsi"/>
          <w:color w:val="585756"/>
          <w:sz w:val="21"/>
          <w:szCs w:val="21"/>
        </w:rPr>
        <w:t>Le pouvoir adjudicateur se réserve le droit de revoir la procédure énoncée ci-dessus dans le respect du principe d’égalité de traitement et de transparence.</w:t>
      </w:r>
    </w:p>
    <w:p w14:paraId="4D123806" w14:textId="77777777" w:rsidR="001A229B" w:rsidRPr="006B32D6" w:rsidRDefault="001A229B" w:rsidP="001A229B">
      <w:pPr>
        <w:pStyle w:val="BTCtextCTB"/>
        <w:rPr>
          <w:rFonts w:ascii="Georgia" w:eastAsia="Calibri" w:hAnsi="Georgia" w:cstheme="minorHAnsi"/>
          <w:color w:val="585756"/>
          <w:sz w:val="21"/>
          <w:szCs w:val="21"/>
        </w:rPr>
      </w:pPr>
    </w:p>
    <w:p w14:paraId="2B68AC25" w14:textId="77777777" w:rsidR="001A229B" w:rsidRPr="008C4A21" w:rsidRDefault="001A229B" w:rsidP="008C4A21">
      <w:pPr>
        <w:pStyle w:val="BTCtextCTB"/>
        <w:rPr>
          <w:rFonts w:ascii="Georgia" w:eastAsia="Calibri" w:hAnsi="Georgia"/>
          <w:color w:val="585756"/>
          <w:sz w:val="21"/>
          <w:szCs w:val="22"/>
        </w:rPr>
      </w:pPr>
    </w:p>
    <w:p w14:paraId="115AA458" w14:textId="77777777" w:rsidR="009804F1" w:rsidRDefault="009804F1" w:rsidP="009804F1">
      <w:pPr>
        <w:pStyle w:val="Corpsdetexte"/>
      </w:pP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0" w:name="_Toc503965210"/>
      <w:r w:rsidRPr="0051154E">
        <w:t>Critères d’attribution ♣</w:t>
      </w:r>
      <w:bookmarkEnd w:id="100"/>
    </w:p>
    <w:p w14:paraId="338A15AC" w14:textId="60704D71" w:rsidR="009804F1"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374DCD" w:rsidRPr="00C33BE2">
        <w:rPr>
          <w:rFonts w:ascii="Georgia" w:eastAsia="Calibri" w:hAnsi="Georgia" w:cs="Times New Roman"/>
          <w:color w:val="585756"/>
          <w:kern w:val="0"/>
          <w:sz w:val="21"/>
          <w:szCs w:val="22"/>
          <w:lang w:val="fr-BE"/>
        </w:rPr>
        <w:t>suivants</w:t>
      </w:r>
      <w:r w:rsidR="00E1197D">
        <w:rPr>
          <w:rFonts w:ascii="Georgia" w:eastAsia="Calibri" w:hAnsi="Georgia" w:cs="Times New Roman"/>
          <w:color w:val="585756"/>
          <w:kern w:val="0"/>
          <w:sz w:val="21"/>
          <w:szCs w:val="22"/>
          <w:lang w:val="fr-BE"/>
        </w:rPr>
        <w:t> </w:t>
      </w:r>
      <w:r w:rsidR="00374DCD" w:rsidRPr="00C33BE2">
        <w:rPr>
          <w:rFonts w:ascii="Georgia" w:eastAsia="Calibri" w:hAnsi="Georgia" w:cs="Times New Roman"/>
          <w:color w:val="585756"/>
          <w:kern w:val="0"/>
          <w:sz w:val="21"/>
          <w:szCs w:val="22"/>
          <w:lang w:val="fr-BE"/>
        </w:rPr>
        <w:t>:</w:t>
      </w:r>
    </w:p>
    <w:p w14:paraId="56BD41D8" w14:textId="4F57CC3B" w:rsidR="00374DCD" w:rsidRDefault="00374DCD">
      <w:pPr>
        <w:pStyle w:val="Corpsdetexte"/>
        <w:numPr>
          <w:ilvl w:val="0"/>
          <w:numId w:val="2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Offre financière</w:t>
      </w:r>
      <w:r w:rsidR="00E1197D">
        <w:rPr>
          <w:rFonts w:ascii="Georgia" w:eastAsia="Calibri" w:hAnsi="Georgia" w:cs="Times New Roman"/>
          <w:color w:val="585756"/>
          <w:kern w:val="0"/>
          <w:sz w:val="21"/>
          <w:szCs w:val="22"/>
          <w:lang w:val="fr-BE"/>
        </w:rPr>
        <w:t> </w:t>
      </w:r>
      <w:r>
        <w:rPr>
          <w:rFonts w:ascii="Georgia" w:eastAsia="Calibri" w:hAnsi="Georgia" w:cs="Times New Roman"/>
          <w:color w:val="585756"/>
          <w:kern w:val="0"/>
          <w:sz w:val="21"/>
          <w:szCs w:val="22"/>
          <w:lang w:val="fr-BE"/>
        </w:rPr>
        <w:t>: 30 %</w:t>
      </w:r>
    </w:p>
    <w:p w14:paraId="69525A44" w14:textId="7642C7A6" w:rsidR="00374DCD" w:rsidRDefault="00374DCD">
      <w:pPr>
        <w:pStyle w:val="Corpsdetexte"/>
        <w:numPr>
          <w:ilvl w:val="0"/>
          <w:numId w:val="2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Profil de l’expert</w:t>
      </w:r>
      <w:r w:rsidR="00E1197D">
        <w:rPr>
          <w:rFonts w:ascii="Georgia" w:eastAsia="Calibri" w:hAnsi="Georgia" w:cs="Times New Roman"/>
          <w:color w:val="585756"/>
          <w:kern w:val="0"/>
          <w:sz w:val="21"/>
          <w:szCs w:val="22"/>
          <w:lang w:val="fr-BE"/>
        </w:rPr>
        <w:t> </w:t>
      </w:r>
      <w:r>
        <w:rPr>
          <w:rFonts w:ascii="Georgia" w:eastAsia="Calibri" w:hAnsi="Georgia" w:cs="Times New Roman"/>
          <w:color w:val="585756"/>
          <w:kern w:val="0"/>
          <w:sz w:val="21"/>
          <w:szCs w:val="22"/>
          <w:lang w:val="fr-BE"/>
        </w:rPr>
        <w:t xml:space="preserve">: 70 </w:t>
      </w:r>
      <w:r w:rsidR="00E1197D">
        <w:rPr>
          <w:rFonts w:ascii="Georgia" w:eastAsia="Calibri" w:hAnsi="Georgia" w:cs="Times New Roman"/>
          <w:color w:val="585756"/>
          <w:kern w:val="0"/>
          <w:sz w:val="21"/>
          <w:szCs w:val="22"/>
          <w:lang w:val="fr-BE"/>
        </w:rPr>
        <w:t>%</w:t>
      </w:r>
    </w:p>
    <w:p w14:paraId="6863D434" w14:textId="665F3FEE" w:rsidR="00374DCD" w:rsidRPr="00374DCD" w:rsidRDefault="00374DCD">
      <w:pPr>
        <w:pStyle w:val="Paragraphedeliste"/>
        <w:widowControl w:val="0"/>
        <w:numPr>
          <w:ilvl w:val="0"/>
          <w:numId w:val="26"/>
        </w:numPr>
        <w:suppressAutoHyphens/>
        <w:spacing w:before="120" w:after="40"/>
        <w:jc w:val="both"/>
        <w:rPr>
          <w:rFonts w:cs="Arial"/>
          <w:sz w:val="22"/>
        </w:rPr>
      </w:pPr>
      <w:r w:rsidRPr="00374DCD">
        <w:rPr>
          <w:rFonts w:cs="Arial"/>
          <w:bCs/>
          <w:sz w:val="22"/>
        </w:rPr>
        <w:t xml:space="preserve">Titulaire(s) d’un diplôme d’études supérieures en lien avec la </w:t>
      </w:r>
      <w:r w:rsidR="00E1197D">
        <w:rPr>
          <w:rFonts w:cs="Arial"/>
          <w:bCs/>
          <w:sz w:val="22"/>
        </w:rPr>
        <w:t xml:space="preserve">gouvernance, le développement rural, le développement territorial et local, l’appui institutionnel, la participation citoyenne, </w:t>
      </w:r>
      <w:r w:rsidRPr="00374DCD">
        <w:rPr>
          <w:rFonts w:cs="Arial"/>
          <w:bCs/>
          <w:sz w:val="22"/>
        </w:rPr>
        <w:t xml:space="preserve">la gestion des ressources naturelles (niveau Master) : </w:t>
      </w:r>
      <w:r w:rsidRPr="00374DCD">
        <w:rPr>
          <w:rFonts w:cs="Arial"/>
          <w:b/>
          <w:sz w:val="22"/>
        </w:rPr>
        <w:t>10 points</w:t>
      </w:r>
      <w:r w:rsidRPr="00374DCD">
        <w:rPr>
          <w:rFonts w:cs="Arial"/>
          <w:bCs/>
          <w:sz w:val="22"/>
        </w:rPr>
        <w:t> ;</w:t>
      </w:r>
    </w:p>
    <w:p w14:paraId="544EAB7C" w14:textId="55330F31" w:rsidR="00374DCD" w:rsidRPr="00374DCD" w:rsidRDefault="00374DCD">
      <w:pPr>
        <w:pStyle w:val="Paragraphedeliste"/>
        <w:widowControl w:val="0"/>
        <w:numPr>
          <w:ilvl w:val="0"/>
          <w:numId w:val="26"/>
        </w:numPr>
        <w:suppressAutoHyphens/>
        <w:spacing w:before="120" w:after="40"/>
        <w:jc w:val="both"/>
        <w:rPr>
          <w:rFonts w:cs="Arial"/>
          <w:sz w:val="22"/>
        </w:rPr>
      </w:pPr>
      <w:r w:rsidRPr="00374DCD">
        <w:rPr>
          <w:rFonts w:cs="Arial"/>
          <w:sz w:val="22"/>
        </w:rPr>
        <w:t xml:space="preserve">Expertise confirmée dans </w:t>
      </w:r>
      <w:r w:rsidR="00E1197D">
        <w:rPr>
          <w:rFonts w:cs="Arial"/>
          <w:sz w:val="22"/>
        </w:rPr>
        <w:t xml:space="preserve">l’appui à la gouvernance locale, le développement territorial/local, la participation/mobilisation/concertation citoyenne, le développement de réseaux locaux, et l’appui institutionnel, de préférence en Afrique Centrale et en zone tropicale </w:t>
      </w:r>
      <w:r w:rsidRPr="00374DCD">
        <w:rPr>
          <w:rFonts w:cs="Arial"/>
          <w:sz w:val="22"/>
        </w:rPr>
        <w:t xml:space="preserve">: </w:t>
      </w:r>
      <w:r w:rsidR="00E1197D">
        <w:rPr>
          <w:rFonts w:cs="Arial"/>
          <w:b/>
          <w:bCs/>
          <w:sz w:val="22"/>
        </w:rPr>
        <w:t>3</w:t>
      </w:r>
      <w:r w:rsidRPr="00374DCD">
        <w:rPr>
          <w:rFonts w:cs="Arial"/>
          <w:b/>
          <w:bCs/>
          <w:sz w:val="22"/>
        </w:rPr>
        <w:t>0 points ;</w:t>
      </w:r>
    </w:p>
    <w:p w14:paraId="52C0B91A" w14:textId="77777777" w:rsidR="00374DCD" w:rsidRDefault="00374DCD">
      <w:pPr>
        <w:pStyle w:val="Paragraphedeliste"/>
        <w:widowControl w:val="0"/>
        <w:numPr>
          <w:ilvl w:val="0"/>
          <w:numId w:val="26"/>
        </w:numPr>
        <w:suppressAutoHyphens/>
        <w:spacing w:before="120" w:after="40"/>
        <w:jc w:val="both"/>
        <w:rPr>
          <w:rFonts w:cs="Arial"/>
          <w:sz w:val="22"/>
        </w:rPr>
      </w:pPr>
      <w:r w:rsidRPr="00374DCD">
        <w:rPr>
          <w:rFonts w:cs="Arial"/>
          <w:sz w:val="22"/>
        </w:rPr>
        <w:t xml:space="preserve">Expérience générale dans les différentes phases du cycle de projet de développement (identification, formulation, l’accompagnement de la mise en œuvre et /ou l’évaluation de projets) : </w:t>
      </w:r>
      <w:r w:rsidRPr="00374DCD">
        <w:rPr>
          <w:rFonts w:cs="Arial"/>
          <w:b/>
          <w:bCs/>
          <w:sz w:val="22"/>
        </w:rPr>
        <w:t>10 ponts</w:t>
      </w:r>
      <w:r w:rsidRPr="00374DCD">
        <w:rPr>
          <w:rFonts w:cs="Arial"/>
          <w:sz w:val="22"/>
        </w:rPr>
        <w:t xml:space="preserve"> ;</w:t>
      </w:r>
    </w:p>
    <w:p w14:paraId="6A0A5947" w14:textId="762F60AE" w:rsidR="00374DCD" w:rsidRPr="00374DCD" w:rsidRDefault="00374DCD">
      <w:pPr>
        <w:pStyle w:val="Paragraphedeliste"/>
        <w:widowControl w:val="0"/>
        <w:numPr>
          <w:ilvl w:val="0"/>
          <w:numId w:val="26"/>
        </w:numPr>
        <w:suppressAutoHyphens/>
        <w:spacing w:before="120" w:after="40"/>
        <w:jc w:val="both"/>
        <w:rPr>
          <w:rFonts w:cs="Arial"/>
          <w:sz w:val="22"/>
        </w:rPr>
      </w:pPr>
      <w:r w:rsidRPr="00374DCD">
        <w:rPr>
          <w:rFonts w:cs="Arial"/>
          <w:sz w:val="22"/>
        </w:rPr>
        <w:t>Connaissance théorique et pratique (expérience) du dispositif REDD+</w:t>
      </w:r>
      <w:r w:rsidR="00E72293">
        <w:rPr>
          <w:rFonts w:cs="Arial"/>
          <w:sz w:val="22"/>
        </w:rPr>
        <w:t xml:space="preserve"> et des dynamiques institutionnelles et communautaires</w:t>
      </w:r>
      <w:r w:rsidRPr="00374DCD">
        <w:rPr>
          <w:rFonts w:cs="Arial"/>
          <w:sz w:val="22"/>
        </w:rPr>
        <w:t>, si possible au niveau de l’Afrique centrale et de la RDC en particulier </w:t>
      </w:r>
      <w:r w:rsidRPr="00374DCD">
        <w:rPr>
          <w:rFonts w:cs="Arial"/>
          <w:b/>
          <w:bCs/>
          <w:sz w:val="22"/>
        </w:rPr>
        <w:t>(10 points) ;</w:t>
      </w:r>
    </w:p>
    <w:p w14:paraId="01788A8E" w14:textId="19D46DCF" w:rsidR="009804F1" w:rsidRPr="00B33F78" w:rsidRDefault="00374DCD">
      <w:pPr>
        <w:pStyle w:val="Paragraphedeliste"/>
        <w:widowControl w:val="0"/>
        <w:numPr>
          <w:ilvl w:val="0"/>
          <w:numId w:val="26"/>
        </w:numPr>
        <w:suppressAutoHyphens/>
        <w:spacing w:before="120" w:after="40"/>
        <w:jc w:val="both"/>
        <w:rPr>
          <w:rFonts w:cs="Arial"/>
          <w:sz w:val="22"/>
        </w:rPr>
      </w:pPr>
      <w:r w:rsidRPr="00374DCD">
        <w:rPr>
          <w:rFonts w:cs="Arial"/>
          <w:sz w:val="22"/>
        </w:rPr>
        <w:t xml:space="preserve">Connaissances des approches de développement local, </w:t>
      </w:r>
      <w:r w:rsidR="00E72293">
        <w:rPr>
          <w:rFonts w:cs="Arial"/>
          <w:sz w:val="22"/>
        </w:rPr>
        <w:t xml:space="preserve">d’approche territoriale, et </w:t>
      </w:r>
      <w:r w:rsidRPr="00374DCD">
        <w:rPr>
          <w:rFonts w:cs="Arial"/>
          <w:sz w:val="22"/>
        </w:rPr>
        <w:t xml:space="preserve">d’aménagement du territoire </w:t>
      </w:r>
      <w:r w:rsidRPr="00374DCD">
        <w:rPr>
          <w:rFonts w:cs="Arial"/>
          <w:b/>
          <w:bCs/>
          <w:sz w:val="22"/>
        </w:rPr>
        <w:t>(10 points).</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503965211"/>
      <w:r w:rsidRPr="00D707B6">
        <w:t>Cotation finale</w:t>
      </w:r>
      <w:bookmarkEnd w:id="101"/>
    </w:p>
    <w:p w14:paraId="056F38D3" w14:textId="5E71A633" w:rsidR="009804F1" w:rsidRPr="008706E2"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257039853"/>
      <w:bookmarkStart w:id="103" w:name="_Toc503965212"/>
      <w:r>
        <w:t>Attribution du marché</w:t>
      </w:r>
      <w:bookmarkEnd w:id="102"/>
      <w:bookmarkEnd w:id="103"/>
    </w:p>
    <w:p w14:paraId="21ECC8D0" w14:textId="2DEC487F"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w:t>
      </w:r>
      <w:r w:rsidR="00B33F78">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marché sera attribué</w:t>
      </w:r>
      <w:r w:rsidR="00B33F78">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 xml:space="preserve">au soumissionnaire qui a remis l’offre régulière économiquement la plus </w:t>
      </w:r>
      <w:r w:rsidR="00B33F78" w:rsidRPr="00C33BE2">
        <w:rPr>
          <w:rFonts w:ascii="Georgia" w:eastAsia="DejaVu Sans" w:hAnsi="Georgia" w:cs="Tahoma"/>
          <w:color w:val="404040" w:themeColor="text1" w:themeTint="BF"/>
          <w:kern w:val="18"/>
          <w:sz w:val="21"/>
          <w:szCs w:val="21"/>
          <w:lang w:val="fr-FR"/>
        </w:rPr>
        <w:t>avantageuse.</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342233F4" w14:textId="6260A829" w:rsidR="009804F1" w:rsidRPr="00D46D27" w:rsidRDefault="009804F1" w:rsidP="009804F1">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04" w:name="_Toc257039854"/>
      <w:bookmarkStart w:id="105" w:name="_Toc366161168"/>
      <w:bookmarkStart w:id="106" w:name="_Toc503965213"/>
      <w:r>
        <w:t xml:space="preserve">Conclusion du </w:t>
      </w:r>
      <w:proofErr w:type="spellStart"/>
      <w:r>
        <w:t>contrat</w:t>
      </w:r>
      <w:bookmarkEnd w:id="104"/>
      <w:bookmarkEnd w:id="105"/>
      <w:bookmarkEnd w:id="106"/>
      <w:proofErr w:type="spellEnd"/>
    </w:p>
    <w:p w14:paraId="1F2FE771" w14:textId="396F1544"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w:t>
      </w:r>
      <w:r w:rsidR="00D46D27" w:rsidRPr="00C33BE2">
        <w:rPr>
          <w:rFonts w:ascii="Georgia" w:eastAsia="DejaVu Sans" w:hAnsi="Georgia" w:cs="Tahoma"/>
          <w:color w:val="404040" w:themeColor="text1" w:themeTint="BF"/>
          <w:kern w:val="18"/>
          <w:sz w:val="21"/>
          <w:szCs w:val="21"/>
          <w:lang w:val="fr-FR"/>
        </w:rPr>
        <w:t>88 de</w:t>
      </w:r>
      <w:r w:rsidRPr="00C33BE2">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lastRenderedPageBreak/>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6854FB13" w:rsidR="009804F1" w:rsidRPr="00C33BE2" w:rsidRDefault="009804F1">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w:t>
      </w:r>
      <w:r w:rsidR="00D46D27">
        <w:rPr>
          <w:rFonts w:ascii="Georgia" w:hAnsi="Georgia"/>
          <w:color w:val="404040" w:themeColor="text1" w:themeTint="BF"/>
          <w:sz w:val="21"/>
          <w:szCs w:val="21"/>
          <w:lang w:val="fr-FR"/>
        </w:rPr>
        <w:t>’offre</w:t>
      </w:r>
      <w:r w:rsidRPr="00C33BE2">
        <w:rPr>
          <w:rFonts w:ascii="Georgia" w:hAnsi="Georgia"/>
          <w:color w:val="404040" w:themeColor="text1" w:themeTint="BF"/>
          <w:sz w:val="21"/>
          <w:szCs w:val="21"/>
          <w:lang w:val="fr-FR"/>
        </w:rPr>
        <w:t xml:space="preserve"> approuvée de l’adjudicataire et toutes ses annexes ;</w:t>
      </w:r>
    </w:p>
    <w:p w14:paraId="6927D27C" w14:textId="77777777" w:rsidR="009804F1" w:rsidRPr="00C33BE2" w:rsidRDefault="009804F1">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24130235"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D46D27" w:rsidRPr="0083528E">
        <w:rPr>
          <w:rFonts w:ascii="Georgia" w:hAnsi="Georgia"/>
          <w:color w:val="404040" w:themeColor="text1" w:themeTint="BF"/>
          <w:sz w:val="21"/>
          <w:szCs w:val="21"/>
          <w:lang w:val="fr-FR"/>
        </w:rPr>
        <w:t>contrat, la</w:t>
      </w:r>
      <w:r w:rsidRPr="0083528E">
        <w:rPr>
          <w:rFonts w:ascii="Georgia" w:hAnsi="Georgia"/>
          <w:color w:val="404040" w:themeColor="text1" w:themeTint="BF"/>
          <w:sz w:val="21"/>
          <w:szCs w:val="21"/>
          <w:lang w:val="fr-FR"/>
        </w:rPr>
        <w:t xml:space="preserve"> nature et l'objet du </w:t>
      </w:r>
      <w:r w:rsidR="00D46D27" w:rsidRPr="0083528E">
        <w:rPr>
          <w:rFonts w:ascii="Georgia" w:hAnsi="Georgia"/>
          <w:color w:val="404040" w:themeColor="text1" w:themeTint="BF"/>
          <w:sz w:val="21"/>
          <w:szCs w:val="21"/>
          <w:lang w:val="fr-FR"/>
        </w:rPr>
        <w:t>contrat, son</w:t>
      </w:r>
      <w:r w:rsidRPr="0083528E">
        <w:rPr>
          <w:rFonts w:ascii="Georgia" w:hAnsi="Georgia"/>
          <w:color w:val="404040" w:themeColor="text1" w:themeTint="BF"/>
          <w:sz w:val="21"/>
          <w:szCs w:val="21"/>
          <w:lang w:val="fr-FR"/>
        </w:rPr>
        <w:t xml:space="preserve"> nom et localité, ainsi </w:t>
      </w:r>
      <w:r w:rsidR="00D46D27" w:rsidRPr="0083528E">
        <w:rPr>
          <w:rFonts w:ascii="Georgia" w:hAnsi="Georgia"/>
          <w:color w:val="404040" w:themeColor="text1" w:themeTint="BF"/>
          <w:sz w:val="21"/>
          <w:szCs w:val="21"/>
          <w:lang w:val="fr-FR"/>
        </w:rPr>
        <w:t>que le</w:t>
      </w:r>
      <w:r w:rsidRPr="0083528E">
        <w:rPr>
          <w:rFonts w:ascii="Georgia" w:hAnsi="Georgia"/>
          <w:color w:val="404040" w:themeColor="text1" w:themeTint="BF"/>
          <w:sz w:val="21"/>
          <w:szCs w:val="21"/>
          <w:lang w:val="fr-FR"/>
        </w:rPr>
        <w:t xml:space="preserve"> montant du contrat.</w:t>
      </w:r>
    </w:p>
    <w:p w14:paraId="48F5D7B1" w14:textId="09D5BCF2" w:rsidR="009804F1" w:rsidRDefault="005F2003" w:rsidP="009804F1">
      <w:pPr>
        <w:pStyle w:val="Corpsdetexte"/>
      </w:pPr>
      <w:r>
        <w:br w:type="page"/>
      </w:r>
    </w:p>
    <w:p w14:paraId="518509ED" w14:textId="50DB3D3D" w:rsidR="005F2003" w:rsidRDefault="005F2003" w:rsidP="00C72B94">
      <w:pPr>
        <w:pStyle w:val="Titre1"/>
        <w:numPr>
          <w:ilvl w:val="0"/>
          <w:numId w:val="5"/>
        </w:numPr>
      </w:pPr>
      <w:bookmarkStart w:id="107" w:name="_Toc503965214"/>
      <w:bookmarkEnd w:id="90"/>
      <w:bookmarkEnd w:id="91"/>
      <w:bookmarkEnd w:id="92"/>
      <w:bookmarkEnd w:id="93"/>
      <w:bookmarkEnd w:id="94"/>
      <w:r>
        <w:lastRenderedPageBreak/>
        <w:t xml:space="preserve">Dispositions contractuelles </w:t>
      </w:r>
      <w:proofErr w:type="spellStart"/>
      <w:r>
        <w:t>particulères</w:t>
      </w:r>
      <w:bookmarkEnd w:id="107"/>
      <w:proofErr w:type="spellEnd"/>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234FF73B" w:rsidR="005F2003"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Dans ce CSC, il</w:t>
      </w:r>
      <w:r w:rsidR="00D46D27">
        <w:rPr>
          <w:rFonts w:ascii="Georgia" w:eastAsia="DejaVu Sans" w:hAnsi="Georgia" w:cs="Tahoma"/>
          <w:color w:val="404040" w:themeColor="text1" w:themeTint="BF"/>
          <w:kern w:val="18"/>
          <w:sz w:val="21"/>
          <w:szCs w:val="21"/>
          <w:lang w:val="fr-FR"/>
        </w:rPr>
        <w:t xml:space="preserve"> </w:t>
      </w:r>
      <w:r w:rsidRPr="001C4E0F">
        <w:rPr>
          <w:rFonts w:ascii="Georgia" w:eastAsia="DejaVu Sans" w:hAnsi="Georgia" w:cs="Tahoma"/>
          <w:color w:val="404040" w:themeColor="text1" w:themeTint="BF"/>
          <w:kern w:val="18"/>
          <w:sz w:val="21"/>
          <w:szCs w:val="21"/>
          <w:lang w:val="fr-FR"/>
        </w:rPr>
        <w:t xml:space="preserve">est </w:t>
      </w:r>
      <w:r w:rsidR="00F338FE" w:rsidRPr="001C4E0F">
        <w:rPr>
          <w:rFonts w:ascii="Georgia" w:eastAsia="DejaVu Sans" w:hAnsi="Georgia" w:cs="Tahoma"/>
          <w:color w:val="404040" w:themeColor="text1" w:themeTint="BF"/>
          <w:kern w:val="18"/>
          <w:sz w:val="21"/>
          <w:szCs w:val="21"/>
          <w:lang w:val="fr-FR"/>
        </w:rPr>
        <w:t>dérogé à</w:t>
      </w:r>
      <w:r w:rsidRPr="001C4E0F">
        <w:rPr>
          <w:rFonts w:ascii="Georgia" w:eastAsia="DejaVu Sans" w:hAnsi="Georgia" w:cs="Tahoma"/>
          <w:color w:val="404040" w:themeColor="text1" w:themeTint="BF"/>
          <w:kern w:val="18"/>
          <w:sz w:val="21"/>
          <w:szCs w:val="21"/>
          <w:lang w:val="fr-FR"/>
        </w:rPr>
        <w:t xml:space="preserve"> l’article</w:t>
      </w:r>
      <w:r w:rsidR="00D46D27">
        <w:rPr>
          <w:rFonts w:ascii="Georgia" w:eastAsia="DejaVu Sans" w:hAnsi="Georgia" w:cs="Tahoma"/>
          <w:color w:val="404040" w:themeColor="text1" w:themeTint="BF"/>
          <w:kern w:val="18"/>
          <w:sz w:val="21"/>
          <w:szCs w:val="21"/>
          <w:lang w:val="fr-FR"/>
        </w:rPr>
        <w:t xml:space="preserve"> 26 </w:t>
      </w:r>
      <w:r w:rsidRPr="001C4E0F">
        <w:rPr>
          <w:rFonts w:ascii="Georgia" w:eastAsia="DejaVu Sans" w:hAnsi="Georgia" w:cs="Tahoma"/>
          <w:color w:val="404040" w:themeColor="text1" w:themeTint="BF"/>
          <w:kern w:val="18"/>
          <w:sz w:val="21"/>
          <w:szCs w:val="21"/>
          <w:lang w:val="fr-FR"/>
        </w:rPr>
        <w:t>des</w:t>
      </w:r>
      <w:r w:rsidR="00D46D27">
        <w:rPr>
          <w:rFonts w:ascii="Georgia" w:eastAsia="DejaVu Sans" w:hAnsi="Georgia" w:cs="Tahoma"/>
          <w:color w:val="404040" w:themeColor="text1" w:themeTint="BF"/>
          <w:kern w:val="18"/>
          <w:sz w:val="21"/>
          <w:szCs w:val="21"/>
          <w:lang w:val="fr-FR"/>
        </w:rPr>
        <w:t xml:space="preserve"> </w:t>
      </w:r>
      <w:r w:rsidRPr="001C4E0F">
        <w:rPr>
          <w:rFonts w:ascii="Georgia" w:eastAsia="DejaVu Sans" w:hAnsi="Georgia" w:cs="Tahoma"/>
          <w:color w:val="404040" w:themeColor="text1" w:themeTint="BF"/>
          <w:kern w:val="18"/>
          <w:sz w:val="21"/>
          <w:szCs w:val="21"/>
          <w:lang w:val="fr-FR"/>
        </w:rPr>
        <w:t>RGE.</w:t>
      </w:r>
    </w:p>
    <w:p w14:paraId="0C9BA1ED" w14:textId="77777777" w:rsidR="00F338FE" w:rsidRPr="001C4E0F" w:rsidRDefault="00F338FE" w:rsidP="005F2003">
      <w:pPr>
        <w:pStyle w:val="BTCtextCTB"/>
        <w:rPr>
          <w:rFonts w:ascii="Georgia" w:eastAsia="DejaVu Sans" w:hAnsi="Georgia" w:cs="Tahoma"/>
          <w:color w:val="404040" w:themeColor="text1" w:themeTint="BF"/>
          <w:kern w:val="18"/>
          <w:sz w:val="21"/>
          <w:szCs w:val="21"/>
          <w:lang w:val="fr-FR"/>
        </w:rPr>
      </w:pPr>
    </w:p>
    <w:p w14:paraId="20A48E8F" w14:textId="77777777" w:rsidR="005F2003" w:rsidRDefault="005F2003" w:rsidP="005F2003">
      <w:pPr>
        <w:pStyle w:val="Titre2"/>
        <w:keepLines w:val="0"/>
        <w:widowControl w:val="0"/>
        <w:tabs>
          <w:tab w:val="num" w:pos="576"/>
        </w:tabs>
        <w:suppressAutoHyphens/>
        <w:spacing w:after="240"/>
      </w:pPr>
      <w:bookmarkStart w:id="108" w:name="_Ref223946633"/>
      <w:bookmarkStart w:id="109" w:name="_Ref223946647"/>
      <w:bookmarkStart w:id="110" w:name="_Toc257380496"/>
      <w:bookmarkStart w:id="111" w:name="_Toc260134215"/>
      <w:bookmarkStart w:id="112" w:name="_Toc364253083"/>
      <w:bookmarkStart w:id="113" w:name="_Toc503965215"/>
      <w:r>
        <w:t>Fonctionnaire dirigeant</w:t>
      </w:r>
      <w:bookmarkEnd w:id="108"/>
      <w:bookmarkEnd w:id="109"/>
      <w:bookmarkEnd w:id="110"/>
      <w:bookmarkEnd w:id="111"/>
      <w:r>
        <w:t xml:space="preserve"> (art. 11)</w:t>
      </w:r>
      <w:bookmarkEnd w:id="112"/>
      <w:bookmarkEnd w:id="113"/>
    </w:p>
    <w:p w14:paraId="63FDC236" w14:textId="7852565D" w:rsidR="005F2003"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est</w:t>
      </w:r>
      <w:r w:rsidR="009B21BB">
        <w:rPr>
          <w:rFonts w:ascii="Georgia" w:hAnsi="Georgia"/>
          <w:color w:val="404040" w:themeColor="text1" w:themeTint="BF"/>
          <w:sz w:val="21"/>
          <w:szCs w:val="21"/>
        </w:rPr>
        <w:t> :</w:t>
      </w:r>
    </w:p>
    <w:p w14:paraId="589541DA" w14:textId="77777777" w:rsidR="009B21BB" w:rsidRPr="006B32D6" w:rsidRDefault="009B21BB" w:rsidP="009B21BB">
      <w:pPr>
        <w:pStyle w:val="Corpsdetexte"/>
        <w:spacing w:after="0"/>
        <w:jc w:val="center"/>
        <w:rPr>
          <w:rFonts w:ascii="Georgia" w:hAnsi="Georgia" w:cstheme="minorHAnsi"/>
          <w:sz w:val="21"/>
          <w:szCs w:val="21"/>
        </w:rPr>
      </w:pPr>
      <w:r w:rsidRPr="006B32D6">
        <w:rPr>
          <w:rFonts w:ascii="Georgia" w:hAnsi="Georgia" w:cstheme="minorHAnsi"/>
          <w:b/>
          <w:bCs/>
          <w:sz w:val="21"/>
          <w:szCs w:val="21"/>
        </w:rPr>
        <w:t>Mr. CYTRYN Stéphane</w:t>
      </w:r>
      <w:r w:rsidRPr="006B32D6">
        <w:rPr>
          <w:rFonts w:ascii="Georgia" w:hAnsi="Georgia" w:cstheme="minorHAnsi"/>
          <w:sz w:val="21"/>
          <w:szCs w:val="21"/>
        </w:rPr>
        <w:t>,</w:t>
      </w:r>
    </w:p>
    <w:p w14:paraId="710C3C8E" w14:textId="77777777" w:rsidR="009B21BB" w:rsidRPr="006B32D6" w:rsidRDefault="009B21BB" w:rsidP="009B21BB">
      <w:pPr>
        <w:pStyle w:val="Corpsdetexte"/>
        <w:spacing w:after="0"/>
        <w:rPr>
          <w:rFonts w:ascii="Georgia" w:hAnsi="Georgia" w:cstheme="minorHAnsi"/>
          <w:sz w:val="21"/>
          <w:szCs w:val="21"/>
        </w:rPr>
      </w:pPr>
      <w:r w:rsidRPr="006B32D6">
        <w:rPr>
          <w:rFonts w:ascii="Georgia" w:hAnsi="Georgia" w:cstheme="minorHAnsi"/>
          <w:sz w:val="21"/>
          <w:szCs w:val="21"/>
        </w:rPr>
        <w:t xml:space="preserve">                                                Intervention Manager, Projet PIREDD MO</w:t>
      </w:r>
    </w:p>
    <w:p w14:paraId="7D7C1728" w14:textId="77777777" w:rsidR="009B21BB" w:rsidRPr="006B32D6" w:rsidRDefault="009B21BB" w:rsidP="009B21BB">
      <w:pPr>
        <w:pStyle w:val="Corpsdetexte"/>
        <w:rPr>
          <w:rFonts w:ascii="Georgia" w:hAnsi="Georgia"/>
          <w:color w:val="404040" w:themeColor="text1" w:themeTint="BF"/>
          <w:sz w:val="21"/>
          <w:szCs w:val="21"/>
        </w:rPr>
      </w:pPr>
      <w:r w:rsidRPr="006B32D6">
        <w:rPr>
          <w:rFonts w:ascii="Georgia" w:hAnsi="Georgia"/>
        </w:rPr>
        <w:t xml:space="preserve">                                                      </w:t>
      </w:r>
      <w:hyperlink r:id="rId23" w:history="1">
        <w:r w:rsidRPr="006B32D6">
          <w:rPr>
            <w:rStyle w:val="Lienhypertexte"/>
            <w:rFonts w:ascii="Georgia" w:hAnsi="Georgia" w:cstheme="minorHAnsi"/>
            <w:sz w:val="21"/>
            <w:szCs w:val="21"/>
          </w:rPr>
          <w:t>stephane.cytryn@enabel.be</w:t>
        </w:r>
      </w:hyperlink>
    </w:p>
    <w:p w14:paraId="4463DF70" w14:textId="77777777" w:rsidR="009B21BB" w:rsidRDefault="009B21BB" w:rsidP="005F2003">
      <w:pPr>
        <w:pStyle w:val="Corpsdetexte"/>
        <w:rPr>
          <w:color w:val="000000"/>
        </w:rPr>
      </w:pP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018AF780"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9B21BB"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41660D90"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14" w:name="_Toc361408323"/>
      <w:bookmarkStart w:id="115" w:name="_Toc503965216"/>
      <w:bookmarkStart w:id="116" w:name="_Toc361408324"/>
      <w:r w:rsidRPr="00441577">
        <w:t>Sous-traitants (art. 12 à 15)</w:t>
      </w:r>
      <w:bookmarkEnd w:id="114"/>
      <w:bookmarkEnd w:id="115"/>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F389118" w14:textId="77777777" w:rsidR="005F2003" w:rsidRDefault="005F2003" w:rsidP="005F2003">
      <w:pPr>
        <w:pStyle w:val="Corpsdetexte"/>
        <w:rPr>
          <w:rFonts w:cs="Arial"/>
        </w:rPr>
      </w:pPr>
    </w:p>
    <w:p w14:paraId="5C0A33E3" w14:textId="47EC69C9" w:rsidR="00E8612D" w:rsidRPr="00D14EA3" w:rsidRDefault="00E8612D" w:rsidP="00E8612D">
      <w:pPr>
        <w:pStyle w:val="Corpsdetexte"/>
        <w:rPr>
          <w:rFonts w:ascii="Georgia" w:hAnsi="Georgia"/>
          <w:color w:val="404040"/>
          <w:sz w:val="21"/>
          <w:szCs w:val="21"/>
        </w:rPr>
      </w:pPr>
      <w:bookmarkStart w:id="117" w:name="_Toc361408325"/>
      <w:bookmarkStart w:id="118" w:name="_Toc503965218"/>
      <w:bookmarkEnd w:id="116"/>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0E1DEE" w:rsidRDefault="00E8612D" w:rsidP="00E8612D">
      <w:pPr>
        <w:pStyle w:val="Titre2"/>
        <w:keepLines w:val="0"/>
        <w:widowControl w:val="0"/>
        <w:tabs>
          <w:tab w:val="num" w:pos="576"/>
        </w:tabs>
        <w:suppressAutoHyphens/>
        <w:spacing w:after="240"/>
      </w:pPr>
      <w:bookmarkStart w:id="119" w:name="_Toc52503024"/>
      <w:r w:rsidRPr="000E1DEE">
        <w:t>Confidentialité (art. 18)</w:t>
      </w:r>
      <w:bookmarkEnd w:id="119"/>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proofErr w:type="gramStart"/>
      <w:r w:rsidRPr="00D14EA3">
        <w:rPr>
          <w:rFonts w:ascii="Georgia" w:hAnsi="Georgia"/>
          <w:color w:val="404040"/>
          <w:sz w:val="21"/>
          <w:szCs w:val="21"/>
        </w:rPr>
        <w:t>autres personnes intervenant</w:t>
      </w:r>
      <w:proofErr w:type="gramEnd"/>
      <w:r w:rsidRPr="00D14EA3">
        <w:rPr>
          <w:rFonts w:ascii="Georgia" w:hAnsi="Georgia"/>
          <w:color w:val="404040"/>
          <w:sz w:val="21"/>
          <w:szCs w:val="21"/>
        </w:rPr>
        <w: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77777777" w:rsidR="00E8612D" w:rsidRPr="00D14EA3" w:rsidRDefault="00E8612D" w:rsidP="00E8612D">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787A70F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0C4DBEC2" w14:textId="77777777" w:rsidR="00E8612D" w:rsidRPr="00D14EA3" w:rsidRDefault="00E8612D" w:rsidP="00E8612D">
      <w:pPr>
        <w:pStyle w:val="Corpsdetexte"/>
        <w:rPr>
          <w:rFonts w:ascii="Georgia" w:hAnsi="Georgia"/>
          <w:color w:val="404040"/>
          <w:sz w:val="21"/>
          <w:szCs w:val="21"/>
        </w:rPr>
      </w:pP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lastRenderedPageBreak/>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0E1DEE" w:rsidRDefault="00E8612D" w:rsidP="00E8612D">
      <w:pPr>
        <w:pStyle w:val="Titre2"/>
        <w:rPr>
          <w:lang w:val="fr-FR"/>
        </w:rPr>
      </w:pPr>
      <w:r w:rsidRPr="000E1DEE">
        <w:rPr>
          <w:lang w:val="fr-FR"/>
        </w:rPr>
        <w:t>Protection des données personnelles</w:t>
      </w:r>
    </w:p>
    <w:p w14:paraId="4C09F32B" w14:textId="77777777" w:rsidR="00E8612D" w:rsidRPr="001478F6" w:rsidRDefault="00E8612D" w:rsidP="00E8612D">
      <w:pPr>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E8612D">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E8612D">
      <w:pPr>
        <w:rPr>
          <w:lang w:val="fr-FR"/>
        </w:rPr>
      </w:pPr>
      <w:r w:rsidRPr="001478F6">
        <w:rPr>
          <w:lang w:val="fr-FR"/>
        </w:rPr>
        <w:t>4.4.2</w:t>
      </w:r>
      <w:r w:rsidRPr="001478F6">
        <w:rPr>
          <w:lang w:val="fr-FR"/>
        </w:rPr>
        <w:tab/>
        <w:t xml:space="preserve">Traitement des données personnelles par l’adjudicataire </w:t>
      </w:r>
    </w:p>
    <w:p w14:paraId="13F4B19D" w14:textId="03E3144C" w:rsidR="00E8612D" w:rsidRPr="001478F6" w:rsidRDefault="00E8612D" w:rsidP="00E8612D">
      <w:pPr>
        <w:rPr>
          <w:caps/>
          <w:lang w:val="fr-FR"/>
        </w:rPr>
      </w:pPr>
      <w:r w:rsidRPr="001478F6">
        <w:rPr>
          <w:caps/>
          <w:lang w:val="fr-FR"/>
        </w:rPr>
        <w:t>OPTION 1 : Traitement des données à caractère personnel par un sous-traitant =</w:t>
      </w:r>
    </w:p>
    <w:p w14:paraId="2D4E87F6" w14:textId="77777777" w:rsidR="00E8612D" w:rsidRPr="001478F6" w:rsidRDefault="00E8612D" w:rsidP="00E8612D">
      <w:pPr>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E8612D">
      <w:pPr>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E8612D">
      <w:pPr>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E8612D">
      <w:pPr>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E8612D">
      <w:pPr>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3F8DBCC" w:rsidR="00E8612D" w:rsidRPr="001478F6" w:rsidRDefault="00E8612D" w:rsidP="00E8612D">
      <w:pPr>
        <w:rPr>
          <w:lang w:val="fr-FR"/>
        </w:rPr>
      </w:pPr>
      <w:r w:rsidRPr="001478F6">
        <w:rPr>
          <w:lang w:val="fr-FR"/>
        </w:rPr>
        <w:t xml:space="preserve">L'exécution de traitements en sous-traitance doit être régie par un contrat ou un acte juridique qui lie le sous-traitant au responsable du traitement et qui prévoit notamment </w:t>
      </w:r>
      <w:r w:rsidRPr="001478F6">
        <w:rPr>
          <w:lang w:val="fr-FR"/>
        </w:rPr>
        <w:lastRenderedPageBreak/>
        <w:t xml:space="preserve">que le sous-traitant n'agit que sur instruction du responsable du traitement et que les obligations de confidentialité et de sécurité concernant le traitement des données à caractère personnel incombent également au </w:t>
      </w:r>
      <w:r w:rsidR="00E631BA" w:rsidRPr="001478F6">
        <w:rPr>
          <w:lang w:val="fr-FR"/>
        </w:rPr>
        <w:t>sous-traitant</w:t>
      </w:r>
      <w:r w:rsidRPr="001478F6">
        <w:rPr>
          <w:lang w:val="fr-FR"/>
        </w:rPr>
        <w:t xml:space="preserve"> (Article 28 §3 du RGPD). </w:t>
      </w:r>
    </w:p>
    <w:p w14:paraId="142714D7" w14:textId="77777777" w:rsidR="00E8612D" w:rsidRPr="001478F6" w:rsidRDefault="00E8612D" w:rsidP="00E8612D">
      <w:pPr>
        <w:rPr>
          <w:lang w:val="fr-FR"/>
        </w:rPr>
      </w:pPr>
      <w:r w:rsidRPr="001478F6">
        <w:rPr>
          <w:lang w:val="fr-FR"/>
        </w:rPr>
        <w:t>A cette fin, le soumissionnaire doit à la fois compléter, signer et renvoyer au pouvoir adjudicateur l'accord de sous-traitance repris en annexe [X</w:t>
      </w:r>
      <w:proofErr w:type="gramStart"/>
      <w:r w:rsidRPr="001478F6">
        <w:rPr>
          <w:lang w:val="fr-FR"/>
        </w:rPr>
        <w:t>] .</w:t>
      </w:r>
      <w:proofErr w:type="gramEnd"/>
      <w:r w:rsidRPr="001478F6">
        <w:rPr>
          <w:lang w:val="fr-FR"/>
        </w:rPr>
        <w:t xml:space="preserve"> La complétion et signature de cette annexe est donc une condition de régularité de l’offre</w:t>
      </w:r>
    </w:p>
    <w:p w14:paraId="3A572F95" w14:textId="5A70177C" w:rsidR="00E8612D" w:rsidRPr="001478F6" w:rsidRDefault="00E8612D" w:rsidP="00E8612D">
      <w:pPr>
        <w:rPr>
          <w:lang w:val="fr-FR"/>
        </w:rPr>
      </w:pPr>
      <w:r w:rsidRPr="001478F6">
        <w:rPr>
          <w:lang w:val="fr-FR"/>
        </w:rPr>
        <w:t>OPTION 2 : TRAITEMENT DES DONNÉES À CARACTÈRE PERSONNEL PAR UN RESPONSABLE DE TRAITEMENT (DESTINATAIRE)</w:t>
      </w:r>
    </w:p>
    <w:p w14:paraId="3DC938CD" w14:textId="77777777" w:rsidR="00E8612D" w:rsidRPr="001478F6" w:rsidRDefault="00E8612D" w:rsidP="00E8612D">
      <w:pPr>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E8612D">
      <w:pPr>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E8612D">
      <w:pPr>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E8612D">
      <w:pPr>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r w:rsidRPr="00441577">
        <w:t>Droits intellectuels (art. 19 à 23)</w:t>
      </w:r>
      <w:bookmarkEnd w:id="117"/>
      <w:bookmarkEnd w:id="118"/>
    </w:p>
    <w:p w14:paraId="3976BDB0" w14:textId="0EADFB53" w:rsidR="005F2003"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§1 Le pouvoir adjudicateur acquiert les droits de propriété intellectuelle nés, mis au point ou utilisés à l'occasion de l'exécution du marché.</w:t>
      </w:r>
    </w:p>
    <w:p w14:paraId="42C75C6F" w14:textId="77777777" w:rsidR="00E631BA" w:rsidRPr="006B32D6" w:rsidRDefault="00E631BA" w:rsidP="00E631BA">
      <w:pPr>
        <w:pStyle w:val="Corpsdetexte"/>
        <w:rPr>
          <w:rFonts w:ascii="Georgia" w:hAnsi="Georgia" w:cstheme="minorHAnsi"/>
          <w:color w:val="404040"/>
          <w:sz w:val="21"/>
          <w:szCs w:val="21"/>
          <w:lang w:val="fr-BE"/>
        </w:rPr>
      </w:pPr>
      <w:r w:rsidRPr="006B32D6">
        <w:rPr>
          <w:rFonts w:ascii="Georgia" w:hAnsi="Georgia" w:cstheme="minorHAnsi"/>
          <w:color w:val="404040"/>
          <w:sz w:val="21"/>
          <w:szCs w:val="21"/>
          <w:lang w:val="fr-BE"/>
        </w:rPr>
        <w:t xml:space="preserve">Le transfert de l’ensemble des droits patrimoniaux s’applique tant à l’égard de l’adjudicataire que de toutes les personnes auxquelles l’adjudicataire fait appel, comme son personnel ou un sous-traitant, ou fera appel dans le cadre de l’exécution du marché. </w:t>
      </w:r>
    </w:p>
    <w:p w14:paraId="7531EE3B" w14:textId="77777777" w:rsidR="00E631BA" w:rsidRPr="006B32D6" w:rsidRDefault="00E631BA" w:rsidP="00E631BA">
      <w:pPr>
        <w:pStyle w:val="Corpsdetexte"/>
        <w:rPr>
          <w:rFonts w:ascii="Georgia" w:hAnsi="Georgia" w:cstheme="minorHAnsi"/>
          <w:color w:val="404040"/>
          <w:sz w:val="21"/>
          <w:szCs w:val="21"/>
          <w:lang w:val="fr-BE"/>
        </w:rPr>
      </w:pPr>
      <w:r w:rsidRPr="006B32D6">
        <w:rPr>
          <w:rFonts w:ascii="Georgia" w:hAnsi="Georgia" w:cstheme="minorHAnsi"/>
          <w:color w:val="404040"/>
          <w:sz w:val="21"/>
          <w:szCs w:val="21"/>
          <w:lang w:val="fr-BE"/>
        </w:rPr>
        <w:t>La rémunération pour ce transfert de droits est comprise dans le montant total de l’offre.</w:t>
      </w:r>
    </w:p>
    <w:p w14:paraId="178D3A75" w14:textId="77777777" w:rsidR="00E631BA" w:rsidRPr="006B32D6" w:rsidRDefault="00E631BA" w:rsidP="00E631BA">
      <w:pPr>
        <w:pStyle w:val="Corpsdetexte"/>
        <w:rPr>
          <w:rFonts w:ascii="Georgia" w:hAnsi="Georgia" w:cstheme="minorHAnsi"/>
          <w:color w:val="404040"/>
          <w:sz w:val="21"/>
          <w:szCs w:val="21"/>
          <w:lang w:val="fr-BE"/>
        </w:rPr>
      </w:pPr>
      <w:r w:rsidRPr="006B32D6">
        <w:rPr>
          <w:rFonts w:ascii="Georgia" w:hAnsi="Georgia" w:cstheme="minorHAnsi"/>
          <w:color w:val="404040"/>
          <w:sz w:val="21"/>
          <w:szCs w:val="21"/>
          <w:lang w:val="fr-BE"/>
        </w:rPr>
        <w:t>L’adjudicataire donne au pouvoir adjudicateur l’autorisation de communiquer au public les produits réalisés en exécution de ce marché, sous le nom du pouvoir adjudicateur, et de les exploiter sous ce nom.</w:t>
      </w:r>
    </w:p>
    <w:p w14:paraId="067644D6" w14:textId="6AF8FFBB" w:rsidR="005F2003" w:rsidRPr="00E631BA" w:rsidRDefault="00E631BA" w:rsidP="005F2003">
      <w:pPr>
        <w:pStyle w:val="Corpsdetexte"/>
        <w:rPr>
          <w:rFonts w:ascii="Georgia" w:hAnsi="Georgia" w:cstheme="minorHAnsi"/>
          <w:color w:val="404040"/>
          <w:sz w:val="21"/>
          <w:szCs w:val="21"/>
          <w:lang w:val="fr-BE"/>
        </w:rPr>
      </w:pPr>
      <w:r w:rsidRPr="006B32D6">
        <w:rPr>
          <w:rFonts w:ascii="Georgia" w:hAnsi="Georgia" w:cstheme="minorHAnsi"/>
          <w:color w:val="404040"/>
          <w:sz w:val="21"/>
          <w:szCs w:val="21"/>
          <w:lang w:val="fr-BE"/>
        </w:rPr>
        <w:t>L’adjudicataire confère au pouvoir adjudicateur le droit de transférer tout ou partie des droits acquis par le pouvoir adjudicateur dans le cadre de ce marché ou d’octroyer des droits d’exploitation exclusifs ou non pour le faire.</w:t>
      </w:r>
    </w:p>
    <w:p w14:paraId="023B856F" w14:textId="77777777" w:rsidR="005F2003" w:rsidRDefault="005F2003" w:rsidP="005F2003">
      <w:pPr>
        <w:pStyle w:val="Titre2"/>
        <w:keepLines w:val="0"/>
        <w:widowControl w:val="0"/>
        <w:tabs>
          <w:tab w:val="num" w:pos="576"/>
        </w:tabs>
        <w:suppressAutoHyphens/>
        <w:spacing w:after="240"/>
      </w:pPr>
      <w:bookmarkStart w:id="120" w:name="_Ref233108956"/>
      <w:bookmarkStart w:id="121" w:name="_Ref233108960"/>
      <w:bookmarkStart w:id="122" w:name="_Toc257380497"/>
      <w:bookmarkStart w:id="123" w:name="_Toc260134216"/>
      <w:bookmarkStart w:id="124" w:name="_Toc364253084"/>
      <w:bookmarkStart w:id="125" w:name="_Toc503965219"/>
      <w:r>
        <w:t>Cautionnement</w:t>
      </w:r>
      <w:bookmarkEnd w:id="120"/>
      <w:bookmarkEnd w:id="121"/>
      <w:bookmarkEnd w:id="122"/>
      <w:bookmarkEnd w:id="123"/>
      <w:r>
        <w:t xml:space="preserve"> (art.25 à 33)</w:t>
      </w:r>
      <w:bookmarkEnd w:id="124"/>
      <w:bookmarkEnd w:id="125"/>
    </w:p>
    <w:p w14:paraId="7E3C791A" w14:textId="069595E3"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Le cautionnement est fixé </w:t>
      </w:r>
      <w:proofErr w:type="gramStart"/>
      <w:r w:rsidRPr="0017001A">
        <w:rPr>
          <w:rFonts w:eastAsia="DejaVu Sans" w:cs="Tahoma"/>
          <w:color w:val="404040" w:themeColor="text1" w:themeTint="BF"/>
          <w:kern w:val="18"/>
          <w:szCs w:val="21"/>
          <w:lang w:val="fr-FR"/>
        </w:rPr>
        <w:t>à  5</w:t>
      </w:r>
      <w:proofErr w:type="gramEnd"/>
      <w:r w:rsidRPr="0017001A">
        <w:rPr>
          <w:rFonts w:eastAsia="DejaVu Sans" w:cs="Tahoma"/>
          <w:color w:val="404040" w:themeColor="text1" w:themeTint="BF"/>
          <w:kern w:val="18"/>
          <w:szCs w:val="21"/>
          <w:lang w:val="fr-FR"/>
        </w:rPr>
        <w:t>% du montant total, hors TVA, du marché. Le montant ainsi obtenu est arrondi à la dizaine d’euro supérieure.</w:t>
      </w:r>
    </w:p>
    <w:p w14:paraId="7C2DE303"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lastRenderedPageBreak/>
        <w:t>Le cautionnement peut être constitué conformément aux dispositions légales et réglementaires, soit en numéraire, ou en fonds publics, soit sous forme de cautionnement collectif.</w:t>
      </w:r>
    </w:p>
    <w:p w14:paraId="2D76FC4D"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3A19D611"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06396F7E"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marché.&gt;&gt;</w:t>
      </w:r>
    </w:p>
    <w:p w14:paraId="01635E6A" w14:textId="6B06FE6A"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r w:rsidR="008D7797" w:rsidRPr="0017001A">
        <w:rPr>
          <w:rFonts w:eastAsia="DejaVu Sans" w:cs="Tahoma"/>
          <w:color w:val="404040" w:themeColor="text1" w:themeTint="BF"/>
          <w:kern w:val="18"/>
          <w:szCs w:val="21"/>
          <w:lang w:val="fr-FR"/>
        </w:rPr>
        <w:t>suivantes :</w:t>
      </w:r>
    </w:p>
    <w:p w14:paraId="46A7D508" w14:textId="792DCF47"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w:t>
      </w:r>
      <w:proofErr w:type="spellStart"/>
      <w:r w:rsidRPr="00514647">
        <w:rPr>
          <w:rFonts w:cs="Arial"/>
          <w:kern w:val="18"/>
          <w:sz w:val="20"/>
        </w:rPr>
        <w:t>bpost</w:t>
      </w:r>
      <w:proofErr w:type="spellEnd"/>
      <w:r w:rsidRPr="00514647">
        <w:rPr>
          <w:rFonts w:cs="Arial"/>
          <w:kern w:val="18"/>
          <w:sz w:val="20"/>
        </w:rPr>
        <w:t xml:space="preserve"> banque de la Caisse des Dépôts et Consignations </w:t>
      </w:r>
      <w:r w:rsidR="00C85B69" w:rsidRPr="00DE68C6">
        <w:rPr>
          <w:color w:val="404040"/>
          <w:szCs w:val="21"/>
        </w:rPr>
        <w:t xml:space="preserve">Complétez le plus précisément possible le formulaire suivant : </w:t>
      </w:r>
      <w:hyperlink r:id="rId24" w:history="1">
        <w:r w:rsidR="00C85B69" w:rsidRPr="00A10247">
          <w:rPr>
            <w:rStyle w:val="Lienhypertexte"/>
            <w:szCs w:val="21"/>
          </w:rPr>
          <w:t>https://finances.belgium.be/sites/default/files/01_marche_public.pdf</w:t>
        </w:r>
      </w:hyperlink>
      <w:r w:rsidR="00C85B69">
        <w:rPr>
          <w:color w:val="404040"/>
          <w:szCs w:val="21"/>
        </w:rPr>
        <w:t xml:space="preserve"> </w:t>
      </w:r>
      <w:r w:rsidR="00C85B69" w:rsidRPr="00DE68C6">
        <w:rPr>
          <w:color w:val="404040"/>
          <w:szCs w:val="21"/>
        </w:rPr>
        <w:t xml:space="preserve">  (PDF, 1.34 Mo), et renvoyez-le à l’adresse e-mail </w:t>
      </w:r>
      <w:hyperlink r:id="rId25" w:history="1">
        <w:r w:rsidR="00C85B69" w:rsidRPr="00A10247">
          <w:rPr>
            <w:rStyle w:val="Lienhypertexte"/>
            <w:szCs w:val="21"/>
          </w:rPr>
          <w:t>info.cdcdck@minfin.fed.be</w:t>
        </w:r>
      </w:hyperlink>
      <w:r w:rsidR="00C85B69">
        <w:rPr>
          <w:color w:val="404040"/>
          <w:szCs w:val="21"/>
        </w:rPr>
        <w:t xml:space="preserve"> </w:t>
      </w:r>
      <w:r w:rsidR="00C85B69"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134D845C"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proofErr w:type="gramStart"/>
      <w:r w:rsidR="0017001A">
        <w:rPr>
          <w:rFonts w:cs="Arial"/>
          <w:kern w:val="18"/>
          <w:sz w:val="20"/>
        </w:rPr>
        <w:t>adjudicateur:</w:t>
      </w:r>
      <w:proofErr w:type="gramEnd"/>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lastRenderedPageBreak/>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438EA114"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r w:rsidR="008D7797">
        <w:rPr>
          <w:rFonts w:cs="Arial"/>
          <w:b/>
          <w:kern w:val="18"/>
          <w:sz w:val="20"/>
        </w:rPr>
        <w:t>réception :</w:t>
      </w:r>
    </w:p>
    <w:p w14:paraId="4941B1E8" w14:textId="3B5E3303"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r w:rsidR="008D7797" w:rsidRPr="00514647">
        <w:rPr>
          <w:rFonts w:cs="Arial"/>
          <w:kern w:val="18"/>
          <w:sz w:val="20"/>
        </w:rPr>
        <w:t>provisoire :</w:t>
      </w:r>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3F435B52" w:rsidR="000534B9" w:rsidRPr="000534B9" w:rsidRDefault="005F2003" w:rsidP="008D7797">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r w:rsidR="008D7797" w:rsidRPr="00514647">
        <w:rPr>
          <w:rFonts w:cs="Arial"/>
          <w:kern w:val="18"/>
          <w:sz w:val="20"/>
        </w:rPr>
        <w:t>définitive :</w:t>
      </w:r>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6" w:name="_Toc361393825"/>
      <w:bookmarkStart w:id="127" w:name="_Toc361408327"/>
      <w:bookmarkStart w:id="128" w:name="_Toc503965220"/>
      <w:r>
        <w:t>Conformité de l’exécution (art. 34)</w:t>
      </w:r>
      <w:bookmarkEnd w:id="126"/>
      <w:bookmarkEnd w:id="127"/>
      <w:bookmarkEnd w:id="128"/>
      <w:r>
        <w:t xml:space="preserve"> </w:t>
      </w:r>
    </w:p>
    <w:p w14:paraId="1B900D2E" w14:textId="16134177" w:rsidR="005F2003" w:rsidRPr="008D7797" w:rsidRDefault="005F2003" w:rsidP="008D7797">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9" w:name="_Toc503965221"/>
      <w:r w:rsidRPr="005F2003">
        <w:t>Modifications du marché (art. 37 à 38/19)</w:t>
      </w:r>
      <w:bookmarkEnd w:id="129"/>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0" w:name="_Toc503965222"/>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30"/>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7BC3428D" w:rsidR="005F2003" w:rsidRPr="008D7797"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1" w:name="_Toc503965223"/>
      <w:proofErr w:type="spellStart"/>
      <w:r w:rsidRPr="000534B9">
        <w:t>Révision</w:t>
      </w:r>
      <w:proofErr w:type="spellEnd"/>
      <w:r w:rsidRPr="000534B9">
        <w:t xml:space="preserve"> des prix (art. 38/7)</w:t>
      </w:r>
      <w:bookmarkEnd w:id="131"/>
    </w:p>
    <w:p w14:paraId="570BE057" w14:textId="0CDD10A4" w:rsidR="005F2003" w:rsidRPr="008D7797" w:rsidRDefault="005F2003" w:rsidP="008D7797">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2" w:name="_Toc503965224"/>
      <w:r w:rsidRPr="006A46F9">
        <w:rPr>
          <w:lang w:val="fr-BE"/>
        </w:rPr>
        <w:t xml:space="preserve">Indemnités suite aux suspensions ordonnées par l’adjudicateur durant </w:t>
      </w:r>
      <w:r w:rsidRPr="006A46F9">
        <w:rPr>
          <w:lang w:val="fr-BE"/>
        </w:rPr>
        <w:lastRenderedPageBreak/>
        <w:t>l’exécution (art. 38/12)</w:t>
      </w:r>
      <w:bookmarkEnd w:id="132"/>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114D8B94" w:rsidR="005F2003" w:rsidRPr="0017001A" w:rsidRDefault="008D7797">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w:t>
      </w:r>
      <w:r w:rsidRPr="0017001A">
        <w:rPr>
          <w:rFonts w:ascii="Georgia" w:eastAsia="Calibri" w:hAnsi="Georgia" w:cs="Arial"/>
          <w:color w:val="585756"/>
          <w:szCs w:val="22"/>
          <w:lang w:val="fr-BE"/>
        </w:rPr>
        <w:t>calendrier ;</w:t>
      </w:r>
      <w:r w:rsidR="005F2003" w:rsidRPr="0017001A">
        <w:rPr>
          <w:rFonts w:ascii="Georgia" w:eastAsia="Calibri" w:hAnsi="Georgia" w:cs="Arial"/>
          <w:color w:val="585756"/>
          <w:szCs w:val="22"/>
          <w:lang w:val="fr-BE"/>
        </w:rPr>
        <w:t xml:space="preserve"> </w:t>
      </w:r>
    </w:p>
    <w:p w14:paraId="0485F3D3" w14:textId="3BD3B8C1" w:rsidR="005F2003" w:rsidRPr="0017001A" w:rsidRDefault="008D7797">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2F86523D" w:rsidR="005F2003" w:rsidRPr="0017001A" w:rsidRDefault="008D7797">
      <w:pPr>
        <w:pStyle w:val="Corpsdetexte"/>
        <w:numPr>
          <w:ilvl w:val="0"/>
          <w:numId w:val="7"/>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3" w:name="_Toc503965225"/>
      <w:proofErr w:type="spellStart"/>
      <w:r w:rsidRPr="000534B9">
        <w:t>Circonstances</w:t>
      </w:r>
      <w:proofErr w:type="spellEnd"/>
      <w:r w:rsidRPr="000534B9">
        <w:t xml:space="preserve"> </w:t>
      </w:r>
      <w:proofErr w:type="spellStart"/>
      <w:r w:rsidRPr="000534B9">
        <w:t>imprévisibles</w:t>
      </w:r>
      <w:bookmarkEnd w:id="133"/>
      <w:proofErr w:type="spellEnd"/>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4F638FEA" w:rsidR="005F2003" w:rsidRPr="00314662" w:rsidRDefault="005F2003" w:rsidP="00314662">
      <w:pPr>
        <w:jc w:val="both"/>
        <w:rPr>
          <w:kern w:val="18"/>
          <w:sz w:val="20"/>
        </w:rPr>
      </w:pPr>
      <w:r w:rsidRPr="008D7797">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8D7797">
        <w:rPr>
          <w:kern w:val="18"/>
          <w:sz w:val="20"/>
        </w:rPr>
        <w:t>Enabel</w:t>
      </w:r>
      <w:r w:rsidRPr="008D7797">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4" w:name="_Toc361393826"/>
      <w:bookmarkStart w:id="135" w:name="_Toc361408328"/>
      <w:bookmarkStart w:id="136" w:name="_Toc503965226"/>
      <w:r>
        <w:t>Réception techniq</w:t>
      </w:r>
      <w:r w:rsidRPr="00596246">
        <w:t>ue préalable (art. 42)</w:t>
      </w:r>
      <w:bookmarkEnd w:id="134"/>
      <w:bookmarkEnd w:id="135"/>
      <w:bookmarkEnd w:id="136"/>
    </w:p>
    <w:p w14:paraId="61AA390E" w14:textId="42D1CD3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r w:rsidR="00314662">
        <w:rPr>
          <w:rFonts w:ascii="Georgia" w:eastAsia="Calibri" w:hAnsi="Georgia" w:cs="Times New Roman"/>
          <w:color w:val="585756"/>
          <w:szCs w:val="22"/>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37" w:name="_Toc361393827"/>
      <w:bookmarkStart w:id="138" w:name="_Toc361408329"/>
      <w:bookmarkStart w:id="139" w:name="_Toc503965227"/>
      <w:r>
        <w:t>Modalités d’exécution (art. 146 es)</w:t>
      </w:r>
      <w:bookmarkEnd w:id="137"/>
      <w:bookmarkEnd w:id="138"/>
      <w:bookmarkEnd w:id="139"/>
    </w:p>
    <w:p w14:paraId="0AC16FB4" w14:textId="77777777"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0" w:name="_Toc503965228"/>
      <w:proofErr w:type="spellStart"/>
      <w:r w:rsidRPr="00F12A5E">
        <w:t>Délais</w:t>
      </w:r>
      <w:proofErr w:type="spellEnd"/>
      <w:r w:rsidRPr="00F12A5E">
        <w:t xml:space="preserve"> et clauses</w:t>
      </w:r>
      <w:r>
        <w:t xml:space="preserve"> (art. 147)</w:t>
      </w:r>
      <w:bookmarkEnd w:id="140"/>
    </w:p>
    <w:p w14:paraId="06510292" w14:textId="40F290D7" w:rsidR="006D1CEE"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doivent être exécutés dans un délai </w:t>
      </w:r>
      <w:r w:rsidRPr="00314662">
        <w:rPr>
          <w:rFonts w:ascii="Georgia" w:eastAsia="Calibri" w:hAnsi="Georgia" w:cs="Times New Roman"/>
          <w:color w:val="585756"/>
          <w:szCs w:val="22"/>
          <w:lang w:val="fr-BE"/>
        </w:rPr>
        <w:t>de</w:t>
      </w:r>
      <w:r w:rsidRPr="00314662">
        <w:t xml:space="preserve"> </w:t>
      </w:r>
      <w:r w:rsidR="006D1CEE" w:rsidRPr="006D1CEE">
        <w:rPr>
          <w:rFonts w:ascii="Georgia" w:hAnsi="Georgia"/>
        </w:rPr>
        <w:t>4</w:t>
      </w:r>
      <w:r w:rsidR="00314662" w:rsidRPr="006D1CEE">
        <w:rPr>
          <w:rFonts w:ascii="Georgia" w:hAnsi="Georgia"/>
        </w:rPr>
        <w:t xml:space="preserve"> mois</w:t>
      </w:r>
      <w:r w:rsidR="00314662">
        <w:t xml:space="preserve"> </w:t>
      </w:r>
      <w:r w:rsidRPr="00C55D53">
        <w:rPr>
          <w:rFonts w:ascii="Georgia" w:eastAsia="Calibri" w:hAnsi="Georgia" w:cs="Times New Roman"/>
          <w:color w:val="585756"/>
          <w:szCs w:val="22"/>
          <w:lang w:val="fr-BE"/>
        </w:rPr>
        <w:t>calendrier à compter du jour qui suit celui où le prestataire de services a reçu la notification de la conclusion du marché.</w:t>
      </w:r>
      <w:r w:rsidR="006D1CEE">
        <w:rPr>
          <w:rFonts w:ascii="Georgia" w:eastAsia="Calibri" w:hAnsi="Georgia" w:cs="Times New Roman"/>
          <w:color w:val="585756"/>
          <w:szCs w:val="22"/>
          <w:lang w:val="fr-BE"/>
        </w:rPr>
        <w:t xml:space="preserve"> Une prolongation de ce </w:t>
      </w:r>
      <w:proofErr w:type="spellStart"/>
      <w:r w:rsidR="006D1CEE">
        <w:rPr>
          <w:rFonts w:ascii="Georgia" w:eastAsia="Calibri" w:hAnsi="Georgia" w:cs="Times New Roman"/>
          <w:color w:val="585756"/>
          <w:szCs w:val="22"/>
          <w:lang w:val="fr-BE"/>
        </w:rPr>
        <w:t>delai</w:t>
      </w:r>
      <w:proofErr w:type="spellEnd"/>
      <w:r w:rsidR="006D1CEE">
        <w:rPr>
          <w:rFonts w:ascii="Georgia" w:eastAsia="Calibri" w:hAnsi="Georgia" w:cs="Times New Roman"/>
          <w:color w:val="585756"/>
          <w:szCs w:val="22"/>
          <w:lang w:val="fr-BE"/>
        </w:rPr>
        <w:t xml:space="preserve"> </w:t>
      </w:r>
      <w:proofErr w:type="gramStart"/>
      <w:r w:rsidR="006D1CEE">
        <w:rPr>
          <w:rFonts w:ascii="Georgia" w:eastAsia="Calibri" w:hAnsi="Georgia" w:cs="Times New Roman"/>
          <w:color w:val="585756"/>
          <w:szCs w:val="22"/>
          <w:lang w:val="fr-BE"/>
        </w:rPr>
        <w:t>pour  3</w:t>
      </w:r>
      <w:proofErr w:type="gramEnd"/>
      <w:r w:rsidR="006D1CEE">
        <w:rPr>
          <w:rFonts w:ascii="Georgia" w:eastAsia="Calibri" w:hAnsi="Georgia" w:cs="Times New Roman"/>
          <w:color w:val="585756"/>
          <w:szCs w:val="22"/>
          <w:lang w:val="fr-BE"/>
        </w:rPr>
        <w:t xml:space="preserve"> mois sera possible selon le besoin du projet.</w:t>
      </w:r>
    </w:p>
    <w:p w14:paraId="4FB735B1" w14:textId="34AB5210" w:rsidR="005F2003" w:rsidRPr="006D1CEE"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Les jours de fermeture de l’entreprise du prestataire de services pour les vacances annuelles ne sont pas inclus dans le calcul.</w:t>
      </w:r>
    </w:p>
    <w:p w14:paraId="4293B525" w14:textId="77777777" w:rsidR="005F2003" w:rsidRPr="00764E84"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1" w:name="_Toc503965229"/>
      <w:r w:rsidRPr="00764E84">
        <w:rPr>
          <w:lang w:val="fr-BE"/>
        </w:rPr>
        <w:lastRenderedPageBreak/>
        <w:t>Lieu où les services doivent être exécutés et formalités (art. 149)</w:t>
      </w:r>
      <w:bookmarkEnd w:id="141"/>
    </w:p>
    <w:p w14:paraId="6A372771" w14:textId="5B176DDB"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à l’adresse </w:t>
      </w:r>
      <w:r w:rsidR="006D1CEE" w:rsidRPr="00C55D53">
        <w:rPr>
          <w:rFonts w:ascii="Georgia" w:eastAsia="Calibri" w:hAnsi="Georgia" w:cs="Times New Roman"/>
          <w:color w:val="585756"/>
          <w:szCs w:val="22"/>
          <w:lang w:val="fr-BE"/>
        </w:rPr>
        <w:t>suivante :</w:t>
      </w:r>
    </w:p>
    <w:p w14:paraId="2124DE16" w14:textId="0B4BC137" w:rsidR="00777353" w:rsidRPr="00700A4B" w:rsidRDefault="00777353" w:rsidP="005F2003">
      <w:pPr>
        <w:pStyle w:val="Corpsdetexte"/>
        <w:rPr>
          <w:rFonts w:ascii="Georgia" w:hAnsi="Georgia" w:cstheme="minorHAnsi"/>
          <w:color w:val="404040" w:themeColor="text1" w:themeTint="BF"/>
          <w:szCs w:val="20"/>
        </w:rPr>
      </w:pPr>
      <w:r w:rsidRPr="006B32D6">
        <w:rPr>
          <w:rStyle w:val="Lienhypertexte"/>
          <w:rFonts w:ascii="Georgia" w:hAnsi="Georgia" w:cstheme="minorHAnsi"/>
          <w:color w:val="404040" w:themeColor="text1" w:themeTint="BF"/>
          <w:szCs w:val="20"/>
          <w:u w:val="none"/>
        </w:rPr>
        <w:t xml:space="preserve">Bureau de Enabel, Agence Belge de Développement, N° 11, Avenue de la Mission I, Q. Kaba, Commune de </w:t>
      </w:r>
      <w:proofErr w:type="spellStart"/>
      <w:r w:rsidRPr="006B32D6">
        <w:rPr>
          <w:rStyle w:val="Lienhypertexte"/>
          <w:rFonts w:ascii="Georgia" w:hAnsi="Georgia" w:cstheme="minorHAnsi"/>
          <w:color w:val="404040" w:themeColor="text1" w:themeTint="BF"/>
          <w:szCs w:val="20"/>
          <w:u w:val="none"/>
        </w:rPr>
        <w:t>Bolikangi</w:t>
      </w:r>
      <w:proofErr w:type="spellEnd"/>
      <w:r w:rsidRPr="006B32D6">
        <w:rPr>
          <w:rStyle w:val="Lienhypertexte"/>
          <w:rFonts w:ascii="Georgia" w:hAnsi="Georgia" w:cstheme="minorHAnsi"/>
          <w:color w:val="404040" w:themeColor="text1" w:themeTint="BF"/>
          <w:szCs w:val="20"/>
          <w:u w:val="none"/>
        </w:rPr>
        <w:t xml:space="preserve">, Ville de Lisala, Province de la </w:t>
      </w:r>
      <w:proofErr w:type="spellStart"/>
      <w:r w:rsidRPr="006B32D6">
        <w:rPr>
          <w:rStyle w:val="Lienhypertexte"/>
          <w:rFonts w:ascii="Georgia" w:hAnsi="Georgia" w:cstheme="minorHAnsi"/>
          <w:color w:val="404040" w:themeColor="text1" w:themeTint="BF"/>
          <w:szCs w:val="20"/>
          <w:u w:val="none"/>
        </w:rPr>
        <w:t>Mongala</w:t>
      </w:r>
      <w:proofErr w:type="spellEnd"/>
      <w:r w:rsidRPr="006B32D6">
        <w:rPr>
          <w:rStyle w:val="Lienhypertexte"/>
          <w:rFonts w:ascii="Georgia" w:hAnsi="Georgia" w:cstheme="minorHAnsi"/>
          <w:color w:val="404040" w:themeColor="text1" w:themeTint="BF"/>
          <w:szCs w:val="20"/>
          <w:u w:val="none"/>
        </w:rPr>
        <w:t xml:space="preserve"> en RD Congo.</w:t>
      </w:r>
    </w:p>
    <w:p w14:paraId="7E38E0B4" w14:textId="77777777" w:rsidR="009A7C3A" w:rsidRPr="00700A4B" w:rsidRDefault="009A7C3A">
      <w:pPr>
        <w:pStyle w:val="Titre3"/>
        <w:keepNext/>
        <w:widowControl w:val="0"/>
        <w:numPr>
          <w:ilvl w:val="2"/>
          <w:numId w:val="20"/>
        </w:numPr>
        <w:tabs>
          <w:tab w:val="num" w:pos="810"/>
        </w:tabs>
        <w:suppressAutoHyphens/>
        <w:autoSpaceDE/>
        <w:autoSpaceDN/>
        <w:adjustRightInd/>
        <w:spacing w:before="180" w:after="180"/>
        <w:contextualSpacing w:val="0"/>
      </w:pPr>
      <w:bookmarkStart w:id="142" w:name="_Toc52268483"/>
      <w:r w:rsidRPr="00700A4B">
        <w:rPr>
          <w:lang w:val="fr-BE"/>
        </w:rPr>
        <w:t>Egalité des genres</w:t>
      </w:r>
      <w:bookmarkEnd w:id="142"/>
    </w:p>
    <w:p w14:paraId="671158FE" w14:textId="456757DE" w:rsidR="009A7C3A" w:rsidRDefault="009A7C3A" w:rsidP="009A7C3A">
      <w:r w:rsidRPr="00FF1F45">
        <w:t xml:space="preserve">Conformément à l’article 3, 3° de la loi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r w:rsidR="00700A4B">
        <w:t>(la</w:t>
      </w:r>
      <w:r>
        <w:t xml:space="preserve"> dimension de genre). L’adjudicataire doit donc analyser en fonction du domaine concerné par le marché, </w:t>
      </w:r>
      <w:r w:rsidR="00700A4B">
        <w:t>s’il</w:t>
      </w:r>
      <w:r>
        <w:t xml:space="preserve"> existe des différences entre femmes et hommes. Dans le cadre de l’exécution du marché, il doit par conséquent tenir compte des différences constatées.  </w:t>
      </w:r>
    </w:p>
    <w:p w14:paraId="1F8FEF01" w14:textId="77777777" w:rsidR="009A7C3A" w:rsidRDefault="009A7C3A" w:rsidP="009A7C3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700A4B"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r w:rsidRPr="00700A4B">
        <w:rPr>
          <w:lang w:val="fr-BE"/>
        </w:rPr>
        <w:t>Tolérance zéro exploitation et abus sexuels</w:t>
      </w:r>
    </w:p>
    <w:p w14:paraId="177E5B5B" w14:textId="28A2B0CC" w:rsidR="005F2003" w:rsidRDefault="009A7C3A" w:rsidP="00700A4B">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43" w:name="_Toc503965230"/>
      <w:r>
        <w:t>Vérification</w:t>
      </w:r>
      <w:r w:rsidRPr="00DD690B">
        <w:t xml:space="preserve"> des services</w:t>
      </w:r>
      <w:r>
        <w:t xml:space="preserve"> (art. 150)</w:t>
      </w:r>
      <w:bookmarkEnd w:id="143"/>
    </w:p>
    <w:p w14:paraId="0EF6BA9E" w14:textId="77777777" w:rsidR="00700A4B" w:rsidRPr="006B32D6" w:rsidRDefault="00700A4B" w:rsidP="00700A4B">
      <w:pPr>
        <w:jc w:val="both"/>
        <w:rPr>
          <w:rFonts w:cs="Calibri"/>
          <w:color w:val="404040" w:themeColor="text1" w:themeTint="BF"/>
          <w:szCs w:val="21"/>
        </w:rPr>
      </w:pPr>
      <w:r w:rsidRPr="006B32D6">
        <w:rPr>
          <w:rFonts w:cs="Calibri"/>
          <w:color w:val="404040" w:themeColor="text1" w:themeTint="BF"/>
          <w:szCs w:val="21"/>
        </w:rPr>
        <w:t>Les services sont soumis à des vérifications destinées à constater qu’ils répondent aux conditions imposées dans les documents du marché.</w:t>
      </w:r>
    </w:p>
    <w:p w14:paraId="2A61F4D3" w14:textId="77777777" w:rsidR="00700A4B" w:rsidRPr="006B32D6" w:rsidRDefault="00700A4B" w:rsidP="00700A4B">
      <w:pPr>
        <w:jc w:val="both"/>
        <w:rPr>
          <w:rFonts w:cs="Calibri"/>
          <w:color w:val="404040" w:themeColor="text1" w:themeTint="BF"/>
          <w:szCs w:val="21"/>
        </w:rPr>
      </w:pPr>
      <w:r w:rsidRPr="006B32D6">
        <w:rPr>
          <w:rFonts w:cs="Calibri"/>
          <w:color w:val="404040" w:themeColor="text1" w:themeTint="BF"/>
          <w:szCs w:val="21"/>
        </w:rPr>
        <w:t>L’adjudicataire est tenu de recommencer les services exécutés de manière non conforme.</w:t>
      </w:r>
    </w:p>
    <w:p w14:paraId="094FCD6C" w14:textId="1101ACD1" w:rsidR="00700A4B" w:rsidRPr="00700A4B" w:rsidRDefault="00700A4B" w:rsidP="005F2003">
      <w:pPr>
        <w:pStyle w:val="Corpsdetexte"/>
        <w:rPr>
          <w:rFonts w:ascii="Georgia" w:hAnsi="Georgia" w:cs="Calibri"/>
          <w:color w:val="404040" w:themeColor="text1" w:themeTint="BF"/>
          <w:szCs w:val="21"/>
          <w:lang w:val="fr-BE"/>
        </w:rPr>
      </w:pPr>
      <w:r w:rsidRPr="00700A4B">
        <w:rPr>
          <w:rFonts w:ascii="Georgia" w:hAnsi="Georgia" w:cs="Calibri"/>
          <w:color w:val="404040" w:themeColor="text1" w:themeTint="BF"/>
          <w:sz w:val="21"/>
          <w:szCs w:val="21"/>
          <w:lang w:val="fr-BE"/>
        </w:rPr>
        <w:t>Voir également points 4.13.1 Défaut d’exécution et 4.14.1 Réception des services exécutés</w:t>
      </w:r>
      <w:r w:rsidRPr="006B32D6">
        <w:rPr>
          <w:rFonts w:ascii="Georgia" w:hAnsi="Georgia" w:cs="Calibri"/>
          <w:color w:val="404040" w:themeColor="text1" w:themeTint="BF"/>
          <w:szCs w:val="21"/>
          <w:lang w:val="fr-BE"/>
        </w:rPr>
        <w:t>.</w:t>
      </w:r>
    </w:p>
    <w:p w14:paraId="09ABA658" w14:textId="77777777" w:rsidR="005F2003" w:rsidRPr="005F2003" w:rsidRDefault="005F2003" w:rsidP="000534B9">
      <w:pPr>
        <w:pStyle w:val="Titre2"/>
        <w:keepLines w:val="0"/>
        <w:widowControl w:val="0"/>
        <w:tabs>
          <w:tab w:val="num" w:pos="576"/>
        </w:tabs>
        <w:suppressAutoHyphens/>
        <w:spacing w:after="240"/>
      </w:pPr>
      <w:bookmarkStart w:id="144" w:name="_Toc361393828"/>
      <w:bookmarkStart w:id="145" w:name="_Toc361408330"/>
      <w:bookmarkStart w:id="146" w:name="_Toc503965231"/>
      <w:r w:rsidRPr="005F2003">
        <w:t>Responsabilité du prestataire de services (art. 152-153)</w:t>
      </w:r>
      <w:bookmarkEnd w:id="144"/>
      <w:bookmarkEnd w:id="145"/>
      <w:bookmarkEnd w:id="146"/>
    </w:p>
    <w:p w14:paraId="745FED0B" w14:textId="084F84B4" w:rsidR="005F2003" w:rsidRPr="00700A4B" w:rsidRDefault="005F2003" w:rsidP="005F2003">
      <w:pPr>
        <w:pStyle w:val="Corpsdetexte"/>
        <w:rPr>
          <w:rFonts w:ascii="Georgia" w:eastAsia="Calibri" w:hAnsi="Georgia" w:cs="Times New Roman"/>
          <w:color w:val="585756"/>
          <w:sz w:val="21"/>
          <w:szCs w:val="21"/>
          <w:lang w:val="fr-BE"/>
        </w:rPr>
      </w:pPr>
      <w:r w:rsidRPr="00700A4B">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1EB9CBB2" w14:textId="6DA29866" w:rsidR="005F2003" w:rsidRPr="00700A4B" w:rsidRDefault="005F2003" w:rsidP="005F2003">
      <w:pPr>
        <w:pStyle w:val="Corpsdetexte"/>
        <w:rPr>
          <w:rFonts w:ascii="Georgia" w:eastAsia="Calibri" w:hAnsi="Georgia" w:cs="Times New Roman"/>
          <w:color w:val="585756"/>
          <w:sz w:val="21"/>
          <w:szCs w:val="21"/>
          <w:lang w:val="fr-BE"/>
        </w:rPr>
      </w:pPr>
      <w:r w:rsidRPr="00700A4B">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47" w:name="_Toc361393829"/>
      <w:bookmarkStart w:id="148" w:name="_Toc361408331"/>
      <w:bookmarkStart w:id="149" w:name="_Toc503965232"/>
      <w:r w:rsidRPr="005F2003">
        <w:t>Moyens d’action du Pouvoir Adjudicateur (art. 44-51 et 154-155)</w:t>
      </w:r>
      <w:bookmarkEnd w:id="147"/>
      <w:bookmarkEnd w:id="148"/>
      <w:bookmarkEnd w:id="149"/>
    </w:p>
    <w:p w14:paraId="1262029B" w14:textId="77777777"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lastRenderedPageBreak/>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731496" w:rsidRDefault="005F2003" w:rsidP="000534B9">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731496">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0" w:name="_Toc503965233"/>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50"/>
    </w:p>
    <w:p w14:paraId="5E8E78B3" w14:textId="377C39D7"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 xml:space="preserve">§1 L'adjudicataire est considéré en défaut d'exécution du </w:t>
      </w:r>
      <w:r w:rsidR="00731496" w:rsidRPr="00731496">
        <w:rPr>
          <w:rFonts w:ascii="Georgia" w:eastAsia="Calibri" w:hAnsi="Georgia" w:cs="Times New Roman"/>
          <w:color w:val="585756"/>
          <w:sz w:val="21"/>
          <w:szCs w:val="21"/>
          <w:lang w:val="fr-BE"/>
        </w:rPr>
        <w:t>marché :</w:t>
      </w:r>
    </w:p>
    <w:p w14:paraId="1AB95B59" w14:textId="4117597C"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 xml:space="preserve">1° lorsque les prestations ne sont pas exécutées dans les conditions définies par les documents du </w:t>
      </w:r>
      <w:r w:rsidR="00731496" w:rsidRPr="00731496">
        <w:rPr>
          <w:rFonts w:ascii="Georgia" w:eastAsia="Calibri" w:hAnsi="Georgia" w:cs="Times New Roman"/>
          <w:color w:val="585756"/>
          <w:sz w:val="21"/>
          <w:szCs w:val="21"/>
          <w:lang w:val="fr-BE"/>
        </w:rPr>
        <w:t>marché ;</w:t>
      </w:r>
    </w:p>
    <w:p w14:paraId="53F22386" w14:textId="18500D19"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731496" w:rsidRPr="00731496">
        <w:rPr>
          <w:rFonts w:ascii="Georgia" w:eastAsia="Calibri" w:hAnsi="Georgia" w:cs="Times New Roman"/>
          <w:color w:val="585756"/>
          <w:sz w:val="21"/>
          <w:szCs w:val="21"/>
          <w:lang w:val="fr-BE"/>
        </w:rPr>
        <w:t>fixées ;</w:t>
      </w:r>
    </w:p>
    <w:p w14:paraId="0B499C62" w14:textId="77777777"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52133320"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1" w:name="_Toc503965234"/>
      <w:r w:rsidRPr="006A46F9">
        <w:rPr>
          <w:lang w:val="fr-BE"/>
        </w:rPr>
        <w:t>Amendes pour retard (art. 46 et 154)</w:t>
      </w:r>
      <w:bookmarkEnd w:id="151"/>
    </w:p>
    <w:p w14:paraId="34FB91E2" w14:textId="77777777"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459D318F" w:rsidR="005F2003" w:rsidRPr="00731496" w:rsidRDefault="005F2003" w:rsidP="005F2003">
      <w:pPr>
        <w:pStyle w:val="Corpsdetexte"/>
        <w:rPr>
          <w:rFonts w:ascii="Georgia" w:eastAsia="Calibri" w:hAnsi="Georgia" w:cs="Times New Roman"/>
          <w:color w:val="585756"/>
          <w:sz w:val="21"/>
          <w:szCs w:val="21"/>
          <w:lang w:val="fr-BE"/>
        </w:rPr>
      </w:pPr>
      <w:r w:rsidRPr="00731496">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2" w:name="_Toc503965235"/>
      <w:proofErr w:type="spellStart"/>
      <w:r w:rsidRPr="00E2704E">
        <w:t>Mesures</w:t>
      </w:r>
      <w:proofErr w:type="spellEnd"/>
      <w:r w:rsidRPr="00E2704E">
        <w:t xml:space="preserve"> </w:t>
      </w:r>
      <w:proofErr w:type="spellStart"/>
      <w:r w:rsidRPr="00E2704E">
        <w:t>d’office</w:t>
      </w:r>
      <w:proofErr w:type="spellEnd"/>
      <w:r w:rsidRPr="00E2704E">
        <w:t xml:space="preserve"> (art. 47</w:t>
      </w:r>
      <w:r>
        <w:t xml:space="preserve"> et </w:t>
      </w:r>
      <w:r w:rsidRPr="00E2704E">
        <w:t>155)</w:t>
      </w:r>
      <w:bookmarkEnd w:id="152"/>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3FF3197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151659" w:rsidRPr="00C55D53">
        <w:rPr>
          <w:rFonts w:ascii="Georgia" w:eastAsia="Calibri" w:hAnsi="Georgia" w:cs="Times New Roman"/>
          <w:color w:val="585756"/>
          <w:szCs w:val="22"/>
          <w:lang w:val="fr-BE"/>
        </w:rPr>
        <w:t>sont :</w:t>
      </w:r>
    </w:p>
    <w:p w14:paraId="15A6B391" w14:textId="3B607653"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151659" w:rsidRPr="00C55D53">
        <w:rPr>
          <w:rFonts w:ascii="Georgia" w:eastAsia="Calibri" w:hAnsi="Georgia" w:cs="Times New Roman"/>
          <w:color w:val="585756"/>
          <w:szCs w:val="22"/>
          <w:lang w:val="fr-BE"/>
        </w:rPr>
        <w:t>résiliée ;</w:t>
      </w:r>
    </w:p>
    <w:p w14:paraId="3743760D" w14:textId="7580968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151659"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7D2530FC" w14:textId="3F3855F6" w:rsidR="005F2003" w:rsidRPr="00F8158C" w:rsidRDefault="005F2003" w:rsidP="00F8158C">
      <w:pPr>
        <w:pStyle w:val="Titre2"/>
        <w:keepLines w:val="0"/>
        <w:widowControl w:val="0"/>
        <w:tabs>
          <w:tab w:val="num" w:pos="576"/>
        </w:tabs>
        <w:suppressAutoHyphens/>
        <w:spacing w:after="240"/>
      </w:pPr>
      <w:bookmarkStart w:id="153" w:name="_Toc503965237"/>
      <w:r w:rsidRPr="00F8158C">
        <w:t>Réception des services exécutés (art. 64-65 et 156)</w:t>
      </w:r>
      <w:bookmarkEnd w:id="153"/>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proofErr w:type="gramStart"/>
      <w:r w:rsidRPr="00C55D53">
        <w:rPr>
          <w:rFonts w:ascii="Georgia" w:eastAsia="Calibri" w:hAnsi="Georgia" w:cs="Times New Roman"/>
          <w:color w:val="585756"/>
          <w:szCs w:val="22"/>
          <w:lang w:val="fr-BE"/>
        </w:rPr>
        <w:t>marché ,</w:t>
      </w:r>
      <w:proofErr w:type="gramEnd"/>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1046C6AE" w14:textId="04272576"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54" w:name="_Toc503965238"/>
      <w:r>
        <w:t xml:space="preserve">Frais de </w:t>
      </w:r>
      <w:proofErr w:type="spellStart"/>
      <w:r>
        <w:t>réception</w:t>
      </w:r>
      <w:bookmarkEnd w:id="154"/>
      <w:proofErr w:type="spellEnd"/>
    </w:p>
    <w:p w14:paraId="207BCB8B" w14:textId="459F8C5F" w:rsidR="005F2003" w:rsidRPr="00E2704E" w:rsidRDefault="00F8158C" w:rsidP="005F2003">
      <w:pPr>
        <w:pStyle w:val="Corpsdetexte"/>
      </w:pPr>
      <w:r>
        <w:t>N/A</w:t>
      </w:r>
    </w:p>
    <w:p w14:paraId="483C4E77"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55" w:name="_Toc361393831"/>
      <w:bookmarkStart w:id="156" w:name="_Toc361408333"/>
      <w:bookmarkStart w:id="157" w:name="_Toc503965239"/>
      <w:r w:rsidRPr="006A46F9">
        <w:rPr>
          <w:lang w:val="fr-BE"/>
        </w:rPr>
        <w:t>Facturation et paiement des services (art. 66 à 72 -160)</w:t>
      </w:r>
      <w:bookmarkEnd w:id="155"/>
      <w:bookmarkEnd w:id="156"/>
      <w:bookmarkEnd w:id="157"/>
    </w:p>
    <w:p w14:paraId="4C9B0332" w14:textId="0DF5C666" w:rsidR="005F200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F8158C" w:rsidRPr="00C55D53">
        <w:rPr>
          <w:rFonts w:ascii="Georgia" w:eastAsia="Calibri" w:hAnsi="Georgia"/>
          <w:color w:val="585756"/>
          <w:kern w:val="18"/>
          <w:sz w:val="20"/>
          <w:szCs w:val="22"/>
        </w:rPr>
        <w:t>suivante :</w:t>
      </w:r>
    </w:p>
    <w:p w14:paraId="6C1B4243" w14:textId="77777777" w:rsidR="00F8158C" w:rsidRPr="006B32D6" w:rsidRDefault="00F8158C" w:rsidP="00F8158C">
      <w:pPr>
        <w:spacing w:before="60" w:after="60" w:line="240" w:lineRule="auto"/>
        <w:jc w:val="center"/>
        <w:rPr>
          <w:rFonts w:cs="Arial"/>
          <w:b/>
          <w:bCs/>
          <w:color w:val="404040" w:themeColor="text1" w:themeTint="BF"/>
          <w:sz w:val="20"/>
          <w:szCs w:val="20"/>
        </w:rPr>
      </w:pPr>
      <w:r w:rsidRPr="006B32D6">
        <w:rPr>
          <w:rFonts w:cs="Arial"/>
          <w:b/>
          <w:bCs/>
          <w:color w:val="404040" w:themeColor="text1" w:themeTint="BF"/>
          <w:sz w:val="20"/>
          <w:szCs w:val="20"/>
        </w:rPr>
        <w:t>Mr. Sébastien YASINI SALUMU,</w:t>
      </w:r>
    </w:p>
    <w:p w14:paraId="6CC9E452" w14:textId="77777777" w:rsidR="00F8158C" w:rsidRPr="006B32D6" w:rsidRDefault="00F8158C" w:rsidP="00F8158C">
      <w:pPr>
        <w:spacing w:before="60" w:after="60" w:line="240" w:lineRule="auto"/>
        <w:jc w:val="center"/>
        <w:rPr>
          <w:rStyle w:val="Lienhypertexte"/>
          <w:rFonts w:cs="Arial"/>
          <w:b/>
          <w:bCs/>
          <w:color w:val="404040" w:themeColor="text1" w:themeTint="BF"/>
          <w:sz w:val="20"/>
          <w:szCs w:val="20"/>
          <w:u w:val="none"/>
        </w:rPr>
      </w:pPr>
      <w:r w:rsidRPr="006B32D6">
        <w:rPr>
          <w:rFonts w:cs="Arial"/>
          <w:b/>
          <w:bCs/>
          <w:color w:val="404040" w:themeColor="text1" w:themeTint="BF"/>
          <w:sz w:val="20"/>
          <w:szCs w:val="20"/>
        </w:rPr>
        <w:t>Responsable Administratif et financier,</w:t>
      </w:r>
    </w:p>
    <w:p w14:paraId="184911DB" w14:textId="77777777" w:rsidR="00F8158C" w:rsidRPr="006B32D6" w:rsidRDefault="00F8158C" w:rsidP="00F8158C">
      <w:pPr>
        <w:pStyle w:val="BTCtextCTB"/>
        <w:jc w:val="center"/>
        <w:rPr>
          <w:rStyle w:val="Lienhypertexte"/>
          <w:rFonts w:ascii="Georgia" w:hAnsi="Georgia"/>
          <w:color w:val="404040" w:themeColor="text1" w:themeTint="BF"/>
          <w:sz w:val="20"/>
          <w:u w:val="none"/>
        </w:rPr>
      </w:pPr>
      <w:r w:rsidRPr="006B32D6">
        <w:rPr>
          <w:rStyle w:val="Lienhypertexte"/>
          <w:rFonts w:ascii="Georgia" w:hAnsi="Georgia"/>
          <w:color w:val="404040" w:themeColor="text1" w:themeTint="BF"/>
          <w:sz w:val="20"/>
          <w:u w:val="none"/>
        </w:rPr>
        <w:t>Enabel, Agence Belge de Développement,</w:t>
      </w:r>
    </w:p>
    <w:p w14:paraId="463EBFF9" w14:textId="77777777" w:rsidR="00F8158C" w:rsidRPr="006B32D6" w:rsidRDefault="00F8158C" w:rsidP="00F8158C">
      <w:pPr>
        <w:pStyle w:val="BTCtextCTB"/>
        <w:jc w:val="center"/>
        <w:rPr>
          <w:rStyle w:val="Lienhypertexte"/>
          <w:rFonts w:ascii="Georgia" w:hAnsi="Georgia"/>
          <w:color w:val="404040" w:themeColor="text1" w:themeTint="BF"/>
          <w:sz w:val="20"/>
          <w:u w:val="none"/>
        </w:rPr>
      </w:pPr>
      <w:r w:rsidRPr="006B32D6">
        <w:rPr>
          <w:rStyle w:val="Lienhypertexte"/>
          <w:rFonts w:ascii="Georgia" w:hAnsi="Georgia"/>
          <w:color w:val="404040" w:themeColor="text1" w:themeTint="BF"/>
          <w:sz w:val="20"/>
          <w:u w:val="none"/>
        </w:rPr>
        <w:t xml:space="preserve">N° 11, Avenue de la Mission I, Q. Kaba, Commune de </w:t>
      </w:r>
      <w:proofErr w:type="spellStart"/>
      <w:r w:rsidRPr="006B32D6">
        <w:rPr>
          <w:rStyle w:val="Lienhypertexte"/>
          <w:rFonts w:ascii="Georgia" w:hAnsi="Georgia"/>
          <w:color w:val="404040" w:themeColor="text1" w:themeTint="BF"/>
          <w:sz w:val="20"/>
          <w:u w:val="none"/>
        </w:rPr>
        <w:t>Bolikangi</w:t>
      </w:r>
      <w:proofErr w:type="spellEnd"/>
      <w:r w:rsidRPr="006B32D6">
        <w:rPr>
          <w:rStyle w:val="Lienhypertexte"/>
          <w:rFonts w:ascii="Georgia" w:hAnsi="Georgia"/>
          <w:color w:val="404040" w:themeColor="text1" w:themeTint="BF"/>
          <w:sz w:val="20"/>
          <w:u w:val="none"/>
        </w:rPr>
        <w:t>,</w:t>
      </w:r>
    </w:p>
    <w:p w14:paraId="70577CE2" w14:textId="77777777" w:rsidR="00F8158C" w:rsidRPr="006B32D6" w:rsidRDefault="00F8158C" w:rsidP="00F8158C">
      <w:pPr>
        <w:pStyle w:val="BTCtextCTB"/>
        <w:jc w:val="center"/>
        <w:rPr>
          <w:rStyle w:val="Lienhypertexte"/>
          <w:rFonts w:ascii="Georgia" w:hAnsi="Georgia"/>
          <w:color w:val="404040" w:themeColor="text1" w:themeTint="BF"/>
          <w:sz w:val="20"/>
          <w:u w:val="none"/>
        </w:rPr>
      </w:pPr>
      <w:r w:rsidRPr="006B32D6">
        <w:rPr>
          <w:rStyle w:val="Lienhypertexte"/>
          <w:rFonts w:ascii="Georgia" w:hAnsi="Georgia"/>
          <w:color w:val="404040" w:themeColor="text1" w:themeTint="BF"/>
          <w:sz w:val="20"/>
          <w:u w:val="none"/>
        </w:rPr>
        <w:t xml:space="preserve">Ville de Lisala, Province de </w:t>
      </w:r>
      <w:proofErr w:type="spellStart"/>
      <w:r w:rsidRPr="006B32D6">
        <w:rPr>
          <w:rStyle w:val="Lienhypertexte"/>
          <w:rFonts w:ascii="Georgia" w:hAnsi="Georgia"/>
          <w:color w:val="404040" w:themeColor="text1" w:themeTint="BF"/>
          <w:sz w:val="20"/>
          <w:u w:val="none"/>
        </w:rPr>
        <w:t>Mongala</w:t>
      </w:r>
      <w:proofErr w:type="spellEnd"/>
      <w:r w:rsidRPr="006B32D6">
        <w:rPr>
          <w:rStyle w:val="Lienhypertexte"/>
          <w:rFonts w:ascii="Georgia" w:hAnsi="Georgia"/>
          <w:color w:val="404040" w:themeColor="text1" w:themeTint="BF"/>
          <w:sz w:val="20"/>
          <w:u w:val="none"/>
        </w:rPr>
        <w:t>, RD Congo</w:t>
      </w:r>
    </w:p>
    <w:p w14:paraId="4BD77ABD" w14:textId="77777777" w:rsidR="005F2003" w:rsidRPr="001A7281" w:rsidRDefault="005F2003" w:rsidP="005F2003">
      <w:pPr>
        <w:pStyle w:val="BTCtextCTB"/>
        <w:rPr>
          <w:rFonts w:ascii="Arial" w:eastAsia="DejaVu Sans" w:hAnsi="Arial" w:cs="Arial"/>
          <w:kern w:val="18"/>
          <w:sz w:val="20"/>
          <w:szCs w:val="24"/>
          <w:lang w:val="fr-FR"/>
        </w:rPr>
      </w:pPr>
    </w:p>
    <w:p w14:paraId="3B026706" w14:textId="4E28AEBD" w:rsidR="005A7D6C" w:rsidRPr="006B32D6" w:rsidRDefault="005F2003" w:rsidP="005A7D6C">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663730F0" w14:textId="77777777" w:rsidR="005A7D6C" w:rsidRPr="006B32D6" w:rsidRDefault="005A7D6C" w:rsidP="005A7D6C">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lastRenderedPageBreak/>
        <w:t>Le paiement du montant dû au prestataire de services doit intervenir dans le délai de paiement de</w:t>
      </w:r>
      <w:r w:rsidRPr="006B32D6">
        <w:rPr>
          <w:rFonts w:ascii="Georgia" w:eastAsia="Calibri" w:hAnsi="Georgia"/>
          <w:b/>
          <w:bCs/>
          <w:color w:val="585756"/>
          <w:kern w:val="18"/>
          <w:sz w:val="20"/>
          <w:szCs w:val="22"/>
        </w:rPr>
        <w:t xml:space="preserve"> trente jours </w:t>
      </w:r>
      <w:r w:rsidRPr="006B32D6">
        <w:rPr>
          <w:rFonts w:ascii="Georgia" w:eastAsia="Calibri" w:hAnsi="Georgia"/>
          <w:color w:val="585756"/>
          <w:kern w:val="18"/>
          <w:sz w:val="20"/>
          <w:szCs w:val="22"/>
        </w:rPr>
        <w:t>à compter de l'échéance de la fin de vérification et pour autant que le pouvoir adjudicateur soit, en même temps, en possession de la facture régulièrement établie ainsi que d’autres documents éventuellement exigés.</w:t>
      </w:r>
    </w:p>
    <w:p w14:paraId="6E5D4645" w14:textId="77777777" w:rsidR="005A7D6C" w:rsidRPr="006B32D6" w:rsidRDefault="005A7D6C" w:rsidP="005A7D6C">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Lorsque les documents du marché ne prévoient pas une déclaration de créance séparée, la facture vaut déclaration de créance.</w:t>
      </w:r>
    </w:p>
    <w:p w14:paraId="0B5DB22A" w14:textId="77777777" w:rsidR="005A7D6C" w:rsidRPr="006B32D6" w:rsidRDefault="005A7D6C" w:rsidP="005A7D6C">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La facture doit être libellée en EURO.</w:t>
      </w:r>
    </w:p>
    <w:p w14:paraId="2488BAB8" w14:textId="02047E22" w:rsidR="005A7D6C" w:rsidRPr="006B32D6" w:rsidRDefault="005A7D6C" w:rsidP="005A7D6C">
      <w:pPr>
        <w:pStyle w:val="BTCtextCTB"/>
        <w:rPr>
          <w:rFonts w:ascii="Georgia" w:eastAsia="Calibri" w:hAnsi="Georgia"/>
          <w:color w:val="585756"/>
          <w:kern w:val="18"/>
          <w:sz w:val="20"/>
          <w:szCs w:val="22"/>
        </w:rPr>
      </w:pPr>
      <w:r w:rsidRPr="006B32D6">
        <w:rPr>
          <w:rFonts w:ascii="Georgia" w:eastAsia="Calibri" w:hAnsi="Georgia"/>
          <w:color w:val="585756"/>
          <w:kern w:val="18"/>
          <w:sz w:val="20"/>
          <w:szCs w:val="22"/>
        </w:rPr>
        <w:t>Le paiement se fera sur une base mensuelle, chaque facture représentant un pourcentage du montant global tel que prévu dans l’offre, ou, à défaut de précision, 1/</w:t>
      </w:r>
      <w:r w:rsidR="00262187">
        <w:rPr>
          <w:rFonts w:ascii="Georgia" w:eastAsia="Calibri" w:hAnsi="Georgia"/>
          <w:color w:val="585756"/>
          <w:kern w:val="18"/>
          <w:sz w:val="20"/>
          <w:szCs w:val="22"/>
        </w:rPr>
        <w:t>4</w:t>
      </w:r>
      <w:r w:rsidRPr="006B32D6">
        <w:rPr>
          <w:rFonts w:ascii="Georgia" w:eastAsia="Calibri" w:hAnsi="Georgia"/>
          <w:color w:val="585756"/>
          <w:kern w:val="18"/>
          <w:sz w:val="20"/>
          <w:szCs w:val="22"/>
        </w:rPr>
        <w:t xml:space="preserve"> pour la tranche ferme, 1/3 pour la tranche conditionnelle.</w:t>
      </w:r>
    </w:p>
    <w:p w14:paraId="36FDA07B" w14:textId="77777777" w:rsidR="005A7D6C" w:rsidRPr="00C55D53" w:rsidRDefault="005A7D6C" w:rsidP="005F2003">
      <w:pPr>
        <w:pStyle w:val="BTCtextCTB"/>
        <w:rPr>
          <w:rFonts w:ascii="Georgia" w:eastAsia="Calibri" w:hAnsi="Georgia"/>
          <w:color w:val="585756"/>
          <w:kern w:val="18"/>
          <w:sz w:val="20"/>
          <w:szCs w:val="22"/>
        </w:rPr>
      </w:pPr>
    </w:p>
    <w:p w14:paraId="11B124D4" w14:textId="28F65088" w:rsidR="005F2003" w:rsidRPr="005A7D6C" w:rsidRDefault="005F2003" w:rsidP="005F2003">
      <w:pPr>
        <w:pStyle w:val="BTCtextCTB"/>
        <w:rPr>
          <w:rFonts w:ascii="Georgia" w:eastAsia="Calibri" w:hAnsi="Georgia"/>
          <w:color w:val="585756"/>
          <w:kern w:val="18"/>
          <w:sz w:val="20"/>
          <w:szCs w:val="22"/>
        </w:rPr>
      </w:pPr>
    </w:p>
    <w:p w14:paraId="53DE9D59" w14:textId="7313AC35" w:rsidR="005F2003" w:rsidRDefault="005F2003" w:rsidP="000534B9">
      <w:pPr>
        <w:pStyle w:val="Titre2"/>
        <w:keepLines w:val="0"/>
        <w:widowControl w:val="0"/>
        <w:tabs>
          <w:tab w:val="num" w:pos="576"/>
        </w:tabs>
        <w:suppressAutoHyphens/>
        <w:spacing w:after="240"/>
      </w:pPr>
      <w:bookmarkStart w:id="158" w:name="_Toc361393832"/>
      <w:bookmarkStart w:id="159" w:name="_Toc361408334"/>
      <w:bookmarkStart w:id="160" w:name="_Toc503965240"/>
      <w:r>
        <w:t xml:space="preserve">Litiges </w:t>
      </w:r>
      <w:r w:rsidRPr="001A7281">
        <w:t>(art. 73)</w:t>
      </w:r>
      <w:bookmarkEnd w:id="158"/>
      <w:bookmarkEnd w:id="159"/>
      <w:bookmarkEnd w:id="160"/>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3F78457B"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En cas de « litige », c’est-à-dire d’action en justice, la correspondance devra (également) être envoyée à l’adresse suivante</w:t>
      </w:r>
      <w:r w:rsidR="00262187">
        <w:rPr>
          <w:rFonts w:ascii="Georgia" w:eastAsia="Calibri" w:hAnsi="Georgia"/>
          <w:color w:val="585756"/>
          <w:kern w:val="18"/>
          <w:sz w:val="20"/>
          <w:szCs w:val="22"/>
        </w:rPr>
        <w:t> </w:t>
      </w:r>
      <w:r w:rsidRPr="00C32464">
        <w:rPr>
          <w:rFonts w:ascii="Georgia" w:eastAsia="Calibri" w:hAnsi="Georgia"/>
          <w:color w:val="585756"/>
          <w:kern w:val="18"/>
          <w:sz w:val="20"/>
          <w:szCs w:val="22"/>
        </w:rPr>
        <w:t xml:space="preserve">: </w:t>
      </w:r>
    </w:p>
    <w:p w14:paraId="15A8FD98" w14:textId="7A484C46" w:rsidR="005F2003" w:rsidRPr="00C32464" w:rsidRDefault="005A7D6C" w:rsidP="005A7D6C">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Enabel, Agence Belge de développement</w:t>
      </w:r>
      <w:r w:rsidR="005F2003" w:rsidRPr="00C32464">
        <w:rPr>
          <w:rFonts w:ascii="Georgia" w:eastAsia="Calibri" w:hAnsi="Georgia"/>
          <w:color w:val="585756"/>
          <w:kern w:val="18"/>
          <w:sz w:val="20"/>
          <w:szCs w:val="22"/>
        </w:rPr>
        <w:t>.</w:t>
      </w:r>
    </w:p>
    <w:p w14:paraId="0F155B9B" w14:textId="77777777" w:rsidR="005F2003" w:rsidRPr="00C32464" w:rsidRDefault="005F2003" w:rsidP="005A7D6C">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A7D6C">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A7D6C">
      <w:pPr>
        <w:pStyle w:val="BTCtextCTB"/>
        <w:jc w:val="center"/>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A7D6C">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7825AEC7" w14:textId="361FD4C2" w:rsidR="005F2003" w:rsidRPr="00AA0CBE" w:rsidRDefault="00262187" w:rsidP="00AA0CBE">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Belgique</w:t>
      </w:r>
      <w:r w:rsidR="005F2003">
        <w:rPr>
          <w:rFonts w:cs="Arial"/>
          <w:kern w:val="18"/>
          <w:sz w:val="20"/>
        </w:rPr>
        <w:br w:type="page"/>
      </w:r>
    </w:p>
    <w:p w14:paraId="58AEF0F7" w14:textId="18B46A80" w:rsidR="005F2003" w:rsidRDefault="005F2003" w:rsidP="00C72B94">
      <w:pPr>
        <w:pStyle w:val="Titre1"/>
        <w:numPr>
          <w:ilvl w:val="0"/>
          <w:numId w:val="5"/>
        </w:numPr>
      </w:pPr>
      <w:bookmarkStart w:id="161" w:name="_Toc503965241"/>
      <w:r>
        <w:lastRenderedPageBreak/>
        <w:t>Termes de référence</w:t>
      </w:r>
      <w:bookmarkEnd w:id="161"/>
    </w:p>
    <w:p w14:paraId="5A06CA9B" w14:textId="7DC35F30" w:rsidR="005F2003" w:rsidRPr="00994D44" w:rsidRDefault="00262187" w:rsidP="00994D44">
      <w:pPr>
        <w:jc w:val="both"/>
        <w:rPr>
          <w:rStyle w:val="eop"/>
          <w:b/>
          <w:bCs/>
          <w:sz w:val="22"/>
          <w:shd w:val="clear" w:color="auto" w:fill="FFFFFF"/>
        </w:rPr>
      </w:pPr>
      <w:r w:rsidRPr="00994D44">
        <w:rPr>
          <w:rStyle w:val="eop"/>
          <w:b/>
          <w:bCs/>
          <w:sz w:val="22"/>
          <w:shd w:val="clear" w:color="auto" w:fill="FFFFFF"/>
        </w:rPr>
        <w:t xml:space="preserve">5.1 </w:t>
      </w:r>
      <w:r w:rsidR="00AA0CBE" w:rsidRPr="00994D44">
        <w:rPr>
          <w:rStyle w:val="eop"/>
          <w:b/>
          <w:bCs/>
          <w:sz w:val="22"/>
          <w:shd w:val="clear" w:color="auto" w:fill="FFFFFF"/>
        </w:rPr>
        <w:t>Contexte</w:t>
      </w:r>
    </w:p>
    <w:p w14:paraId="7D9CD0AF" w14:textId="66DAE3EF" w:rsidR="00AA0CBE" w:rsidRPr="009C4421" w:rsidRDefault="00AA0CBE" w:rsidP="00AA0CBE">
      <w:pPr>
        <w:rPr>
          <w:b/>
          <w:bCs/>
          <w:sz w:val="22"/>
          <w:u w:val="single"/>
        </w:rPr>
      </w:pPr>
      <w:r w:rsidRPr="009C4421">
        <w:rPr>
          <w:b/>
          <w:bCs/>
          <w:sz w:val="22"/>
          <w:u w:val="single"/>
        </w:rPr>
        <w:t>Cadre de la mise en œuvre de la stratégie REDD+ en RDC</w:t>
      </w:r>
      <w:r w:rsidR="00262187">
        <w:rPr>
          <w:b/>
          <w:bCs/>
          <w:sz w:val="22"/>
          <w:u w:val="single"/>
        </w:rPr>
        <w:t> </w:t>
      </w:r>
      <w:r w:rsidRPr="009C4421">
        <w:rPr>
          <w:b/>
          <w:bCs/>
          <w:sz w:val="22"/>
          <w:u w:val="single"/>
        </w:rPr>
        <w:t>:</w:t>
      </w:r>
    </w:p>
    <w:p w14:paraId="03FEB77F" w14:textId="327696B0" w:rsidR="00AA0CBE" w:rsidRPr="009C4421" w:rsidRDefault="00AA0CBE" w:rsidP="00AA0CBE">
      <w:pPr>
        <w:jc w:val="both"/>
        <w:rPr>
          <w:sz w:val="22"/>
        </w:rPr>
      </w:pPr>
      <w:r w:rsidRPr="009C4421">
        <w:rPr>
          <w:sz w:val="22"/>
        </w:rPr>
        <w:t>La République démocratique du Congo (RDC) est le géant forestier de la région. Sa forêt tropicale, qui couvre plus de 130 millions d</w:t>
      </w:r>
      <w:r w:rsidR="00262187">
        <w:rPr>
          <w:sz w:val="22"/>
        </w:rPr>
        <w:t>’</w:t>
      </w:r>
      <w:r w:rsidRPr="009C4421">
        <w:rPr>
          <w:sz w:val="22"/>
        </w:rPr>
        <w:t>hectares, </w:t>
      </w:r>
      <w:r w:rsidRPr="009C4421">
        <w:rPr>
          <w:b/>
          <w:bCs/>
          <w:sz w:val="22"/>
        </w:rPr>
        <w:t>est la deuxième plus vaste au monde</w:t>
      </w:r>
      <w:r w:rsidRPr="009C4421">
        <w:rPr>
          <w:sz w:val="22"/>
        </w:rPr>
        <w:t>. Mais la RDC est aussi un pays économiquement vulnérable, politiquement instable et parmi les plus pauvres du monde (</w:t>
      </w:r>
      <w:hyperlink r:id="rId26" w:history="1">
        <w:r w:rsidRPr="009C4421">
          <w:rPr>
            <w:sz w:val="22"/>
          </w:rPr>
          <w:t>Indice 2020 du Développement humain</w:t>
        </w:r>
      </w:hyperlink>
      <w:r w:rsidRPr="009C4421">
        <w:rPr>
          <w:sz w:val="22"/>
        </w:rPr>
        <w:t>). Une grande partie de sa population vit dans une pauvreté multidimensionnelle</w:t>
      </w:r>
      <w:r w:rsidR="00262187">
        <w:rPr>
          <w:sz w:val="22"/>
        </w:rPr>
        <w:t> </w:t>
      </w:r>
      <w:r w:rsidRPr="009C4421">
        <w:rPr>
          <w:sz w:val="22"/>
        </w:rPr>
        <w:t>: 15,5 millions de personnes vivent dans l</w:t>
      </w:r>
      <w:r w:rsidR="00262187">
        <w:rPr>
          <w:sz w:val="22"/>
        </w:rPr>
        <w:t>’</w:t>
      </w:r>
      <w:r w:rsidRPr="009C4421">
        <w:rPr>
          <w:sz w:val="22"/>
        </w:rPr>
        <w:t>insécurité alimentaire, 2,3 millions d</w:t>
      </w:r>
      <w:r w:rsidR="00262187">
        <w:rPr>
          <w:sz w:val="22"/>
        </w:rPr>
        <w:t>’</w:t>
      </w:r>
      <w:r w:rsidRPr="009C4421">
        <w:rPr>
          <w:sz w:val="22"/>
        </w:rPr>
        <w:t>enfants souffrent de malnutrition modérée et 1,1 million d</w:t>
      </w:r>
      <w:r w:rsidR="00262187">
        <w:rPr>
          <w:sz w:val="22"/>
        </w:rPr>
        <w:t>’</w:t>
      </w:r>
      <w:r w:rsidRPr="009C4421">
        <w:rPr>
          <w:sz w:val="22"/>
        </w:rPr>
        <w:t>enfants souffrent de malnutrition sévère. </w:t>
      </w:r>
    </w:p>
    <w:p w14:paraId="5DD24898" w14:textId="162CF456" w:rsidR="00AA0CBE" w:rsidRPr="009C4421" w:rsidRDefault="00AA0CBE" w:rsidP="00AA0CBE">
      <w:pPr>
        <w:jc w:val="both"/>
        <w:rPr>
          <w:sz w:val="22"/>
        </w:rPr>
      </w:pPr>
      <w:r w:rsidRPr="009C4421">
        <w:rPr>
          <w:sz w:val="22"/>
        </w:rPr>
        <w:t>Mais la forêt de la RDC est menacée de disparition. La RDC est le </w:t>
      </w:r>
      <w:r w:rsidRPr="009C4421">
        <w:rPr>
          <w:b/>
          <w:bCs/>
          <w:sz w:val="22"/>
        </w:rPr>
        <w:t>troisième pays tropical au monde en termes de pertes de forêts</w:t>
      </w:r>
      <w:r w:rsidRPr="009C4421">
        <w:rPr>
          <w:sz w:val="22"/>
        </w:rPr>
        <w:t> après le Brésil et l</w:t>
      </w:r>
      <w:r w:rsidR="00262187">
        <w:rPr>
          <w:sz w:val="22"/>
        </w:rPr>
        <w:t>’</w:t>
      </w:r>
      <w:r w:rsidRPr="009C4421">
        <w:rPr>
          <w:sz w:val="22"/>
        </w:rPr>
        <w:t>Indonésie, avec 14,6 millions d</w:t>
      </w:r>
      <w:r w:rsidR="00262187">
        <w:rPr>
          <w:sz w:val="22"/>
        </w:rPr>
        <w:t>’</w:t>
      </w:r>
      <w:r w:rsidRPr="009C4421">
        <w:rPr>
          <w:sz w:val="22"/>
        </w:rPr>
        <w:t>hectares perdus entre 2001 et 2019</w:t>
      </w:r>
      <w:r>
        <w:rPr>
          <w:sz w:val="22"/>
        </w:rPr>
        <w:t xml:space="preserve">. </w:t>
      </w:r>
      <w:r w:rsidRPr="009C4421">
        <w:rPr>
          <w:sz w:val="22"/>
        </w:rPr>
        <w:t xml:space="preserve">Les raisons de cette perte de ces forêts y sont pourtant </w:t>
      </w:r>
      <w:r>
        <w:rPr>
          <w:sz w:val="22"/>
        </w:rPr>
        <w:t>spécifique</w:t>
      </w:r>
      <w:r w:rsidRPr="009C4421">
        <w:rPr>
          <w:sz w:val="22"/>
        </w:rPr>
        <w:t>s</w:t>
      </w:r>
      <w:r w:rsidR="00262187">
        <w:rPr>
          <w:sz w:val="22"/>
        </w:rPr>
        <w:t> </w:t>
      </w:r>
      <w:r w:rsidRPr="009C4421">
        <w:rPr>
          <w:sz w:val="22"/>
        </w:rPr>
        <w:t>: cette perte est due en RDC à la pauvreté et à un besoin local en terres et produits forestiers (agriculture sur brûlis à petite échelle et charbon de bois), besoin exacerbé par une forte croissance démographique. Au Brésil ou en Indonésie, par contraste, la perte de forêts est principalement causée par la culture de matières premières agricoles et l</w:t>
      </w:r>
      <w:r w:rsidR="00262187">
        <w:rPr>
          <w:sz w:val="22"/>
        </w:rPr>
        <w:t>’</w:t>
      </w:r>
      <w:r w:rsidRPr="009C4421">
        <w:rPr>
          <w:sz w:val="22"/>
        </w:rPr>
        <w:t>élevage (soja, bœuf, huile de palme). </w:t>
      </w:r>
    </w:p>
    <w:p w14:paraId="6737D7AB" w14:textId="72652BC2" w:rsidR="00AA0CBE" w:rsidRPr="009C4421" w:rsidRDefault="00AA0CBE" w:rsidP="00AA0CBE">
      <w:pPr>
        <w:jc w:val="both"/>
        <w:rPr>
          <w:sz w:val="22"/>
        </w:rPr>
      </w:pPr>
      <w:r w:rsidRPr="009C4421">
        <w:rPr>
          <w:b/>
          <w:bCs/>
          <w:sz w:val="22"/>
        </w:rPr>
        <w:t>Toute solution proposée pour endiguer la perte de forêts en RDC doit donc aussi s’attacher à réduire la pauvreté. </w:t>
      </w:r>
      <w:r w:rsidRPr="009C4421">
        <w:rPr>
          <w:sz w:val="22"/>
        </w:rPr>
        <w:t>Concrètement, il s’agit de trouver des réponses collectives à des questions telles que</w:t>
      </w:r>
      <w:r w:rsidR="00262187">
        <w:rPr>
          <w:sz w:val="22"/>
        </w:rPr>
        <w:t> </w:t>
      </w:r>
      <w:r w:rsidRPr="009C4421">
        <w:rPr>
          <w:sz w:val="22"/>
        </w:rPr>
        <w:t>: Comment assurer la sécurité alimentaire et augmenter substantiellement la production agricole sans détruire la forêt, elle-même nécessaire au maintien des pluies dont dépendent les récoltes</w:t>
      </w:r>
      <w:r w:rsidR="00262187">
        <w:rPr>
          <w:sz w:val="22"/>
        </w:rPr>
        <w:t> </w:t>
      </w:r>
      <w:r w:rsidRPr="009C4421">
        <w:rPr>
          <w:sz w:val="22"/>
        </w:rPr>
        <w:t>? Comment offrir des solutions de cuisson modernes et électrifier les villes dans un pays où plus de 90 % de la population n</w:t>
      </w:r>
      <w:r w:rsidR="00262187">
        <w:rPr>
          <w:sz w:val="22"/>
        </w:rPr>
        <w:t>’</w:t>
      </w:r>
      <w:r w:rsidRPr="009C4421">
        <w:rPr>
          <w:sz w:val="22"/>
        </w:rPr>
        <w:t>a pas accès à l</w:t>
      </w:r>
      <w:r w:rsidR="00262187">
        <w:rPr>
          <w:sz w:val="22"/>
        </w:rPr>
        <w:t>’</w:t>
      </w:r>
      <w:r w:rsidRPr="009C4421">
        <w:rPr>
          <w:sz w:val="22"/>
        </w:rPr>
        <w:t>électricité et dépend donc de la biomasse</w:t>
      </w:r>
      <w:r w:rsidR="00262187">
        <w:rPr>
          <w:sz w:val="22"/>
        </w:rPr>
        <w:t> </w:t>
      </w:r>
      <w:r w:rsidRPr="009C4421">
        <w:rPr>
          <w:sz w:val="22"/>
        </w:rPr>
        <w:t>? Comment développer le territoire national, dont 60 % est couvert de forêts, d</w:t>
      </w:r>
      <w:r w:rsidR="00262187">
        <w:rPr>
          <w:sz w:val="22"/>
        </w:rPr>
        <w:t>’</w:t>
      </w:r>
      <w:r w:rsidRPr="009C4421">
        <w:rPr>
          <w:sz w:val="22"/>
        </w:rPr>
        <w:t>une manière qui soit socialement équitable, écologiquement durable et qui fournisse les infrastructures nécessaires à l</w:t>
      </w:r>
      <w:r w:rsidR="00262187">
        <w:rPr>
          <w:sz w:val="22"/>
        </w:rPr>
        <w:t>’</w:t>
      </w:r>
      <w:r w:rsidRPr="009C4421">
        <w:rPr>
          <w:sz w:val="22"/>
        </w:rPr>
        <w:t>émergence économique</w:t>
      </w:r>
      <w:r w:rsidR="00262187">
        <w:rPr>
          <w:sz w:val="22"/>
        </w:rPr>
        <w:t> </w:t>
      </w:r>
      <w:r w:rsidRPr="009C4421">
        <w:rPr>
          <w:sz w:val="22"/>
        </w:rPr>
        <w:t>?</w:t>
      </w:r>
    </w:p>
    <w:p w14:paraId="5DD5F86E" w14:textId="1FDA99C1" w:rsidR="00AA0CBE" w:rsidRPr="009C4421" w:rsidRDefault="00AA0CBE" w:rsidP="00AA0CBE">
      <w:pPr>
        <w:jc w:val="both"/>
        <w:rPr>
          <w:sz w:val="22"/>
        </w:rPr>
      </w:pPr>
      <w:r w:rsidRPr="009C4421">
        <w:rPr>
          <w:sz w:val="22"/>
        </w:rPr>
        <w:t xml:space="preserve">Pour répondre à ces défis, la RDC a adopté en 2012 sa stratégie-cadre nationale REDD+, visant à stabiliser le couvert forestier à 63,5 % à partir de 2030, et à le maintenir par la suite. Le partenariat de CAFI avec la RDC a débuté en 2015, quand </w:t>
      </w:r>
      <w:r w:rsidR="00262187">
        <w:rPr>
          <w:sz w:val="22"/>
        </w:rPr>
        <w:t>–</w:t>
      </w:r>
      <w:r w:rsidRPr="009C4421">
        <w:rPr>
          <w:sz w:val="22"/>
        </w:rPr>
        <w:t xml:space="preserve"> à la suite de sa stratégie cadre </w:t>
      </w:r>
      <w:r w:rsidR="00262187">
        <w:rPr>
          <w:sz w:val="22"/>
        </w:rPr>
        <w:t>–</w:t>
      </w:r>
      <w:r w:rsidRPr="009C4421">
        <w:rPr>
          <w:sz w:val="22"/>
        </w:rPr>
        <w:t xml:space="preserve"> le gouvernement a adopté son Plan d</w:t>
      </w:r>
      <w:r w:rsidR="00262187">
        <w:rPr>
          <w:sz w:val="22"/>
        </w:rPr>
        <w:t>’</w:t>
      </w:r>
      <w:r w:rsidRPr="009C4421">
        <w:rPr>
          <w:sz w:val="22"/>
        </w:rPr>
        <w:t>investissement national REDD+. Sur cette base, une</w:t>
      </w:r>
      <w:hyperlink r:id="rId27" w:history="1">
        <w:r w:rsidRPr="009C4421">
          <w:rPr>
            <w:sz w:val="22"/>
          </w:rPr>
          <w:t> Lettre d</w:t>
        </w:r>
        <w:r w:rsidR="00262187">
          <w:rPr>
            <w:sz w:val="22"/>
          </w:rPr>
          <w:t>’</w:t>
        </w:r>
        <w:r w:rsidRPr="009C4421">
          <w:rPr>
            <w:sz w:val="22"/>
          </w:rPr>
          <w:t>intention</w:t>
        </w:r>
      </w:hyperlink>
      <w:r w:rsidRPr="009C4421">
        <w:rPr>
          <w:sz w:val="22"/>
        </w:rPr>
        <w:t> a été convenue avec CAFI pour 5 ans (2016-2020) et 18 programmes ont été progressivement financés, via la capitalisation du </w:t>
      </w:r>
      <w:hyperlink r:id="rId28" w:history="1">
        <w:r w:rsidRPr="009C4421">
          <w:rPr>
            <w:sz w:val="22"/>
          </w:rPr>
          <w:t>Fonds National REDD+ (FONAREDD) de la RDC</w:t>
        </w:r>
      </w:hyperlink>
      <w:r w:rsidRPr="009C4421">
        <w:rPr>
          <w:sz w:val="22"/>
        </w:rPr>
        <w:t>. </w:t>
      </w:r>
    </w:p>
    <w:p w14:paraId="74A889E5" w14:textId="3869DD5E" w:rsidR="00AA0CBE" w:rsidRPr="009C4421" w:rsidRDefault="00AA0CBE" w:rsidP="00AA0CBE">
      <w:pPr>
        <w:rPr>
          <w:b/>
          <w:bCs/>
          <w:sz w:val="22"/>
          <w:u w:val="single"/>
        </w:rPr>
      </w:pPr>
      <w:r w:rsidRPr="009C4421">
        <w:rPr>
          <w:b/>
          <w:bCs/>
          <w:sz w:val="22"/>
          <w:u w:val="single"/>
        </w:rPr>
        <w:t>Rappel sur les PIREDD</w:t>
      </w:r>
      <w:r w:rsidR="00262187">
        <w:rPr>
          <w:b/>
          <w:bCs/>
          <w:sz w:val="22"/>
          <w:u w:val="single"/>
        </w:rPr>
        <w:t> </w:t>
      </w:r>
      <w:r w:rsidRPr="009C4421">
        <w:rPr>
          <w:b/>
          <w:bCs/>
          <w:sz w:val="22"/>
          <w:u w:val="single"/>
        </w:rPr>
        <w:t>:</w:t>
      </w:r>
    </w:p>
    <w:p w14:paraId="00BF12A7" w14:textId="77777777" w:rsidR="00AA0CBE" w:rsidRPr="009C4421" w:rsidRDefault="00AA0CBE" w:rsidP="00AA0CBE">
      <w:pPr>
        <w:spacing w:after="120" w:line="240" w:lineRule="auto"/>
        <w:jc w:val="both"/>
        <w:rPr>
          <w:sz w:val="22"/>
        </w:rPr>
      </w:pPr>
      <w:r w:rsidRPr="009C4421">
        <w:rPr>
          <w:sz w:val="22"/>
        </w:rPr>
        <w:t xml:space="preserve">Les Projets Intégrés REDD+ sont l’une des deux composantes de la programmation de la Stratégie Nationale REDD+ (2012) et de son Plan d’Investissement (2013, révisé en 2015). L’objectif de ces deux documents est de stabiliser la déforestation et d’améliorer les revenus des populations. Ils distinguent 7 piliers (gouvernance, aménagement du territoire, agriculture, forêt, foncier, énergie, démographie) et des modalités d’action des projets sectorielles et intégrées. </w:t>
      </w:r>
    </w:p>
    <w:p w14:paraId="3D3B38E8" w14:textId="46E8B42C" w:rsidR="00AA0CBE" w:rsidRPr="009C4421" w:rsidRDefault="00AA0CBE" w:rsidP="00AA0CBE">
      <w:pPr>
        <w:jc w:val="both"/>
        <w:rPr>
          <w:sz w:val="22"/>
        </w:rPr>
      </w:pPr>
      <w:r w:rsidRPr="009C4421">
        <w:rPr>
          <w:sz w:val="22"/>
        </w:rPr>
        <w:lastRenderedPageBreak/>
        <w:t>Les PIREDD interviennent dans un espace déterminé, juridictionnel (les 26 provinces de la RDC) sur les diverses causes directes et indirectes de la déforestation et de la dégradation forestière et ceci selon les deux dimensions de l’action sectorielle</w:t>
      </w:r>
      <w:r w:rsidR="00262187">
        <w:rPr>
          <w:sz w:val="22"/>
        </w:rPr>
        <w:t> </w:t>
      </w:r>
      <w:r w:rsidRPr="009C4421">
        <w:rPr>
          <w:sz w:val="22"/>
        </w:rPr>
        <w:t>: habilitante (renforcement de capacité, organisation, aménagement du territoire, règlements, gouvernance) et opérationnelle (changement durable des pratiques techniques des secteurs concernés).</w:t>
      </w:r>
    </w:p>
    <w:p w14:paraId="2402E484" w14:textId="19F20D72" w:rsidR="00AA0CBE" w:rsidRPr="009C4421" w:rsidRDefault="00AA0CBE" w:rsidP="00AA0CBE">
      <w:pPr>
        <w:rPr>
          <w:b/>
          <w:bCs/>
          <w:sz w:val="22"/>
          <w:u w:val="single"/>
        </w:rPr>
      </w:pPr>
      <w:r>
        <w:rPr>
          <w:b/>
          <w:bCs/>
          <w:sz w:val="22"/>
          <w:u w:val="single"/>
        </w:rPr>
        <w:t>Le</w:t>
      </w:r>
      <w:r w:rsidRPr="009C4421">
        <w:rPr>
          <w:b/>
          <w:bCs/>
          <w:sz w:val="22"/>
          <w:u w:val="single"/>
        </w:rPr>
        <w:t xml:space="preserve"> PIREDD</w:t>
      </w:r>
      <w:r>
        <w:rPr>
          <w:b/>
          <w:bCs/>
          <w:sz w:val="22"/>
          <w:u w:val="single"/>
        </w:rPr>
        <w:t xml:space="preserve"> </w:t>
      </w:r>
      <w:proofErr w:type="spellStart"/>
      <w:r>
        <w:rPr>
          <w:b/>
          <w:bCs/>
          <w:sz w:val="22"/>
          <w:u w:val="single"/>
        </w:rPr>
        <w:t>Mongala</w:t>
      </w:r>
      <w:proofErr w:type="spellEnd"/>
      <w:r w:rsidR="00262187">
        <w:rPr>
          <w:b/>
          <w:bCs/>
          <w:sz w:val="22"/>
          <w:u w:val="single"/>
        </w:rPr>
        <w:t> </w:t>
      </w:r>
      <w:r w:rsidRPr="009C4421">
        <w:rPr>
          <w:b/>
          <w:bCs/>
          <w:sz w:val="22"/>
          <w:u w:val="single"/>
        </w:rPr>
        <w:t>:</w:t>
      </w:r>
    </w:p>
    <w:p w14:paraId="1E055ECB" w14:textId="77777777" w:rsidR="00AA0CBE" w:rsidRPr="009C4421" w:rsidRDefault="00AA0CBE" w:rsidP="00AA0CBE">
      <w:pPr>
        <w:jc w:val="both"/>
        <w:rPr>
          <w:sz w:val="22"/>
        </w:rPr>
      </w:pPr>
      <w:r w:rsidRPr="009C4421">
        <w:rPr>
          <w:sz w:val="22"/>
        </w:rPr>
        <w:t>Actuellement,</w:t>
      </w:r>
      <w:r>
        <w:rPr>
          <w:sz w:val="22"/>
        </w:rPr>
        <w:t xml:space="preserve"> l’agence belge de coopération </w:t>
      </w:r>
      <w:r w:rsidRPr="009C4421">
        <w:rPr>
          <w:sz w:val="22"/>
        </w:rPr>
        <w:t>Enabel</w:t>
      </w:r>
      <w:r>
        <w:rPr>
          <w:sz w:val="22"/>
        </w:rPr>
        <w:t xml:space="preserve"> </w:t>
      </w:r>
      <w:r w:rsidRPr="009C4421">
        <w:rPr>
          <w:sz w:val="22"/>
        </w:rPr>
        <w:t xml:space="preserve">met en œuvre un projet PIREDD dans la province de la </w:t>
      </w:r>
      <w:proofErr w:type="spellStart"/>
      <w:r w:rsidRPr="009C4421">
        <w:rPr>
          <w:sz w:val="22"/>
        </w:rPr>
        <w:t>Mongala</w:t>
      </w:r>
      <w:proofErr w:type="spellEnd"/>
      <w:r w:rsidRPr="009C4421">
        <w:rPr>
          <w:sz w:val="22"/>
        </w:rPr>
        <w:t xml:space="preserve"> pour un montant de 12 millions de dollars </w:t>
      </w:r>
      <w:r>
        <w:rPr>
          <w:sz w:val="22"/>
        </w:rPr>
        <w:t>(</w:t>
      </w:r>
      <w:r w:rsidRPr="009C4421">
        <w:rPr>
          <w:sz w:val="22"/>
        </w:rPr>
        <w:t>période 2019-202</w:t>
      </w:r>
      <w:r>
        <w:rPr>
          <w:sz w:val="22"/>
        </w:rPr>
        <w:t xml:space="preserve">4). </w:t>
      </w:r>
      <w:r w:rsidRPr="00576F3A">
        <w:rPr>
          <w:sz w:val="22"/>
        </w:rPr>
        <w:t xml:space="preserve">S’inscrivant dans la Stratégie REDD de la RDC, il vise à lutter contre la déforestation et la dégradation forestière dans la Province de la </w:t>
      </w:r>
      <w:proofErr w:type="spellStart"/>
      <w:r w:rsidRPr="00576F3A">
        <w:rPr>
          <w:sz w:val="22"/>
        </w:rPr>
        <w:t>Mongala</w:t>
      </w:r>
      <w:proofErr w:type="spellEnd"/>
      <w:r w:rsidRPr="00576F3A">
        <w:rPr>
          <w:sz w:val="22"/>
        </w:rPr>
        <w:t>.</w:t>
      </w:r>
    </w:p>
    <w:p w14:paraId="4F12461F" w14:textId="2ABCA6CE" w:rsidR="00AA0CBE" w:rsidRDefault="00AA0CBE" w:rsidP="00AA0CBE">
      <w:pPr>
        <w:rPr>
          <w:rStyle w:val="eop"/>
          <w:sz w:val="22"/>
          <w:u w:val="single"/>
          <w:shd w:val="clear" w:color="auto" w:fill="FFFFFF"/>
        </w:rPr>
      </w:pPr>
      <w:r w:rsidRPr="009C4421">
        <w:rPr>
          <w:sz w:val="22"/>
          <w:u w:val="single"/>
        </w:rPr>
        <w:t>Cette consultance est prévue dans la cadre de la</w:t>
      </w:r>
      <w:r>
        <w:rPr>
          <w:sz w:val="22"/>
          <w:u w:val="single"/>
        </w:rPr>
        <w:t xml:space="preserve"> mise en œuvre du </w:t>
      </w:r>
      <w:r w:rsidRPr="009C4421">
        <w:rPr>
          <w:rStyle w:val="eop"/>
          <w:sz w:val="22"/>
          <w:u w:val="single"/>
          <w:shd w:val="clear" w:color="auto" w:fill="FFFFFF"/>
        </w:rPr>
        <w:t xml:space="preserve">PIREDD </w:t>
      </w:r>
      <w:proofErr w:type="spellStart"/>
      <w:r>
        <w:rPr>
          <w:rStyle w:val="eop"/>
          <w:sz w:val="22"/>
          <w:u w:val="single"/>
          <w:shd w:val="clear" w:color="auto" w:fill="FFFFFF"/>
        </w:rPr>
        <w:t>Mongala</w:t>
      </w:r>
      <w:proofErr w:type="spellEnd"/>
      <w:r w:rsidR="00262187">
        <w:rPr>
          <w:rStyle w:val="eop"/>
          <w:sz w:val="22"/>
          <w:u w:val="single"/>
          <w:shd w:val="clear" w:color="auto" w:fill="FFFFFF"/>
        </w:rPr>
        <w:t> </w:t>
      </w:r>
      <w:r w:rsidRPr="009C4421">
        <w:rPr>
          <w:rStyle w:val="eop"/>
          <w:sz w:val="22"/>
          <w:u w:val="single"/>
          <w:shd w:val="clear" w:color="auto" w:fill="FFFFFF"/>
        </w:rPr>
        <w:t>:</w:t>
      </w:r>
    </w:p>
    <w:p w14:paraId="0B18EBD5" w14:textId="77777777" w:rsidR="00AA0CBE" w:rsidRDefault="00AA0CBE" w:rsidP="00AA0CBE">
      <w:pPr>
        <w:rPr>
          <w:rStyle w:val="eop"/>
          <w:sz w:val="22"/>
          <w:shd w:val="clear" w:color="auto" w:fill="FFFFFF"/>
        </w:rPr>
      </w:pPr>
      <w:r>
        <w:rPr>
          <w:rStyle w:val="eop"/>
          <w:sz w:val="22"/>
          <w:shd w:val="clear" w:color="auto" w:fill="FFFFFF"/>
        </w:rPr>
        <w:t xml:space="preserve">En 2023, le PIREDD </w:t>
      </w:r>
      <w:proofErr w:type="spellStart"/>
      <w:r>
        <w:rPr>
          <w:rStyle w:val="eop"/>
          <w:sz w:val="22"/>
          <w:shd w:val="clear" w:color="auto" w:fill="FFFFFF"/>
        </w:rPr>
        <w:t>Mongala</w:t>
      </w:r>
      <w:proofErr w:type="spellEnd"/>
      <w:r>
        <w:rPr>
          <w:rStyle w:val="eop"/>
          <w:sz w:val="22"/>
          <w:shd w:val="clear" w:color="auto" w:fill="FFFFFF"/>
        </w:rPr>
        <w:t xml:space="preserve"> est entré dans la dernière année de mise en œuvre de la 1</w:t>
      </w:r>
      <w:r w:rsidRPr="00576F3A">
        <w:rPr>
          <w:rStyle w:val="eop"/>
          <w:sz w:val="22"/>
          <w:shd w:val="clear" w:color="auto" w:fill="FFFFFF"/>
          <w:vertAlign w:val="superscript"/>
        </w:rPr>
        <w:t>ière</w:t>
      </w:r>
      <w:r>
        <w:rPr>
          <w:rStyle w:val="eop"/>
          <w:sz w:val="22"/>
          <w:shd w:val="clear" w:color="auto" w:fill="FFFFFF"/>
        </w:rPr>
        <w:t xml:space="preserve"> phase du projet (une prolongation avec budget est en cours de négociation).</w:t>
      </w:r>
    </w:p>
    <w:p w14:paraId="561BF251" w14:textId="77777777" w:rsidR="00AA0CBE" w:rsidRDefault="00AA0CBE" w:rsidP="00AA0CBE">
      <w:pPr>
        <w:jc w:val="both"/>
        <w:rPr>
          <w:rStyle w:val="eop"/>
          <w:sz w:val="22"/>
          <w:shd w:val="clear" w:color="auto" w:fill="FFFFFF"/>
        </w:rPr>
      </w:pPr>
      <w:r>
        <w:rPr>
          <w:rStyle w:val="eop"/>
          <w:sz w:val="22"/>
          <w:shd w:val="clear" w:color="auto" w:fill="FFFFFF"/>
        </w:rPr>
        <w:t>Cette année 2023 a donc pour objectif de (1) atteindre des résultats clés prévus dans la 1</w:t>
      </w:r>
      <w:r w:rsidRPr="005733EE">
        <w:rPr>
          <w:rStyle w:val="eop"/>
          <w:sz w:val="22"/>
          <w:shd w:val="clear" w:color="auto" w:fill="FFFFFF"/>
          <w:vertAlign w:val="superscript"/>
        </w:rPr>
        <w:t>ière</w:t>
      </w:r>
      <w:r>
        <w:rPr>
          <w:rStyle w:val="eop"/>
          <w:sz w:val="22"/>
          <w:shd w:val="clear" w:color="auto" w:fill="FFFFFF"/>
        </w:rPr>
        <w:t xml:space="preserve"> phase de du projet, (2) recadrer certaines actions en prévision d’une prolongation du projet, et (3) construire des fondations supplémentaires pour un démarrage efficace des actions prévues dans la prolongation avec budget qui devrait débuter au plus tard en janvier 2024.</w:t>
      </w:r>
    </w:p>
    <w:p w14:paraId="092BE026" w14:textId="79CFCE92" w:rsidR="00AA0CBE" w:rsidRDefault="00AA0CBE" w:rsidP="00AA0CBE">
      <w:pPr>
        <w:jc w:val="both"/>
        <w:rPr>
          <w:rStyle w:val="eop"/>
          <w:sz w:val="22"/>
          <w:shd w:val="clear" w:color="auto" w:fill="FFFFFF"/>
        </w:rPr>
      </w:pPr>
      <w:r>
        <w:rPr>
          <w:rStyle w:val="eop"/>
          <w:sz w:val="22"/>
          <w:shd w:val="clear" w:color="auto" w:fill="FFFFFF"/>
        </w:rPr>
        <w:t>Enabel souhaite donc renforcer les équipes du projet avec une consultance internationale en gouvernance locale, appui institutionnel et développement local2</w:t>
      </w:r>
    </w:p>
    <w:p w14:paraId="652FF120" w14:textId="4DBFA3F2" w:rsidR="00AA0CBE" w:rsidRPr="00AA0CBE" w:rsidRDefault="00AA0CBE" w:rsidP="00AA0CBE">
      <w:pPr>
        <w:jc w:val="both"/>
        <w:rPr>
          <w:rStyle w:val="eop"/>
          <w:b/>
          <w:bCs/>
          <w:sz w:val="22"/>
          <w:shd w:val="clear" w:color="auto" w:fill="FFFFFF"/>
        </w:rPr>
      </w:pPr>
      <w:r w:rsidRPr="00AA0CBE">
        <w:rPr>
          <w:rStyle w:val="eop"/>
          <w:b/>
          <w:bCs/>
          <w:sz w:val="22"/>
          <w:shd w:val="clear" w:color="auto" w:fill="FFFFFF"/>
        </w:rPr>
        <w:t>5.</w:t>
      </w:r>
      <w:r w:rsidR="00262187">
        <w:rPr>
          <w:rStyle w:val="eop"/>
          <w:b/>
          <w:bCs/>
          <w:sz w:val="22"/>
          <w:shd w:val="clear" w:color="auto" w:fill="FFFFFF"/>
        </w:rPr>
        <w:t>2</w:t>
      </w:r>
      <w:r w:rsidRPr="00AA0CBE">
        <w:rPr>
          <w:rStyle w:val="eop"/>
          <w:b/>
          <w:bCs/>
          <w:sz w:val="22"/>
          <w:shd w:val="clear" w:color="auto" w:fill="FFFFFF"/>
        </w:rPr>
        <w:t xml:space="preserve"> Objectif de la prestation</w:t>
      </w:r>
    </w:p>
    <w:p w14:paraId="66A509A6" w14:textId="25587448" w:rsidR="00AA0CBE" w:rsidRPr="00C65E7D" w:rsidRDefault="00AA0CBE" w:rsidP="00AA0CBE">
      <w:pPr>
        <w:pStyle w:val="CTBCorpsdetexte"/>
        <w:spacing w:line="276" w:lineRule="auto"/>
        <w:rPr>
          <w:rFonts w:ascii="Georgia" w:eastAsia="Calibri" w:hAnsi="Georgia" w:cs="Arial"/>
          <w:color w:val="585756"/>
          <w:kern w:val="0"/>
          <w:sz w:val="22"/>
          <w:szCs w:val="22"/>
          <w:lang w:val="fr-FR"/>
        </w:rPr>
      </w:pPr>
      <w:r w:rsidRPr="00C65E7D">
        <w:rPr>
          <w:rFonts w:ascii="Georgia" w:eastAsia="Calibri" w:hAnsi="Georgia" w:cs="Arial"/>
          <w:color w:val="585756"/>
          <w:kern w:val="0"/>
          <w:sz w:val="22"/>
          <w:szCs w:val="22"/>
          <w:lang w:val="fr-FR"/>
        </w:rPr>
        <w:t xml:space="preserve">L’objectif de la consultance est de contribuer à l’atteinte des résultats du projet sur les volets </w:t>
      </w:r>
      <w:r>
        <w:rPr>
          <w:rFonts w:ascii="Georgia" w:eastAsia="Calibri" w:hAnsi="Georgia" w:cs="Arial"/>
          <w:color w:val="585756"/>
          <w:kern w:val="0"/>
          <w:sz w:val="22"/>
          <w:szCs w:val="22"/>
          <w:lang w:val="fr-FR"/>
        </w:rPr>
        <w:t>gouvernance locale, appui institutionnel et développement local</w:t>
      </w:r>
      <w:r w:rsidRPr="00C65E7D">
        <w:rPr>
          <w:rFonts w:ascii="Georgia" w:eastAsia="Calibri" w:hAnsi="Georgia" w:cs="Arial"/>
          <w:color w:val="585756"/>
          <w:kern w:val="0"/>
          <w:sz w:val="22"/>
          <w:szCs w:val="22"/>
          <w:lang w:val="fr-FR"/>
        </w:rPr>
        <w:t>. Il s’agira concrètement de</w:t>
      </w:r>
      <w:r w:rsidR="00262187">
        <w:rPr>
          <w:rFonts w:ascii="Georgia" w:eastAsia="Calibri" w:hAnsi="Georgia" w:cs="Arial"/>
          <w:color w:val="585756"/>
          <w:kern w:val="0"/>
          <w:sz w:val="22"/>
          <w:szCs w:val="22"/>
          <w:lang w:val="fr-FR"/>
        </w:rPr>
        <w:t> </w:t>
      </w:r>
      <w:r w:rsidRPr="00C65E7D">
        <w:rPr>
          <w:rFonts w:ascii="Georgia" w:eastAsia="Calibri" w:hAnsi="Georgia" w:cs="Arial"/>
          <w:color w:val="585756"/>
          <w:kern w:val="0"/>
          <w:sz w:val="22"/>
          <w:szCs w:val="22"/>
          <w:lang w:val="fr-FR"/>
        </w:rPr>
        <w:t>:   </w:t>
      </w:r>
    </w:p>
    <w:p w14:paraId="64701CD0" w14:textId="1DD0B8D1" w:rsidR="00AA0CBE" w:rsidRPr="00C65E7D" w:rsidRDefault="00AA0CBE">
      <w:pPr>
        <w:pStyle w:val="Paragraphedeliste"/>
        <w:widowControl w:val="0"/>
        <w:numPr>
          <w:ilvl w:val="0"/>
          <w:numId w:val="21"/>
        </w:numPr>
        <w:suppressAutoHyphens/>
        <w:spacing w:before="120" w:after="40"/>
        <w:jc w:val="both"/>
        <w:rPr>
          <w:rFonts w:cs="Arial"/>
          <w:sz w:val="22"/>
        </w:rPr>
      </w:pPr>
      <w:r w:rsidRPr="00C65E7D">
        <w:rPr>
          <w:rFonts w:cs="Arial"/>
          <w:sz w:val="22"/>
        </w:rPr>
        <w:t>Analyser, au départ notamment du DTF du projet, de la note de réorientations stratégiques et du rapport de résultats 2022, la qualité et la cohérence des actions précédemment menées</w:t>
      </w:r>
      <w:r w:rsidR="00262187">
        <w:rPr>
          <w:rFonts w:cs="Arial"/>
          <w:sz w:val="22"/>
        </w:rPr>
        <w:t> </w:t>
      </w:r>
      <w:r w:rsidRPr="00C65E7D">
        <w:rPr>
          <w:rFonts w:cs="Arial"/>
          <w:sz w:val="22"/>
        </w:rPr>
        <w:t>;</w:t>
      </w:r>
    </w:p>
    <w:p w14:paraId="3C0E4CE7" w14:textId="4C5F80C7" w:rsidR="00AA0CBE" w:rsidRPr="00C65E7D" w:rsidRDefault="00AA0CBE">
      <w:pPr>
        <w:pStyle w:val="Paragraphedeliste"/>
        <w:widowControl w:val="0"/>
        <w:numPr>
          <w:ilvl w:val="0"/>
          <w:numId w:val="21"/>
        </w:numPr>
        <w:suppressAutoHyphens/>
        <w:spacing w:before="120" w:after="40"/>
        <w:jc w:val="both"/>
        <w:rPr>
          <w:rFonts w:cs="Arial"/>
          <w:sz w:val="22"/>
        </w:rPr>
      </w:pPr>
      <w:r w:rsidRPr="00C65E7D">
        <w:rPr>
          <w:rFonts w:cs="Arial"/>
          <w:sz w:val="22"/>
        </w:rPr>
        <w:t>Contribuer à élaborer un plan d’action pour</w:t>
      </w:r>
      <w:r>
        <w:rPr>
          <w:rFonts w:cs="Arial"/>
          <w:sz w:val="22"/>
        </w:rPr>
        <w:t xml:space="preserve"> le second semestre</w:t>
      </w:r>
      <w:r w:rsidRPr="00C65E7D">
        <w:rPr>
          <w:rFonts w:cs="Arial"/>
          <w:sz w:val="22"/>
        </w:rPr>
        <w:t xml:space="preserve"> 2023 en fonction des différents résultats, incluant les activités y attachées, la logique de mise en œuvre, la ou les approches proposées</w:t>
      </w:r>
      <w:r w:rsidR="00262187">
        <w:rPr>
          <w:rFonts w:cs="Arial"/>
          <w:sz w:val="22"/>
        </w:rPr>
        <w:t> </w:t>
      </w:r>
      <w:r w:rsidRPr="00C65E7D">
        <w:rPr>
          <w:rFonts w:cs="Arial"/>
          <w:sz w:val="22"/>
        </w:rPr>
        <w:t xml:space="preserve">; </w:t>
      </w:r>
    </w:p>
    <w:p w14:paraId="0BA8FEA1" w14:textId="491154F4" w:rsidR="00AA0CBE" w:rsidRPr="00C65E7D" w:rsidRDefault="00AA0CBE">
      <w:pPr>
        <w:pStyle w:val="Paragraphedeliste"/>
        <w:widowControl w:val="0"/>
        <w:numPr>
          <w:ilvl w:val="0"/>
          <w:numId w:val="21"/>
        </w:numPr>
        <w:suppressAutoHyphens/>
        <w:spacing w:before="120" w:after="40"/>
        <w:jc w:val="both"/>
        <w:rPr>
          <w:rFonts w:cs="Arial"/>
          <w:sz w:val="22"/>
        </w:rPr>
      </w:pPr>
      <w:r w:rsidRPr="00C65E7D">
        <w:rPr>
          <w:rFonts w:cs="Arial"/>
          <w:sz w:val="22"/>
        </w:rPr>
        <w:t>Assurer la mise en œuvre de ce plan d’action et l’atteinte des résultats avec l’appui des équipes Enabel impliquées dans les activités en question et dont la consultance assurera la coordination</w:t>
      </w:r>
      <w:r w:rsidR="00262187">
        <w:rPr>
          <w:rFonts w:cs="Arial"/>
          <w:sz w:val="22"/>
        </w:rPr>
        <w:t> </w:t>
      </w:r>
      <w:r w:rsidRPr="00C65E7D">
        <w:rPr>
          <w:rFonts w:cs="Arial"/>
          <w:sz w:val="22"/>
        </w:rPr>
        <w:t>;</w:t>
      </w:r>
    </w:p>
    <w:p w14:paraId="6D3D2F9E" w14:textId="26540308" w:rsidR="00AA0CBE" w:rsidRPr="00C65E7D" w:rsidRDefault="00AA0CBE">
      <w:pPr>
        <w:pStyle w:val="Paragraphedeliste"/>
        <w:widowControl w:val="0"/>
        <w:numPr>
          <w:ilvl w:val="0"/>
          <w:numId w:val="21"/>
        </w:numPr>
        <w:suppressAutoHyphens/>
        <w:spacing w:before="120" w:after="40"/>
        <w:jc w:val="both"/>
        <w:rPr>
          <w:rFonts w:cs="Arial"/>
          <w:sz w:val="22"/>
        </w:rPr>
      </w:pPr>
      <w:r w:rsidRPr="00C65E7D">
        <w:rPr>
          <w:rFonts w:cs="Arial"/>
          <w:sz w:val="22"/>
        </w:rPr>
        <w:t>Faire le suivi-évaluation des activités menées sur terrain avec l’appui des équipes Enabel</w:t>
      </w:r>
      <w:r w:rsidR="00262187">
        <w:rPr>
          <w:rFonts w:cs="Arial"/>
          <w:sz w:val="22"/>
        </w:rPr>
        <w:t> </w:t>
      </w:r>
      <w:r w:rsidRPr="00C65E7D">
        <w:rPr>
          <w:rFonts w:cs="Arial"/>
          <w:sz w:val="22"/>
        </w:rPr>
        <w:t>;</w:t>
      </w:r>
    </w:p>
    <w:p w14:paraId="5F58A507" w14:textId="5D704821" w:rsidR="00AA0CBE" w:rsidRPr="00C65E7D" w:rsidRDefault="00AA0CBE">
      <w:pPr>
        <w:pStyle w:val="Paragraphedeliste"/>
        <w:widowControl w:val="0"/>
        <w:numPr>
          <w:ilvl w:val="0"/>
          <w:numId w:val="21"/>
        </w:numPr>
        <w:suppressAutoHyphens/>
        <w:spacing w:before="120" w:after="40"/>
        <w:jc w:val="both"/>
        <w:rPr>
          <w:rFonts w:cs="Arial"/>
          <w:sz w:val="22"/>
        </w:rPr>
      </w:pPr>
      <w:r w:rsidRPr="00C65E7D">
        <w:rPr>
          <w:rFonts w:cs="Arial"/>
          <w:sz w:val="22"/>
        </w:rPr>
        <w:t>Analyser et améliorer les documents méthodologiques et outils existants</w:t>
      </w:r>
      <w:r w:rsidR="00262187">
        <w:rPr>
          <w:rFonts w:cs="Arial"/>
          <w:sz w:val="22"/>
        </w:rPr>
        <w:t> </w:t>
      </w:r>
      <w:r w:rsidRPr="00C65E7D">
        <w:rPr>
          <w:rFonts w:cs="Arial"/>
          <w:sz w:val="22"/>
        </w:rPr>
        <w:t>;</w:t>
      </w:r>
    </w:p>
    <w:p w14:paraId="66BFD548" w14:textId="77777777" w:rsidR="00AA0CBE" w:rsidRDefault="00AA0CBE">
      <w:pPr>
        <w:pStyle w:val="Paragraphedeliste"/>
        <w:widowControl w:val="0"/>
        <w:numPr>
          <w:ilvl w:val="0"/>
          <w:numId w:val="21"/>
        </w:numPr>
        <w:suppressAutoHyphens/>
        <w:spacing w:before="120" w:after="40"/>
        <w:jc w:val="both"/>
        <w:rPr>
          <w:rFonts w:cs="Arial"/>
          <w:sz w:val="22"/>
        </w:rPr>
      </w:pPr>
      <w:r w:rsidRPr="00C65E7D">
        <w:rPr>
          <w:rFonts w:cs="Arial"/>
          <w:sz w:val="22"/>
        </w:rPr>
        <w:t>Elaborer les documents méthodologiques et outils manquants.</w:t>
      </w:r>
    </w:p>
    <w:p w14:paraId="6A3C144B" w14:textId="3418E08B" w:rsidR="00AA0CBE" w:rsidRDefault="00AA0CBE" w:rsidP="00AA0CBE">
      <w:pPr>
        <w:pStyle w:val="Paragraphedeliste"/>
        <w:widowControl w:val="0"/>
        <w:suppressAutoHyphens/>
        <w:spacing w:before="120" w:after="40"/>
        <w:jc w:val="both"/>
        <w:rPr>
          <w:rFonts w:cs="Arial"/>
          <w:sz w:val="22"/>
        </w:rPr>
      </w:pPr>
    </w:p>
    <w:p w14:paraId="396AFA68" w14:textId="378C0BF5" w:rsidR="00262187" w:rsidRDefault="00262187" w:rsidP="00AA0CBE">
      <w:pPr>
        <w:pStyle w:val="Paragraphedeliste"/>
        <w:widowControl w:val="0"/>
        <w:suppressAutoHyphens/>
        <w:spacing w:before="120" w:after="40"/>
        <w:jc w:val="both"/>
        <w:rPr>
          <w:rFonts w:cs="Arial"/>
          <w:sz w:val="22"/>
        </w:rPr>
      </w:pPr>
    </w:p>
    <w:p w14:paraId="12B381E9" w14:textId="0B8B7B33" w:rsidR="00262187" w:rsidRDefault="00262187" w:rsidP="00AA0CBE">
      <w:pPr>
        <w:pStyle w:val="Paragraphedeliste"/>
        <w:widowControl w:val="0"/>
        <w:suppressAutoHyphens/>
        <w:spacing w:before="120" w:after="40"/>
        <w:jc w:val="both"/>
        <w:rPr>
          <w:rFonts w:cs="Arial"/>
          <w:sz w:val="22"/>
        </w:rPr>
      </w:pPr>
    </w:p>
    <w:p w14:paraId="010205CF" w14:textId="77777777" w:rsidR="00262187" w:rsidRDefault="00262187" w:rsidP="00AA0CBE">
      <w:pPr>
        <w:pStyle w:val="Paragraphedeliste"/>
        <w:widowControl w:val="0"/>
        <w:suppressAutoHyphens/>
        <w:spacing w:before="120" w:after="40"/>
        <w:jc w:val="both"/>
        <w:rPr>
          <w:rFonts w:cs="Arial"/>
          <w:sz w:val="22"/>
        </w:rPr>
      </w:pPr>
    </w:p>
    <w:p w14:paraId="4079057F" w14:textId="77777777" w:rsidR="00AA0CBE" w:rsidRPr="00994D44" w:rsidRDefault="00AA0CBE" w:rsidP="00AA0CBE">
      <w:pPr>
        <w:suppressAutoHyphens/>
        <w:autoSpaceDN w:val="0"/>
        <w:spacing w:after="0" w:line="240" w:lineRule="auto"/>
        <w:jc w:val="both"/>
        <w:textAlignment w:val="baseline"/>
        <w:rPr>
          <w:rFonts w:cstheme="minorHAnsi"/>
          <w:b/>
          <w:bCs/>
          <w:sz w:val="22"/>
          <w:lang w:val="fr-FR"/>
        </w:rPr>
      </w:pPr>
      <w:r w:rsidRPr="00994D44">
        <w:rPr>
          <w:rFonts w:cstheme="minorHAnsi"/>
          <w:b/>
          <w:bCs/>
          <w:sz w:val="22"/>
          <w:lang w:val="fr-FR"/>
        </w:rPr>
        <w:lastRenderedPageBreak/>
        <w:t>5.3 Détail des prestations à réaliser par l’adjudicataire</w:t>
      </w:r>
    </w:p>
    <w:p w14:paraId="60734CB4" w14:textId="77777777" w:rsidR="00262187" w:rsidRDefault="00262187" w:rsidP="00AA0CBE">
      <w:pPr>
        <w:jc w:val="both"/>
        <w:rPr>
          <w:rFonts w:cs="Arial"/>
          <w:sz w:val="22"/>
        </w:rPr>
      </w:pPr>
    </w:p>
    <w:p w14:paraId="799E3AD5" w14:textId="04FFB299" w:rsidR="00AA0CBE" w:rsidRPr="003E7675" w:rsidRDefault="00AA0CBE" w:rsidP="00AA0CBE">
      <w:pPr>
        <w:jc w:val="both"/>
        <w:rPr>
          <w:rFonts w:cs="Arial"/>
          <w:sz w:val="22"/>
        </w:rPr>
      </w:pPr>
      <w:r w:rsidRPr="003E7675">
        <w:rPr>
          <w:rFonts w:cs="Arial"/>
          <w:sz w:val="22"/>
        </w:rPr>
        <w:t xml:space="preserve">Le consultant travaillera en étroite collaboration avec l’ensemble des autres membres de l’équipe PIREDD </w:t>
      </w:r>
      <w:proofErr w:type="spellStart"/>
      <w:r w:rsidRPr="003E7675">
        <w:rPr>
          <w:rFonts w:cs="Arial"/>
          <w:sz w:val="22"/>
        </w:rPr>
        <w:t>Mongala</w:t>
      </w:r>
      <w:proofErr w:type="spellEnd"/>
      <w:r w:rsidRPr="003E7675">
        <w:rPr>
          <w:rFonts w:cs="Arial"/>
          <w:sz w:val="22"/>
        </w:rPr>
        <w:t xml:space="preserve"> et sous la supervision du manager de projet. </w:t>
      </w:r>
    </w:p>
    <w:p w14:paraId="46440560" w14:textId="77777777" w:rsidR="00AA0CBE" w:rsidRPr="006270E1" w:rsidRDefault="00AA0CBE" w:rsidP="00AA0CBE">
      <w:pPr>
        <w:jc w:val="both"/>
        <w:rPr>
          <w:rFonts w:cs="Arial"/>
          <w:sz w:val="22"/>
        </w:rPr>
      </w:pPr>
      <w:r w:rsidRPr="006270E1">
        <w:rPr>
          <w:rFonts w:cs="Arial"/>
          <w:sz w:val="22"/>
        </w:rPr>
        <w:t xml:space="preserve">Dans ce cadre, les tâches principales seront les suivantes : </w:t>
      </w:r>
    </w:p>
    <w:p w14:paraId="3A8F016D" w14:textId="77777777" w:rsidR="00AA0CBE" w:rsidRPr="006270E1" w:rsidRDefault="00AA0CBE">
      <w:pPr>
        <w:pStyle w:val="Paragraphedeliste"/>
        <w:widowControl w:val="0"/>
        <w:numPr>
          <w:ilvl w:val="0"/>
          <w:numId w:val="21"/>
        </w:numPr>
        <w:suppressAutoHyphens/>
        <w:spacing w:before="120" w:after="40"/>
        <w:jc w:val="both"/>
        <w:rPr>
          <w:rFonts w:cs="Arial"/>
          <w:sz w:val="22"/>
        </w:rPr>
      </w:pPr>
      <w:r w:rsidRPr="006270E1">
        <w:rPr>
          <w:rFonts w:cs="Arial"/>
          <w:sz w:val="22"/>
        </w:rPr>
        <w:t xml:space="preserve">Analyser la documentation disponible et proposer un plan de travail spécifique ; </w:t>
      </w:r>
    </w:p>
    <w:p w14:paraId="1B368C5D" w14:textId="77777777" w:rsidR="00AA0CBE" w:rsidRPr="006270E1" w:rsidRDefault="00AA0CBE">
      <w:pPr>
        <w:pStyle w:val="Paragraphedeliste"/>
        <w:widowControl w:val="0"/>
        <w:numPr>
          <w:ilvl w:val="0"/>
          <w:numId w:val="21"/>
        </w:numPr>
        <w:suppressAutoHyphens/>
        <w:spacing w:before="120" w:after="40"/>
        <w:jc w:val="both"/>
        <w:rPr>
          <w:rFonts w:cs="Arial"/>
          <w:sz w:val="22"/>
        </w:rPr>
      </w:pPr>
      <w:r w:rsidRPr="006270E1">
        <w:rPr>
          <w:rFonts w:cs="Arial"/>
          <w:sz w:val="22"/>
        </w:rPr>
        <w:t xml:space="preserve">Sur la base des informations recueillies et de la connaissance du secteur, fournir des conseils et des informations stratégiques, techniques et institutionnelles supplémentaires pertinentes à l'équipe PIREDD-MO à la demande du manager de projet en particulier pour les aspects suivants : </w:t>
      </w:r>
    </w:p>
    <w:p w14:paraId="16B3967E" w14:textId="77777777" w:rsidR="00AA0CBE" w:rsidRPr="006270E1" w:rsidRDefault="00AA0CBE">
      <w:pPr>
        <w:pStyle w:val="Paragraphedeliste"/>
        <w:numPr>
          <w:ilvl w:val="1"/>
          <w:numId w:val="21"/>
        </w:numPr>
        <w:jc w:val="both"/>
        <w:rPr>
          <w:rFonts w:cs="Arial"/>
          <w:sz w:val="22"/>
        </w:rPr>
      </w:pPr>
      <w:r w:rsidRPr="006270E1">
        <w:rPr>
          <w:rFonts w:cs="Arial"/>
          <w:sz w:val="22"/>
        </w:rPr>
        <w:t xml:space="preserve">Données liées à la </w:t>
      </w:r>
      <w:r>
        <w:rPr>
          <w:rFonts w:cs="Arial"/>
          <w:sz w:val="22"/>
        </w:rPr>
        <w:t>bonne gouvernance au niveau provincial (services techniques déconcentrés de l’environnement, agriculture et développement rural ; plateformes multi-acteurs regroupant assemblée provinciale-société civile-services étatiques ; conseil consultatif des forêts ; conseils agricoles ruraux de gestion) et au niveau local (Comités Locaux de Développement ; comités villageois)</w:t>
      </w:r>
    </w:p>
    <w:p w14:paraId="02A116ED" w14:textId="77777777" w:rsidR="00AA0CBE" w:rsidRPr="006C17D5" w:rsidRDefault="00AA0CBE">
      <w:pPr>
        <w:pStyle w:val="Paragraphedeliste"/>
        <w:numPr>
          <w:ilvl w:val="1"/>
          <w:numId w:val="21"/>
        </w:numPr>
        <w:jc w:val="both"/>
        <w:rPr>
          <w:rFonts w:cs="Arial"/>
          <w:sz w:val="22"/>
        </w:rPr>
      </w:pPr>
      <w:r w:rsidRPr="006270E1">
        <w:rPr>
          <w:rFonts w:cs="Arial"/>
          <w:sz w:val="22"/>
        </w:rPr>
        <w:t xml:space="preserve">Appui à la définition des activités </w:t>
      </w:r>
      <w:r>
        <w:rPr>
          <w:rFonts w:cs="Arial"/>
          <w:sz w:val="22"/>
        </w:rPr>
        <w:t>de gouvernance et développement local et à leur modèle de mise en œuvre (CLD et associations villageoises, représentativité et inclusivité, participation citoyenne, mise en œuvre d’actions concertées, suivi de règles de gestion de ressources naturelles, mécanisme de plaintes et recours) et d’appui institutionnel</w:t>
      </w:r>
      <w:r w:rsidRPr="006270E1">
        <w:rPr>
          <w:rFonts w:cs="Arial"/>
          <w:sz w:val="22"/>
        </w:rPr>
        <w:t xml:space="preserve"> </w:t>
      </w:r>
      <w:r>
        <w:rPr>
          <w:rFonts w:cs="Arial"/>
          <w:sz w:val="22"/>
        </w:rPr>
        <w:t>(IPDR en particulier, mais également IPA et CPEDD ; travail avec les plateformes multi-acteurs)</w:t>
      </w:r>
    </w:p>
    <w:p w14:paraId="78F92995" w14:textId="77777777" w:rsidR="00AA0CBE" w:rsidRPr="006270E1" w:rsidRDefault="00AA0CBE">
      <w:pPr>
        <w:pStyle w:val="Paragraphedeliste"/>
        <w:numPr>
          <w:ilvl w:val="1"/>
          <w:numId w:val="21"/>
        </w:numPr>
        <w:jc w:val="both"/>
        <w:rPr>
          <w:rFonts w:cs="Arial"/>
          <w:sz w:val="22"/>
        </w:rPr>
      </w:pPr>
      <w:r w:rsidRPr="006270E1">
        <w:rPr>
          <w:rFonts w:cs="Arial"/>
          <w:sz w:val="22"/>
        </w:rPr>
        <w:t>Liens entre stratégie d</w:t>
      </w:r>
      <w:r>
        <w:rPr>
          <w:rFonts w:cs="Arial"/>
          <w:sz w:val="22"/>
        </w:rPr>
        <w:t>e gouvernance et d</w:t>
      </w:r>
      <w:r w:rsidRPr="006270E1">
        <w:rPr>
          <w:rFonts w:cs="Arial"/>
          <w:sz w:val="22"/>
        </w:rPr>
        <w:t xml:space="preserve">’aménagement du territoire </w:t>
      </w:r>
      <w:r>
        <w:rPr>
          <w:rFonts w:cs="Arial"/>
          <w:sz w:val="22"/>
        </w:rPr>
        <w:t>(application de règles de gestion définies dans les Plans Simples d’Aménagement du Territoire)</w:t>
      </w:r>
    </w:p>
    <w:p w14:paraId="09BD2EC6" w14:textId="77777777" w:rsidR="00AA0CBE" w:rsidRPr="006270E1" w:rsidRDefault="00AA0CBE">
      <w:pPr>
        <w:pStyle w:val="Paragraphedeliste"/>
        <w:numPr>
          <w:ilvl w:val="1"/>
          <w:numId w:val="21"/>
        </w:numPr>
        <w:jc w:val="both"/>
        <w:rPr>
          <w:rFonts w:cs="Arial"/>
          <w:sz w:val="22"/>
        </w:rPr>
      </w:pPr>
      <w:r w:rsidRPr="006270E1">
        <w:rPr>
          <w:rFonts w:cs="Arial"/>
          <w:sz w:val="22"/>
        </w:rPr>
        <w:t xml:space="preserve">Identification des partenaires potentiels pour les activités liées à la </w:t>
      </w:r>
      <w:r>
        <w:rPr>
          <w:rFonts w:cs="Arial"/>
          <w:sz w:val="22"/>
        </w:rPr>
        <w:t>gouvernance locale, l’appui institutionnel et le développement local</w:t>
      </w:r>
    </w:p>
    <w:p w14:paraId="39B80CDD" w14:textId="77777777" w:rsidR="00AA0CBE" w:rsidRPr="006270E1" w:rsidRDefault="00AA0CBE">
      <w:pPr>
        <w:pStyle w:val="Paragraphedeliste"/>
        <w:widowControl w:val="0"/>
        <w:numPr>
          <w:ilvl w:val="0"/>
          <w:numId w:val="21"/>
        </w:numPr>
        <w:suppressAutoHyphens/>
        <w:spacing w:before="120" w:after="40"/>
        <w:jc w:val="both"/>
        <w:rPr>
          <w:rFonts w:cs="Arial"/>
          <w:sz w:val="22"/>
        </w:rPr>
      </w:pPr>
      <w:r w:rsidRPr="006270E1">
        <w:rPr>
          <w:rFonts w:cs="Arial"/>
          <w:sz w:val="22"/>
        </w:rPr>
        <w:t>Accompagner et renforcer les équipes PIREDD et les partenaires de mise en œuvre (</w:t>
      </w:r>
      <w:r>
        <w:rPr>
          <w:rFonts w:cs="Arial"/>
          <w:sz w:val="22"/>
        </w:rPr>
        <w:t>IPDR</w:t>
      </w:r>
      <w:r w:rsidRPr="006270E1">
        <w:rPr>
          <w:rFonts w:cs="Arial"/>
          <w:sz w:val="22"/>
        </w:rPr>
        <w:t xml:space="preserve">, </w:t>
      </w:r>
      <w:r>
        <w:rPr>
          <w:rFonts w:cs="Arial"/>
          <w:sz w:val="22"/>
        </w:rPr>
        <w:t xml:space="preserve">CLD, </w:t>
      </w:r>
      <w:proofErr w:type="spellStart"/>
      <w:r w:rsidRPr="006270E1">
        <w:rPr>
          <w:rFonts w:cs="Arial"/>
          <w:sz w:val="22"/>
        </w:rPr>
        <w:t>ONGs</w:t>
      </w:r>
      <w:proofErr w:type="spellEnd"/>
      <w:r w:rsidRPr="006270E1">
        <w:rPr>
          <w:rFonts w:cs="Arial"/>
          <w:sz w:val="22"/>
        </w:rPr>
        <w:t>, bénéficiaires individus, etc.)</w:t>
      </w:r>
    </w:p>
    <w:p w14:paraId="64D25732" w14:textId="77777777" w:rsidR="00AA0CBE" w:rsidRPr="006270E1" w:rsidRDefault="00AA0CBE">
      <w:pPr>
        <w:pStyle w:val="Paragraphedeliste"/>
        <w:widowControl w:val="0"/>
        <w:numPr>
          <w:ilvl w:val="0"/>
          <w:numId w:val="21"/>
        </w:numPr>
        <w:suppressAutoHyphens/>
        <w:spacing w:before="120" w:after="40"/>
        <w:jc w:val="both"/>
        <w:rPr>
          <w:rFonts w:cs="Arial"/>
          <w:sz w:val="22"/>
        </w:rPr>
      </w:pPr>
      <w:r w:rsidRPr="006270E1">
        <w:rPr>
          <w:rFonts w:cs="Arial"/>
          <w:sz w:val="22"/>
        </w:rPr>
        <w:t>Soutenir les activités sur le terrain avec les équipes PIREDD et les principales parties prenantes et en assurant le suivi</w:t>
      </w:r>
    </w:p>
    <w:p w14:paraId="7467FBFE" w14:textId="77777777" w:rsidR="00AA0CBE" w:rsidRPr="006270E1" w:rsidRDefault="00AA0CBE">
      <w:pPr>
        <w:pStyle w:val="Paragraphedeliste"/>
        <w:widowControl w:val="0"/>
        <w:numPr>
          <w:ilvl w:val="0"/>
          <w:numId w:val="21"/>
        </w:numPr>
        <w:suppressAutoHyphens/>
        <w:spacing w:before="120" w:after="40"/>
        <w:jc w:val="both"/>
        <w:rPr>
          <w:rFonts w:cs="Arial"/>
          <w:sz w:val="22"/>
        </w:rPr>
      </w:pPr>
      <w:r w:rsidRPr="006270E1">
        <w:rPr>
          <w:rFonts w:cs="Arial"/>
          <w:sz w:val="22"/>
        </w:rPr>
        <w:t>Fournir des commentaires techniques, des résultats écrits et des données des actions menées sur terrain</w:t>
      </w:r>
    </w:p>
    <w:p w14:paraId="543B2F84" w14:textId="77777777" w:rsidR="00AA0CBE" w:rsidRPr="006270E1" w:rsidRDefault="00AA0CBE">
      <w:pPr>
        <w:pStyle w:val="Paragraphedeliste"/>
        <w:widowControl w:val="0"/>
        <w:numPr>
          <w:ilvl w:val="0"/>
          <w:numId w:val="21"/>
        </w:numPr>
        <w:suppressAutoHyphens/>
        <w:spacing w:before="120" w:after="40"/>
        <w:jc w:val="both"/>
        <w:rPr>
          <w:rFonts w:cs="Arial"/>
          <w:sz w:val="22"/>
        </w:rPr>
      </w:pPr>
      <w:r w:rsidRPr="006270E1">
        <w:rPr>
          <w:rFonts w:cs="Arial"/>
          <w:sz w:val="22"/>
        </w:rPr>
        <w:t>Mettre à jour les indicateurs proposés en vue d’alimenter la matrice d’indicateurs du programme</w:t>
      </w:r>
    </w:p>
    <w:p w14:paraId="7D9AB8AF" w14:textId="77777777" w:rsidR="00AA0CBE" w:rsidRPr="006270E1" w:rsidRDefault="00AA0CBE">
      <w:pPr>
        <w:pStyle w:val="Paragraphedeliste"/>
        <w:widowControl w:val="0"/>
        <w:numPr>
          <w:ilvl w:val="0"/>
          <w:numId w:val="21"/>
        </w:numPr>
        <w:suppressAutoHyphens/>
        <w:spacing w:before="120" w:after="40"/>
        <w:jc w:val="both"/>
        <w:rPr>
          <w:rFonts w:cs="Arial"/>
          <w:sz w:val="22"/>
        </w:rPr>
      </w:pPr>
      <w:r w:rsidRPr="006270E1">
        <w:rPr>
          <w:rFonts w:cs="Arial"/>
          <w:sz w:val="22"/>
        </w:rPr>
        <w:t>Toute autre tâche demandée par le manager de projet</w:t>
      </w:r>
    </w:p>
    <w:p w14:paraId="33AC1AB2" w14:textId="77777777" w:rsidR="00AA0CBE" w:rsidRPr="00312AB3" w:rsidRDefault="00AA0CBE" w:rsidP="00AA0CBE">
      <w:pPr>
        <w:pStyle w:val="Paragraphedeliste"/>
        <w:widowControl w:val="0"/>
        <w:suppressAutoHyphens/>
        <w:spacing w:before="120" w:after="40"/>
        <w:jc w:val="both"/>
        <w:rPr>
          <w:rFonts w:cs="Arial"/>
          <w:sz w:val="22"/>
        </w:rPr>
      </w:pPr>
    </w:p>
    <w:p w14:paraId="6C88E1B9" w14:textId="77777777" w:rsidR="00AA0CBE" w:rsidRPr="00D8761E" w:rsidRDefault="00AA0CBE" w:rsidP="00AA0CBE">
      <w:pPr>
        <w:jc w:val="both"/>
        <w:rPr>
          <w:rFonts w:cs="Arial"/>
          <w:sz w:val="22"/>
        </w:rPr>
      </w:pPr>
      <w:r>
        <w:rPr>
          <w:rFonts w:cs="Arial"/>
          <w:sz w:val="22"/>
        </w:rPr>
        <w:t>En particulier</w:t>
      </w:r>
      <w:r w:rsidRPr="00D8761E">
        <w:rPr>
          <w:rFonts w:cs="Arial"/>
          <w:sz w:val="22"/>
        </w:rPr>
        <w:t xml:space="preserve">, </w:t>
      </w:r>
      <w:r>
        <w:rPr>
          <w:rFonts w:cs="Arial"/>
          <w:sz w:val="22"/>
        </w:rPr>
        <w:t xml:space="preserve">sur base de ses analyses, </w:t>
      </w:r>
      <w:r w:rsidRPr="00D8761E">
        <w:rPr>
          <w:rFonts w:cs="Arial"/>
          <w:sz w:val="22"/>
        </w:rPr>
        <w:t>l’expert proposera</w:t>
      </w:r>
      <w:r>
        <w:rPr>
          <w:rFonts w:cs="Arial"/>
          <w:sz w:val="22"/>
        </w:rPr>
        <w:t xml:space="preserve">, </w:t>
      </w:r>
      <w:r w:rsidRPr="00D8761E">
        <w:rPr>
          <w:rFonts w:cs="Arial"/>
          <w:sz w:val="22"/>
        </w:rPr>
        <w:t>développera</w:t>
      </w:r>
      <w:r>
        <w:rPr>
          <w:rFonts w:cs="Arial"/>
          <w:sz w:val="22"/>
        </w:rPr>
        <w:t xml:space="preserve"> et appuiera l’exécution : </w:t>
      </w:r>
      <w:r w:rsidRPr="00D8761E">
        <w:rPr>
          <w:rFonts w:cs="Arial"/>
          <w:sz w:val="22"/>
        </w:rPr>
        <w:t xml:space="preserve"> </w:t>
      </w:r>
    </w:p>
    <w:p w14:paraId="5A4865D9" w14:textId="77777777" w:rsidR="00AA0CBE" w:rsidRPr="00D8761E" w:rsidRDefault="00AA0CBE">
      <w:pPr>
        <w:pStyle w:val="Paragraphedeliste"/>
        <w:widowControl w:val="0"/>
        <w:numPr>
          <w:ilvl w:val="0"/>
          <w:numId w:val="21"/>
        </w:numPr>
        <w:suppressAutoHyphens/>
        <w:spacing w:before="120" w:after="40"/>
        <w:jc w:val="both"/>
        <w:rPr>
          <w:rFonts w:cs="Arial"/>
          <w:sz w:val="22"/>
        </w:rPr>
      </w:pPr>
      <w:r w:rsidRPr="00D8761E">
        <w:rPr>
          <w:rFonts w:cs="Arial"/>
          <w:sz w:val="22"/>
        </w:rPr>
        <w:t xml:space="preserve">Une stratégie </w:t>
      </w:r>
      <w:r>
        <w:rPr>
          <w:rFonts w:cs="Arial"/>
          <w:sz w:val="22"/>
        </w:rPr>
        <w:t>de mise en œuvre pour les aspects de gouvernance et développement local (travail avec les CLD, les assemblées villageoises, les autorités coutumières, la société civile, les leaders communautaires, les réseaux, les initiatives locales) et selon les besoins spécifiques identifiés ;</w:t>
      </w:r>
    </w:p>
    <w:p w14:paraId="2678288D" w14:textId="77777777" w:rsidR="00AA0CBE" w:rsidRDefault="00AA0CBE">
      <w:pPr>
        <w:pStyle w:val="Paragraphedeliste"/>
        <w:widowControl w:val="0"/>
        <w:numPr>
          <w:ilvl w:val="0"/>
          <w:numId w:val="21"/>
        </w:numPr>
        <w:suppressAutoHyphens/>
        <w:spacing w:before="120" w:after="40"/>
        <w:jc w:val="both"/>
        <w:rPr>
          <w:rFonts w:cs="Arial"/>
          <w:sz w:val="22"/>
        </w:rPr>
      </w:pPr>
      <w:r>
        <w:rPr>
          <w:rFonts w:cs="Arial"/>
          <w:sz w:val="22"/>
        </w:rPr>
        <w:t xml:space="preserve">Une stratégie de renforcement et d’accompagnement de l’Inspection Provinciale </w:t>
      </w:r>
      <w:r>
        <w:rPr>
          <w:rFonts w:cs="Arial"/>
          <w:sz w:val="22"/>
        </w:rPr>
        <w:lastRenderedPageBreak/>
        <w:t>du Développement Rural ;</w:t>
      </w:r>
    </w:p>
    <w:p w14:paraId="6AB86038" w14:textId="77777777" w:rsidR="00AA0CBE" w:rsidRDefault="00AA0CBE">
      <w:pPr>
        <w:pStyle w:val="Paragraphedeliste"/>
        <w:widowControl w:val="0"/>
        <w:numPr>
          <w:ilvl w:val="0"/>
          <w:numId w:val="21"/>
        </w:numPr>
        <w:suppressAutoHyphens/>
        <w:spacing w:before="120" w:after="40"/>
        <w:jc w:val="both"/>
        <w:rPr>
          <w:rFonts w:cs="Arial"/>
          <w:sz w:val="22"/>
        </w:rPr>
      </w:pPr>
      <w:r>
        <w:rPr>
          <w:rFonts w:cs="Arial"/>
          <w:sz w:val="22"/>
        </w:rPr>
        <w:t>Une stratégie de mise en œuvre pour les aspects d’appui aux plateformes multi-acteurs (assemblée provinciale-services techniques-société civile) et selon les besoins spécifiques identifiés ;</w:t>
      </w:r>
    </w:p>
    <w:p w14:paraId="3E502A9F" w14:textId="77777777" w:rsidR="00AA0CBE" w:rsidRPr="0035387E" w:rsidRDefault="00AA0CBE">
      <w:pPr>
        <w:pStyle w:val="Paragraphedeliste"/>
        <w:widowControl w:val="0"/>
        <w:numPr>
          <w:ilvl w:val="0"/>
          <w:numId w:val="21"/>
        </w:numPr>
        <w:suppressAutoHyphens/>
        <w:spacing w:before="120" w:after="40"/>
        <w:jc w:val="both"/>
        <w:rPr>
          <w:rFonts w:cs="Arial"/>
          <w:sz w:val="22"/>
        </w:rPr>
      </w:pPr>
      <w:r>
        <w:rPr>
          <w:rFonts w:cs="Arial"/>
          <w:sz w:val="22"/>
        </w:rPr>
        <w:t>Une stratégie de mise en œuvre pour les mécanismes de plaintes et recours ;</w:t>
      </w:r>
    </w:p>
    <w:p w14:paraId="247FED48" w14:textId="77777777" w:rsidR="00AA0CBE" w:rsidRDefault="00AA0CBE">
      <w:pPr>
        <w:pStyle w:val="Paragraphedeliste"/>
        <w:widowControl w:val="0"/>
        <w:numPr>
          <w:ilvl w:val="0"/>
          <w:numId w:val="21"/>
        </w:numPr>
        <w:suppressAutoHyphens/>
        <w:spacing w:before="120" w:after="40"/>
        <w:jc w:val="both"/>
        <w:rPr>
          <w:rFonts w:cs="Arial"/>
          <w:sz w:val="22"/>
        </w:rPr>
      </w:pPr>
      <w:r w:rsidRPr="00D8761E">
        <w:rPr>
          <w:rFonts w:cs="Arial"/>
          <w:sz w:val="22"/>
        </w:rPr>
        <w:t xml:space="preserve">Des </w:t>
      </w:r>
      <w:r>
        <w:rPr>
          <w:rFonts w:cs="Arial"/>
          <w:sz w:val="22"/>
        </w:rPr>
        <w:t xml:space="preserve">propositions concrètes au niveau de la planification opérationnelle. </w:t>
      </w:r>
    </w:p>
    <w:p w14:paraId="5ABE9CA0" w14:textId="77777777" w:rsidR="00AA0CBE" w:rsidRPr="00D81322" w:rsidRDefault="00AA0CBE" w:rsidP="00AA0CBE">
      <w:pPr>
        <w:pStyle w:val="Paragraphedeliste"/>
        <w:widowControl w:val="0"/>
        <w:suppressAutoHyphens/>
        <w:spacing w:before="120" w:after="40"/>
        <w:ind w:left="1440"/>
        <w:jc w:val="both"/>
        <w:rPr>
          <w:rFonts w:cs="Arial"/>
          <w:sz w:val="22"/>
        </w:rPr>
      </w:pPr>
    </w:p>
    <w:p w14:paraId="5D8B8C2D" w14:textId="77777777" w:rsidR="00AA0CBE" w:rsidRDefault="00AA0CBE" w:rsidP="00AA0CBE">
      <w:pPr>
        <w:jc w:val="both"/>
        <w:rPr>
          <w:rFonts w:cs="Arial"/>
          <w:sz w:val="22"/>
        </w:rPr>
      </w:pPr>
      <w:r>
        <w:rPr>
          <w:rFonts w:cs="Arial"/>
          <w:sz w:val="22"/>
        </w:rPr>
        <w:t xml:space="preserve"> </w:t>
      </w:r>
      <w:r w:rsidRPr="00D8761E">
        <w:rPr>
          <w:rFonts w:cs="Arial"/>
          <w:sz w:val="22"/>
        </w:rPr>
        <w:t xml:space="preserve">La division du travail et les tâches précises seront définies par le </w:t>
      </w:r>
      <w:r>
        <w:rPr>
          <w:rFonts w:cs="Arial"/>
          <w:sz w:val="22"/>
        </w:rPr>
        <w:t>manager du projet</w:t>
      </w:r>
      <w:r w:rsidRPr="00D8761E">
        <w:rPr>
          <w:rFonts w:cs="Arial"/>
          <w:sz w:val="22"/>
        </w:rPr>
        <w:t>.</w:t>
      </w:r>
    </w:p>
    <w:p w14:paraId="399F84D5" w14:textId="4C31B739" w:rsidR="00AA0CBE" w:rsidRPr="00994D44" w:rsidRDefault="00AA0CBE" w:rsidP="00994D44">
      <w:pPr>
        <w:suppressAutoHyphens/>
        <w:autoSpaceDN w:val="0"/>
        <w:spacing w:after="0" w:line="240" w:lineRule="auto"/>
        <w:jc w:val="both"/>
        <w:textAlignment w:val="baseline"/>
        <w:rPr>
          <w:rFonts w:cstheme="minorHAnsi"/>
          <w:b/>
          <w:bCs/>
          <w:sz w:val="22"/>
          <w:lang w:val="fr-FR"/>
        </w:rPr>
      </w:pPr>
      <w:r w:rsidRPr="00994D44">
        <w:rPr>
          <w:rFonts w:cstheme="minorHAnsi"/>
          <w:b/>
          <w:bCs/>
          <w:sz w:val="22"/>
          <w:lang w:val="fr-FR"/>
        </w:rPr>
        <w:t>5.4 Livrables attendus</w:t>
      </w:r>
    </w:p>
    <w:p w14:paraId="48F3CCFC" w14:textId="77777777" w:rsidR="00AA0CBE" w:rsidRDefault="00AA0CBE">
      <w:pPr>
        <w:numPr>
          <w:ilvl w:val="0"/>
          <w:numId w:val="28"/>
        </w:numPr>
        <w:jc w:val="both"/>
        <w:rPr>
          <w:rFonts w:cs="Arial"/>
          <w:sz w:val="22"/>
        </w:rPr>
      </w:pPr>
      <w:r>
        <w:rPr>
          <w:rFonts w:cs="Arial"/>
          <w:sz w:val="22"/>
        </w:rPr>
        <w:t>A</w:t>
      </w:r>
      <w:r w:rsidRPr="00D8761E">
        <w:rPr>
          <w:rFonts w:cs="Arial"/>
          <w:sz w:val="22"/>
        </w:rPr>
        <w:t>u plus tard 10</w:t>
      </w:r>
      <w:r>
        <w:rPr>
          <w:rFonts w:cs="Arial"/>
          <w:sz w:val="22"/>
        </w:rPr>
        <w:t xml:space="preserve"> jours après le début de sa mission, l’expert produira une brève note méthodologique (5 pages maximum) portant sur a) sa compréhension du projet ; b) un plan de travail (avec calendrier) pour la contribution à la mise en œuvre du PIREDD </w:t>
      </w:r>
      <w:proofErr w:type="spellStart"/>
      <w:r>
        <w:rPr>
          <w:rFonts w:cs="Arial"/>
          <w:sz w:val="22"/>
        </w:rPr>
        <w:t>Mongala</w:t>
      </w:r>
      <w:proofErr w:type="spellEnd"/>
      <w:r>
        <w:rPr>
          <w:rFonts w:cs="Arial"/>
          <w:sz w:val="22"/>
        </w:rPr>
        <w:t>. Le plan de travail pourra être revu mensuellement avec le Manager du projet.</w:t>
      </w:r>
    </w:p>
    <w:p w14:paraId="4C0BC47A" w14:textId="77777777" w:rsidR="00AA0CBE" w:rsidRDefault="00AA0CBE">
      <w:pPr>
        <w:numPr>
          <w:ilvl w:val="0"/>
          <w:numId w:val="28"/>
        </w:numPr>
        <w:jc w:val="both"/>
        <w:rPr>
          <w:rFonts w:cs="Arial"/>
          <w:sz w:val="22"/>
        </w:rPr>
      </w:pPr>
      <w:r>
        <w:rPr>
          <w:rFonts w:cs="Arial"/>
          <w:sz w:val="22"/>
        </w:rPr>
        <w:t>Au plus tard 20 jours après le début de sa mission, l’expert produira (ou mettre à jour) les notes stratégiques, méthodologiques et les outils pour la mise en œuvre des actions.</w:t>
      </w:r>
    </w:p>
    <w:p w14:paraId="7A7D497E" w14:textId="77777777" w:rsidR="00AA0CBE" w:rsidRDefault="00AA0CBE">
      <w:pPr>
        <w:numPr>
          <w:ilvl w:val="0"/>
          <w:numId w:val="28"/>
        </w:numPr>
        <w:jc w:val="both"/>
        <w:rPr>
          <w:rFonts w:cs="Arial"/>
          <w:sz w:val="22"/>
        </w:rPr>
      </w:pPr>
      <w:r>
        <w:rPr>
          <w:rFonts w:cs="Arial"/>
          <w:sz w:val="22"/>
        </w:rPr>
        <w:t xml:space="preserve">Une mise à jour mensuelle des indicateurs de résultats, avec des commentaires </w:t>
      </w:r>
      <w:r w:rsidRPr="006270E1">
        <w:rPr>
          <w:rFonts w:cs="Arial"/>
          <w:sz w:val="22"/>
        </w:rPr>
        <w:t>techniques, des résultats écrits et des données des actions menées sur terrain</w:t>
      </w:r>
      <w:r>
        <w:rPr>
          <w:rFonts w:cs="Arial"/>
          <w:sz w:val="22"/>
        </w:rPr>
        <w:t>.</w:t>
      </w:r>
    </w:p>
    <w:p w14:paraId="33796A6C" w14:textId="77777777" w:rsidR="00AA0CBE" w:rsidRPr="00D8761E" w:rsidRDefault="00AA0CBE">
      <w:pPr>
        <w:numPr>
          <w:ilvl w:val="0"/>
          <w:numId w:val="28"/>
        </w:numPr>
        <w:spacing w:after="0"/>
        <w:jc w:val="both"/>
        <w:rPr>
          <w:rFonts w:cs="Arial"/>
          <w:sz w:val="22"/>
        </w:rPr>
      </w:pPr>
      <w:r>
        <w:rPr>
          <w:rFonts w:cs="Arial"/>
          <w:sz w:val="22"/>
        </w:rPr>
        <w:t>A</w:t>
      </w:r>
      <w:r w:rsidRPr="00D8761E">
        <w:rPr>
          <w:rFonts w:cs="Arial"/>
          <w:sz w:val="22"/>
        </w:rPr>
        <w:t>u plus tard 1</w:t>
      </w:r>
      <w:r>
        <w:rPr>
          <w:rFonts w:cs="Arial"/>
          <w:sz w:val="22"/>
        </w:rPr>
        <w:t xml:space="preserve">0 jours après la fin de sa mission, l’expert produira un </w:t>
      </w:r>
      <w:r w:rsidRPr="00D8761E">
        <w:rPr>
          <w:rFonts w:cs="Arial"/>
          <w:sz w:val="22"/>
        </w:rPr>
        <w:t xml:space="preserve">rapport </w:t>
      </w:r>
      <w:r>
        <w:rPr>
          <w:rFonts w:cs="Arial"/>
          <w:sz w:val="22"/>
        </w:rPr>
        <w:t xml:space="preserve">de mission qui </w:t>
      </w:r>
      <w:r w:rsidRPr="00D8761E">
        <w:rPr>
          <w:rFonts w:cs="Arial"/>
          <w:sz w:val="22"/>
        </w:rPr>
        <w:t>inclura</w:t>
      </w:r>
      <w:r>
        <w:rPr>
          <w:rFonts w:cs="Arial"/>
          <w:sz w:val="22"/>
        </w:rPr>
        <w:t> </w:t>
      </w:r>
    </w:p>
    <w:p w14:paraId="53F4909E" w14:textId="77777777" w:rsidR="00AA0CBE" w:rsidRDefault="00AA0CBE">
      <w:pPr>
        <w:numPr>
          <w:ilvl w:val="1"/>
          <w:numId w:val="28"/>
        </w:numPr>
        <w:spacing w:after="0"/>
        <w:jc w:val="both"/>
        <w:rPr>
          <w:rFonts w:cs="Arial"/>
          <w:sz w:val="22"/>
        </w:rPr>
      </w:pPr>
      <w:r>
        <w:rPr>
          <w:rFonts w:cs="Arial"/>
          <w:sz w:val="22"/>
        </w:rPr>
        <w:t>Les actions menées sur la durée de la consultance, leur analyse et des recommandations pour la poursuite de ces actions ;</w:t>
      </w:r>
    </w:p>
    <w:p w14:paraId="685CE000" w14:textId="77777777" w:rsidR="00AA0CBE" w:rsidRDefault="00AA0CBE">
      <w:pPr>
        <w:numPr>
          <w:ilvl w:val="1"/>
          <w:numId w:val="28"/>
        </w:numPr>
        <w:spacing w:after="0"/>
        <w:jc w:val="both"/>
        <w:rPr>
          <w:rFonts w:cs="Arial"/>
          <w:sz w:val="22"/>
        </w:rPr>
      </w:pPr>
      <w:r>
        <w:rPr>
          <w:rFonts w:cs="Arial"/>
          <w:sz w:val="22"/>
        </w:rPr>
        <w:t>Une évaluation des activités de gouvernance et développement local, ainsi que d’appui institutionnel ;</w:t>
      </w:r>
    </w:p>
    <w:p w14:paraId="4E0A61B3" w14:textId="77777777" w:rsidR="00AA0CBE" w:rsidRDefault="00AA0CBE">
      <w:pPr>
        <w:numPr>
          <w:ilvl w:val="1"/>
          <w:numId w:val="28"/>
        </w:numPr>
        <w:jc w:val="both"/>
        <w:rPr>
          <w:rFonts w:cs="Arial"/>
          <w:sz w:val="22"/>
        </w:rPr>
      </w:pPr>
      <w:r>
        <w:rPr>
          <w:rFonts w:cs="Arial"/>
          <w:sz w:val="22"/>
        </w:rPr>
        <w:t>La mise à jour des indicateurs d’effet et résultat liés aux activités appuyées.</w:t>
      </w:r>
    </w:p>
    <w:p w14:paraId="0F6683B6" w14:textId="77777777" w:rsidR="00117872" w:rsidRDefault="00AA0CBE">
      <w:pPr>
        <w:numPr>
          <w:ilvl w:val="0"/>
          <w:numId w:val="28"/>
        </w:numPr>
        <w:jc w:val="both"/>
        <w:rPr>
          <w:rFonts w:cs="Arial"/>
          <w:sz w:val="22"/>
        </w:rPr>
      </w:pPr>
      <w:r>
        <w:rPr>
          <w:rFonts w:cs="Arial"/>
          <w:sz w:val="22"/>
        </w:rPr>
        <w:t>Tout autre livrable demandé par le manager de projet</w:t>
      </w:r>
    </w:p>
    <w:p w14:paraId="7F52F9F9" w14:textId="7C5E2A4F" w:rsidR="00AA0CBE" w:rsidRPr="00994D44" w:rsidRDefault="00117872" w:rsidP="00117872">
      <w:pPr>
        <w:suppressAutoHyphens/>
        <w:autoSpaceDN w:val="0"/>
        <w:spacing w:after="0" w:line="240" w:lineRule="auto"/>
        <w:jc w:val="both"/>
        <w:textAlignment w:val="baseline"/>
        <w:rPr>
          <w:rFonts w:cstheme="minorHAnsi"/>
          <w:b/>
          <w:bCs/>
          <w:sz w:val="22"/>
          <w:lang w:val="fr-FR"/>
        </w:rPr>
      </w:pPr>
      <w:r w:rsidRPr="00994D44">
        <w:rPr>
          <w:rFonts w:cstheme="minorHAnsi"/>
          <w:b/>
          <w:bCs/>
          <w:sz w:val="22"/>
          <w:lang w:val="fr-FR"/>
        </w:rPr>
        <w:t>5.5 Période d’exécution des prestations</w:t>
      </w:r>
    </w:p>
    <w:p w14:paraId="24FB3B75" w14:textId="77777777" w:rsidR="00117872" w:rsidRPr="00117872" w:rsidRDefault="00117872" w:rsidP="00117872">
      <w:pPr>
        <w:suppressAutoHyphens/>
        <w:autoSpaceDN w:val="0"/>
        <w:spacing w:after="0" w:line="240" w:lineRule="auto"/>
        <w:jc w:val="both"/>
        <w:textAlignment w:val="baseline"/>
        <w:rPr>
          <w:rFonts w:asciiTheme="minorHAnsi" w:hAnsiTheme="minorHAnsi" w:cstheme="minorHAnsi"/>
          <w:b/>
          <w:bCs/>
          <w:sz w:val="22"/>
          <w:u w:val="single"/>
          <w:lang w:val="fr-FR"/>
        </w:rPr>
      </w:pPr>
    </w:p>
    <w:p w14:paraId="5E28BD36" w14:textId="77777777" w:rsidR="00AA0CBE" w:rsidRDefault="00AA0CBE" w:rsidP="00AA0CBE">
      <w:pPr>
        <w:jc w:val="both"/>
        <w:rPr>
          <w:sz w:val="22"/>
          <w:lang w:val="fr-FR"/>
        </w:rPr>
      </w:pPr>
      <w:r>
        <w:rPr>
          <w:sz w:val="22"/>
          <w:lang w:val="fr-FR"/>
        </w:rPr>
        <w:t xml:space="preserve">La </w:t>
      </w:r>
      <w:r w:rsidRPr="005F4180">
        <w:rPr>
          <w:sz w:val="22"/>
          <w:lang w:val="fr-FR"/>
        </w:rPr>
        <w:t xml:space="preserve">durée </w:t>
      </w:r>
      <w:r>
        <w:rPr>
          <w:sz w:val="22"/>
          <w:lang w:val="fr-FR"/>
        </w:rPr>
        <w:t xml:space="preserve">prévue </w:t>
      </w:r>
      <w:r w:rsidRPr="005F4180">
        <w:rPr>
          <w:sz w:val="22"/>
          <w:lang w:val="fr-FR"/>
        </w:rPr>
        <w:t xml:space="preserve">de </w:t>
      </w:r>
      <w:r>
        <w:rPr>
          <w:sz w:val="22"/>
          <w:lang w:val="fr-FR"/>
        </w:rPr>
        <w:t xml:space="preserve">cette </w:t>
      </w:r>
      <w:r w:rsidRPr="005F4180">
        <w:rPr>
          <w:sz w:val="22"/>
          <w:lang w:val="fr-FR"/>
        </w:rPr>
        <w:t xml:space="preserve">mission est </w:t>
      </w:r>
      <w:r w:rsidRPr="00C1094E">
        <w:rPr>
          <w:bCs/>
          <w:sz w:val="22"/>
          <w:lang w:val="fr-FR"/>
        </w:rPr>
        <w:t xml:space="preserve">de </w:t>
      </w:r>
      <w:r>
        <w:rPr>
          <w:b/>
          <w:sz w:val="22"/>
          <w:lang w:val="fr-FR"/>
        </w:rPr>
        <w:t>72</w:t>
      </w:r>
      <w:r w:rsidRPr="009F626C">
        <w:rPr>
          <w:b/>
          <w:sz w:val="22"/>
          <w:lang w:val="fr-FR"/>
        </w:rPr>
        <w:t xml:space="preserve"> hommes/ jours</w:t>
      </w:r>
      <w:r>
        <w:rPr>
          <w:b/>
          <w:sz w:val="22"/>
          <w:lang w:val="fr-FR"/>
        </w:rPr>
        <w:t xml:space="preserve"> </w:t>
      </w:r>
      <w:r w:rsidRPr="005F4180">
        <w:rPr>
          <w:sz w:val="22"/>
          <w:lang w:val="fr-FR"/>
        </w:rPr>
        <w:t xml:space="preserve">de mission en </w:t>
      </w:r>
      <w:r>
        <w:rPr>
          <w:sz w:val="22"/>
          <w:lang w:val="fr-FR"/>
        </w:rPr>
        <w:t xml:space="preserve">RDC dans la </w:t>
      </w:r>
      <w:proofErr w:type="spellStart"/>
      <w:r>
        <w:rPr>
          <w:sz w:val="22"/>
          <w:lang w:val="fr-FR"/>
        </w:rPr>
        <w:t>Mongala</w:t>
      </w:r>
      <w:proofErr w:type="spellEnd"/>
      <w:r>
        <w:rPr>
          <w:sz w:val="22"/>
          <w:lang w:val="fr-FR"/>
        </w:rPr>
        <w:t xml:space="preserve">, sur une </w:t>
      </w:r>
      <w:r w:rsidRPr="00C1094E">
        <w:rPr>
          <w:b/>
          <w:bCs/>
          <w:sz w:val="22"/>
          <w:lang w:val="fr-FR"/>
        </w:rPr>
        <w:t xml:space="preserve">durée de </w:t>
      </w:r>
      <w:r>
        <w:rPr>
          <w:b/>
          <w:bCs/>
          <w:sz w:val="22"/>
          <w:lang w:val="fr-FR"/>
        </w:rPr>
        <w:t xml:space="preserve">4 </w:t>
      </w:r>
      <w:r w:rsidRPr="00C1094E">
        <w:rPr>
          <w:b/>
          <w:bCs/>
          <w:sz w:val="22"/>
          <w:lang w:val="fr-FR"/>
        </w:rPr>
        <w:t>mois</w:t>
      </w:r>
      <w:r>
        <w:rPr>
          <w:b/>
          <w:bCs/>
          <w:sz w:val="22"/>
          <w:lang w:val="fr-FR"/>
        </w:rPr>
        <w:t xml:space="preserve"> </w:t>
      </w:r>
      <w:r w:rsidRPr="00BA7EF9">
        <w:rPr>
          <w:sz w:val="22"/>
          <w:lang w:val="fr-FR"/>
        </w:rPr>
        <w:t xml:space="preserve">à partir </w:t>
      </w:r>
      <w:r>
        <w:rPr>
          <w:sz w:val="22"/>
          <w:lang w:val="fr-FR"/>
        </w:rPr>
        <w:t>de juillet</w:t>
      </w:r>
      <w:r w:rsidRPr="00BA7EF9">
        <w:rPr>
          <w:sz w:val="22"/>
          <w:lang w:val="fr-FR"/>
        </w:rPr>
        <w:t xml:space="preserve"> 2023.</w:t>
      </w:r>
    </w:p>
    <w:p w14:paraId="5BEF9702" w14:textId="77777777" w:rsidR="00AA0CBE" w:rsidRDefault="00AA0CBE" w:rsidP="00AA0CBE">
      <w:pPr>
        <w:spacing w:after="0"/>
        <w:jc w:val="both"/>
        <w:rPr>
          <w:sz w:val="22"/>
          <w:lang w:val="fr-FR"/>
        </w:rPr>
      </w:pPr>
      <w:r>
        <w:rPr>
          <w:sz w:val="22"/>
          <w:lang w:val="fr-FR"/>
        </w:rPr>
        <w:t xml:space="preserve">En particulier, la consultance devra être présente dans la </w:t>
      </w:r>
      <w:proofErr w:type="spellStart"/>
      <w:r>
        <w:rPr>
          <w:sz w:val="22"/>
          <w:lang w:val="fr-FR"/>
        </w:rPr>
        <w:t>Mongala</w:t>
      </w:r>
      <w:proofErr w:type="spellEnd"/>
      <w:r>
        <w:rPr>
          <w:sz w:val="22"/>
          <w:lang w:val="fr-FR"/>
        </w:rPr>
        <w:t xml:space="preserve"> aux périodes suivantes :</w:t>
      </w:r>
    </w:p>
    <w:p w14:paraId="11811221" w14:textId="77777777" w:rsidR="00AA0CBE" w:rsidRDefault="00AA0CBE">
      <w:pPr>
        <w:pStyle w:val="Paragraphedeliste"/>
        <w:numPr>
          <w:ilvl w:val="0"/>
          <w:numId w:val="27"/>
        </w:numPr>
        <w:jc w:val="both"/>
        <w:rPr>
          <w:sz w:val="22"/>
          <w:lang w:val="fr-FR"/>
        </w:rPr>
      </w:pPr>
      <w:r>
        <w:rPr>
          <w:sz w:val="22"/>
          <w:lang w:val="fr-FR"/>
        </w:rPr>
        <w:t>Début octobre pour la revue de planification du projet ;</w:t>
      </w:r>
    </w:p>
    <w:p w14:paraId="1FA12CC5" w14:textId="77777777" w:rsidR="00AA0CBE" w:rsidRDefault="00AA0CBE" w:rsidP="00AA0CBE">
      <w:pPr>
        <w:jc w:val="both"/>
        <w:rPr>
          <w:sz w:val="22"/>
          <w:lang w:val="fr-FR"/>
        </w:rPr>
      </w:pPr>
      <w:bookmarkStart w:id="162" w:name="_Hlk129358189"/>
      <w:r>
        <w:rPr>
          <w:sz w:val="22"/>
          <w:lang w:val="fr-FR"/>
        </w:rPr>
        <w:t xml:space="preserve">En fonction des besoins du projet, la durée de mission pourra être prolongée </w:t>
      </w:r>
      <w:r>
        <w:rPr>
          <w:bCs/>
          <w:sz w:val="22"/>
          <w:lang w:val="fr-FR"/>
        </w:rPr>
        <w:t>jusqu’à</w:t>
      </w:r>
      <w:r w:rsidRPr="00C1094E">
        <w:rPr>
          <w:bCs/>
          <w:sz w:val="22"/>
          <w:lang w:val="fr-FR"/>
        </w:rPr>
        <w:t xml:space="preserve"> </w:t>
      </w:r>
      <w:r>
        <w:rPr>
          <w:b/>
          <w:sz w:val="22"/>
          <w:lang w:val="fr-FR"/>
        </w:rPr>
        <w:t>40</w:t>
      </w:r>
      <w:r w:rsidRPr="009F626C">
        <w:rPr>
          <w:b/>
          <w:sz w:val="22"/>
          <w:lang w:val="fr-FR"/>
        </w:rPr>
        <w:t xml:space="preserve"> hommes/ jours</w:t>
      </w:r>
      <w:r>
        <w:rPr>
          <w:b/>
          <w:sz w:val="22"/>
          <w:lang w:val="fr-FR"/>
        </w:rPr>
        <w:t xml:space="preserve"> </w:t>
      </w:r>
      <w:r w:rsidRPr="005F4180">
        <w:rPr>
          <w:sz w:val="22"/>
          <w:lang w:val="fr-FR"/>
        </w:rPr>
        <w:t xml:space="preserve">de mission en </w:t>
      </w:r>
      <w:r>
        <w:rPr>
          <w:sz w:val="22"/>
          <w:lang w:val="fr-FR"/>
        </w:rPr>
        <w:t xml:space="preserve">RDC dans la </w:t>
      </w:r>
      <w:proofErr w:type="spellStart"/>
      <w:r>
        <w:rPr>
          <w:sz w:val="22"/>
          <w:lang w:val="fr-FR"/>
        </w:rPr>
        <w:t>Mongala</w:t>
      </w:r>
      <w:proofErr w:type="spellEnd"/>
      <w:r>
        <w:rPr>
          <w:sz w:val="22"/>
          <w:lang w:val="fr-FR"/>
        </w:rPr>
        <w:t xml:space="preserve">, sur une </w:t>
      </w:r>
      <w:r w:rsidRPr="00C1094E">
        <w:rPr>
          <w:b/>
          <w:bCs/>
          <w:sz w:val="22"/>
          <w:lang w:val="fr-FR"/>
        </w:rPr>
        <w:t xml:space="preserve">durée de </w:t>
      </w:r>
      <w:r>
        <w:rPr>
          <w:b/>
          <w:bCs/>
          <w:sz w:val="22"/>
          <w:lang w:val="fr-FR"/>
        </w:rPr>
        <w:t xml:space="preserve">3 </w:t>
      </w:r>
      <w:r w:rsidRPr="00C1094E">
        <w:rPr>
          <w:b/>
          <w:bCs/>
          <w:sz w:val="22"/>
          <w:lang w:val="fr-FR"/>
        </w:rPr>
        <w:t>mois</w:t>
      </w:r>
      <w:r>
        <w:rPr>
          <w:b/>
          <w:bCs/>
          <w:sz w:val="22"/>
          <w:lang w:val="fr-FR"/>
        </w:rPr>
        <w:t xml:space="preserve"> </w:t>
      </w:r>
      <w:r w:rsidRPr="009C0FED">
        <w:rPr>
          <w:sz w:val="22"/>
          <w:lang w:val="fr-FR"/>
        </w:rPr>
        <w:t>(en option</w:t>
      </w:r>
      <w:r>
        <w:rPr>
          <w:sz w:val="22"/>
          <w:lang w:val="fr-FR"/>
        </w:rPr>
        <w:t xml:space="preserve"> à valider en octobre 2023</w:t>
      </w:r>
      <w:r w:rsidRPr="009C0FED">
        <w:rPr>
          <w:sz w:val="22"/>
          <w:lang w:val="fr-FR"/>
        </w:rPr>
        <w:t>).</w:t>
      </w:r>
    </w:p>
    <w:p w14:paraId="4DB529B6" w14:textId="6068E5AB" w:rsidR="00117872" w:rsidRPr="00223C73" w:rsidRDefault="00117872" w:rsidP="00AA0CBE">
      <w:pPr>
        <w:jc w:val="both"/>
        <w:rPr>
          <w:b/>
          <w:bCs/>
          <w:sz w:val="22"/>
          <w:lang w:val="fr-FR"/>
        </w:rPr>
      </w:pPr>
      <w:r w:rsidRPr="00223C73">
        <w:rPr>
          <w:b/>
          <w:bCs/>
          <w:sz w:val="22"/>
          <w:lang w:val="fr-FR"/>
        </w:rPr>
        <w:t>5.6. Documentation disponible :</w:t>
      </w:r>
    </w:p>
    <w:bookmarkEnd w:id="162"/>
    <w:p w14:paraId="664FC83E" w14:textId="77777777" w:rsidR="00AA0CBE" w:rsidRDefault="00AA0CBE">
      <w:pPr>
        <w:pStyle w:val="Paragraphedeliste"/>
        <w:widowControl w:val="0"/>
        <w:numPr>
          <w:ilvl w:val="0"/>
          <w:numId w:val="27"/>
        </w:numPr>
        <w:suppressAutoHyphens/>
        <w:spacing w:before="120" w:after="40"/>
        <w:jc w:val="both"/>
        <w:rPr>
          <w:rFonts w:cs="Arial"/>
          <w:sz w:val="22"/>
        </w:rPr>
      </w:pPr>
      <w:r>
        <w:rPr>
          <w:rFonts w:cs="Arial"/>
          <w:sz w:val="22"/>
        </w:rPr>
        <w:t xml:space="preserve">DTF PIREDD </w:t>
      </w:r>
      <w:proofErr w:type="spellStart"/>
      <w:r>
        <w:rPr>
          <w:rFonts w:cs="Arial"/>
          <w:sz w:val="22"/>
        </w:rPr>
        <w:t>Mongala</w:t>
      </w:r>
      <w:proofErr w:type="spellEnd"/>
    </w:p>
    <w:p w14:paraId="1DC1D9A1" w14:textId="77777777" w:rsidR="00AA0CBE" w:rsidRDefault="00AA0CBE">
      <w:pPr>
        <w:pStyle w:val="Paragraphedeliste"/>
        <w:widowControl w:val="0"/>
        <w:numPr>
          <w:ilvl w:val="0"/>
          <w:numId w:val="27"/>
        </w:numPr>
        <w:suppressAutoHyphens/>
        <w:spacing w:before="120" w:after="40"/>
        <w:jc w:val="both"/>
        <w:rPr>
          <w:rFonts w:cs="Arial"/>
          <w:sz w:val="22"/>
        </w:rPr>
      </w:pPr>
      <w:r>
        <w:rPr>
          <w:rFonts w:cs="Arial"/>
          <w:sz w:val="22"/>
        </w:rPr>
        <w:t xml:space="preserve">Rapport annuel 2022 PIREDD </w:t>
      </w:r>
      <w:proofErr w:type="spellStart"/>
      <w:r>
        <w:rPr>
          <w:rFonts w:cs="Arial"/>
          <w:sz w:val="22"/>
        </w:rPr>
        <w:t>Mongala</w:t>
      </w:r>
      <w:proofErr w:type="spellEnd"/>
    </w:p>
    <w:p w14:paraId="3C7F4BC0" w14:textId="45DFE5B8" w:rsidR="005F2003" w:rsidRDefault="005F2003" w:rsidP="00C72B94">
      <w:pPr>
        <w:pStyle w:val="Titre1"/>
        <w:numPr>
          <w:ilvl w:val="0"/>
          <w:numId w:val="5"/>
        </w:numPr>
      </w:pPr>
      <w:bookmarkStart w:id="163" w:name="_Toc503965242"/>
      <w:r>
        <w:lastRenderedPageBreak/>
        <w:t>Formulaires</w:t>
      </w:r>
      <w:bookmarkEnd w:id="163"/>
      <w:r w:rsidR="00E535C1">
        <w:t xml:space="preserve"> d’offre</w:t>
      </w:r>
    </w:p>
    <w:p w14:paraId="0C3458AC" w14:textId="77777777" w:rsidR="00BB103A" w:rsidRPr="006B32D6" w:rsidRDefault="00BB103A" w:rsidP="00BB103A">
      <w:pPr>
        <w:jc w:val="both"/>
        <w:rPr>
          <w:rFonts w:cstheme="minorHAnsi"/>
          <w:sz w:val="20"/>
          <w:szCs w:val="20"/>
          <w:lang w:val="fr-FR"/>
        </w:rPr>
      </w:pPr>
      <w:bookmarkStart w:id="164" w:name="_Toc52268497"/>
      <w:r w:rsidRPr="006B32D6">
        <w:rPr>
          <w:rFonts w:cstheme="minorHAnsi"/>
          <w:sz w:val="20"/>
          <w:szCs w:val="20"/>
          <w:lang w:val="fr-FR"/>
        </w:rPr>
        <w:t xml:space="preserve">Instructions pour l’établissement de l’offre </w:t>
      </w:r>
    </w:p>
    <w:p w14:paraId="4F3A7748" w14:textId="77777777" w:rsidR="00BB103A" w:rsidRPr="006B32D6" w:rsidRDefault="00BB103A" w:rsidP="00BB103A">
      <w:pPr>
        <w:jc w:val="both"/>
        <w:rPr>
          <w:rFonts w:cstheme="minorHAnsi"/>
          <w:sz w:val="20"/>
          <w:szCs w:val="20"/>
          <w:lang w:val="fr-FR"/>
        </w:rPr>
      </w:pPr>
      <w:r w:rsidRPr="006B32D6">
        <w:rPr>
          <w:rFonts w:cstheme="minorHAnsi"/>
          <w:sz w:val="20"/>
          <w:szCs w:val="20"/>
          <w:lang w:val="fr-FR"/>
        </w:rPr>
        <w:t xml:space="preserve">Le soumissionnaire est tenu d’utiliser les formulaires d’offre joint en annexe. A défaut d’utiliser ce formulaire, il supporte l’entière responsabilité de la parfaite concordance entre les documents qu’il a utilisés et le formulaire. </w:t>
      </w:r>
    </w:p>
    <w:p w14:paraId="10FED2DC" w14:textId="77777777" w:rsidR="00BB103A" w:rsidRPr="006B32D6" w:rsidRDefault="00BB103A" w:rsidP="00BB103A">
      <w:pPr>
        <w:jc w:val="both"/>
        <w:rPr>
          <w:rFonts w:cstheme="minorHAnsi"/>
          <w:sz w:val="20"/>
          <w:szCs w:val="20"/>
          <w:lang w:val="fr-FR"/>
        </w:rPr>
      </w:pPr>
      <w:r w:rsidRPr="006B32D6">
        <w:rPr>
          <w:rFonts w:cstheme="minorHAnsi"/>
          <w:sz w:val="20"/>
          <w:szCs w:val="20"/>
          <w:lang w:val="fr-FR"/>
        </w:rPr>
        <w:t xml:space="preserve">L’offre et les annexes jointes au formulaire d’offre sont rédigées en français. </w:t>
      </w:r>
    </w:p>
    <w:p w14:paraId="1AEC0343" w14:textId="77777777" w:rsidR="00BB103A" w:rsidRPr="006B32D6" w:rsidRDefault="00BB103A" w:rsidP="00BB103A">
      <w:pPr>
        <w:jc w:val="both"/>
        <w:rPr>
          <w:rFonts w:cstheme="minorHAnsi"/>
          <w:sz w:val="20"/>
          <w:szCs w:val="20"/>
          <w:lang w:val="fr-FR"/>
        </w:rPr>
      </w:pPr>
      <w:r w:rsidRPr="006B32D6">
        <w:rPr>
          <w:rFonts w:cstheme="minorHAnsi"/>
          <w:sz w:val="20"/>
          <w:szCs w:val="20"/>
          <w:lang w:val="fr-FR"/>
        </w:rPr>
        <w:t xml:space="preserve">Les formulaires d’offres doivent être envoyés par E-mail à l’adresse indiquée dans ce CSC </w:t>
      </w:r>
    </w:p>
    <w:p w14:paraId="6B45E3CD" w14:textId="77777777" w:rsidR="00BB103A" w:rsidRPr="006B32D6" w:rsidRDefault="00BB103A" w:rsidP="00BB103A">
      <w:pPr>
        <w:jc w:val="both"/>
        <w:rPr>
          <w:rFonts w:cstheme="minorHAnsi"/>
          <w:sz w:val="20"/>
          <w:szCs w:val="20"/>
          <w:lang w:val="fr-FR"/>
        </w:rPr>
      </w:pPr>
      <w:r w:rsidRPr="006B32D6">
        <w:rPr>
          <w:rFonts w:cstheme="minorHAnsi"/>
          <w:sz w:val="20"/>
          <w:szCs w:val="20"/>
          <w:lang w:val="fr-FR"/>
        </w:rPr>
        <w:t xml:space="preserve">Les différentes parties et annexes de l’offre doivent être numérotées. </w:t>
      </w:r>
    </w:p>
    <w:p w14:paraId="73410DBB" w14:textId="77777777" w:rsidR="00BB103A" w:rsidRPr="006B32D6" w:rsidRDefault="00BB103A" w:rsidP="00BB103A">
      <w:pPr>
        <w:jc w:val="both"/>
        <w:rPr>
          <w:rFonts w:cstheme="minorHAnsi"/>
          <w:sz w:val="20"/>
          <w:szCs w:val="20"/>
          <w:lang w:val="fr-FR"/>
        </w:rPr>
      </w:pPr>
      <w:r w:rsidRPr="006B32D6">
        <w:rPr>
          <w:rFonts w:cstheme="minorHAnsi"/>
          <w:sz w:val="20"/>
          <w:szCs w:val="20"/>
          <w:lang w:val="fr-FR"/>
        </w:rPr>
        <w:t xml:space="preserve">Les prix sont indiqués en euros et seront précisés jusqu’à deux chiffres après la virgule. </w:t>
      </w:r>
    </w:p>
    <w:p w14:paraId="21B8AC42" w14:textId="77777777" w:rsidR="00BB103A" w:rsidRPr="006B32D6" w:rsidRDefault="00BB103A" w:rsidP="00BB103A">
      <w:pPr>
        <w:jc w:val="both"/>
        <w:rPr>
          <w:rFonts w:cstheme="minorHAnsi"/>
          <w:sz w:val="20"/>
          <w:szCs w:val="20"/>
          <w:lang w:val="fr-FR"/>
        </w:rPr>
      </w:pPr>
      <w:r w:rsidRPr="006B32D6">
        <w:rPr>
          <w:rFonts w:cstheme="minorHAnsi"/>
          <w:sz w:val="20"/>
          <w:szCs w:val="20"/>
          <w:lang w:val="fr-FR"/>
        </w:rPr>
        <w:t xml:space="preserve">Les ratures, surcharges, mentions complémentaires ou modificatives dans les formulaires d’offre doivent être accompagnées d’une signature à côté de la rature, surcharge, mention complémentaire ou modificative en question. </w:t>
      </w:r>
    </w:p>
    <w:p w14:paraId="44B5140D" w14:textId="77777777" w:rsidR="00BB103A" w:rsidRPr="006B32D6" w:rsidRDefault="00BB103A" w:rsidP="00BB103A">
      <w:pPr>
        <w:jc w:val="both"/>
        <w:rPr>
          <w:rFonts w:cstheme="minorHAnsi"/>
          <w:sz w:val="20"/>
          <w:szCs w:val="20"/>
          <w:lang w:val="fr-FR"/>
        </w:rPr>
      </w:pPr>
      <w:r w:rsidRPr="006B32D6">
        <w:rPr>
          <w:rFonts w:cstheme="minorHAnsi"/>
          <w:sz w:val="20"/>
          <w:szCs w:val="20"/>
          <w:lang w:val="fr-FR"/>
        </w:rPr>
        <w:t xml:space="preserve">Ceci vaut également pour les ratures, surcharges et mentions complémentaires ou modificatives qui ont été apportées à l’aide d’un ruban ou de liquide correcteur. </w:t>
      </w:r>
    </w:p>
    <w:p w14:paraId="71CF19C6" w14:textId="77777777" w:rsidR="00BB103A" w:rsidRPr="006B32D6" w:rsidRDefault="00BB103A" w:rsidP="00BB103A">
      <w:pPr>
        <w:jc w:val="both"/>
        <w:rPr>
          <w:rFonts w:cstheme="minorHAnsi"/>
          <w:sz w:val="20"/>
          <w:szCs w:val="20"/>
          <w:lang w:val="fr-FR"/>
        </w:rPr>
      </w:pPr>
      <w:r w:rsidRPr="006B32D6">
        <w:rPr>
          <w:rFonts w:cstheme="minorHAnsi"/>
          <w:sz w:val="20"/>
          <w:szCs w:val="20"/>
          <w:lang w:val="fr-FR"/>
        </w:rPr>
        <w:t xml:space="preserve">L’offre portera la signature manuscrite originale du soumissionnaire ou de son mandataire. </w:t>
      </w:r>
    </w:p>
    <w:p w14:paraId="30619CA0" w14:textId="566BA6D6" w:rsidR="00BB103A" w:rsidRPr="008706E2" w:rsidRDefault="00BB103A" w:rsidP="008706E2">
      <w:pPr>
        <w:jc w:val="both"/>
        <w:rPr>
          <w:rFonts w:cstheme="minorHAnsi"/>
          <w:sz w:val="20"/>
          <w:szCs w:val="20"/>
          <w:lang w:val="fr-FR"/>
        </w:rPr>
      </w:pPr>
      <w:r w:rsidRPr="006B32D6">
        <w:rPr>
          <w:rFonts w:cstheme="minorHAnsi"/>
          <w:sz w:val="20"/>
          <w:szCs w:val="20"/>
          <w:lang w:val="fr-FR"/>
        </w:rPr>
        <w:t>Lorsque le soumissionnaire est une société/association sans personnalité juridique, formée entre plusieurs personnes physiques ou morales (société momentanée ou association momentanée), l’offre doit être signée par chacune de ces personnes.</w:t>
      </w:r>
    </w:p>
    <w:p w14:paraId="60A5DCCE" w14:textId="77777777" w:rsidR="00BB103A" w:rsidRDefault="00BB103A" w:rsidP="00BB103A"/>
    <w:p w14:paraId="714ECEE5" w14:textId="77777777" w:rsidR="00BB103A" w:rsidRDefault="00BB103A" w:rsidP="00BB103A"/>
    <w:p w14:paraId="582B60BB" w14:textId="77777777" w:rsidR="00BB103A" w:rsidRDefault="00BB103A" w:rsidP="00BB103A"/>
    <w:p w14:paraId="6B76104E" w14:textId="77777777" w:rsidR="00BB103A" w:rsidRDefault="00BB103A" w:rsidP="00BB103A"/>
    <w:p w14:paraId="13972418" w14:textId="77777777" w:rsidR="00BB103A" w:rsidRDefault="00BB103A" w:rsidP="00BB103A"/>
    <w:p w14:paraId="2FF43F6A" w14:textId="77777777" w:rsidR="00BB103A" w:rsidRDefault="00BB103A" w:rsidP="00BB103A"/>
    <w:p w14:paraId="2EF7F654" w14:textId="77777777" w:rsidR="00BB103A" w:rsidRDefault="00BB103A" w:rsidP="00BB103A"/>
    <w:p w14:paraId="3520EC6A" w14:textId="77777777" w:rsidR="00BB103A" w:rsidRDefault="00BB103A" w:rsidP="00BB103A"/>
    <w:p w14:paraId="4E01289D" w14:textId="77777777" w:rsidR="00BB103A" w:rsidRDefault="00BB103A" w:rsidP="00BB103A"/>
    <w:p w14:paraId="4D77BDAB" w14:textId="77777777" w:rsidR="00BB103A" w:rsidRDefault="00BB103A" w:rsidP="00BB103A"/>
    <w:p w14:paraId="6D4EAAC6" w14:textId="77777777" w:rsidR="00BB103A" w:rsidRDefault="00BB103A" w:rsidP="00BB103A"/>
    <w:p w14:paraId="0A8569EE" w14:textId="77777777" w:rsidR="00BB103A" w:rsidRDefault="00BB103A" w:rsidP="00BB103A"/>
    <w:p w14:paraId="43C36C9E" w14:textId="77777777" w:rsidR="00BB103A" w:rsidRDefault="00BB103A" w:rsidP="00BB103A"/>
    <w:p w14:paraId="6FC22D29" w14:textId="77777777" w:rsidR="00BB103A" w:rsidRDefault="00BB103A" w:rsidP="00BB103A"/>
    <w:p w14:paraId="3C887548" w14:textId="77777777" w:rsidR="00BB103A" w:rsidRPr="00BB103A" w:rsidRDefault="00BB103A" w:rsidP="00BB103A"/>
    <w:p w14:paraId="397C9930" w14:textId="4C854980" w:rsidR="00E535C1" w:rsidRDefault="00E535C1" w:rsidP="00E535C1">
      <w:pPr>
        <w:pStyle w:val="Titre2"/>
      </w:pPr>
      <w:r>
        <w:lastRenderedPageBreak/>
        <w:t xml:space="preserve">Fiche </w:t>
      </w:r>
      <w:r w:rsidRPr="00AB5BF9">
        <w:t>d’identification</w:t>
      </w:r>
      <w:bookmarkEnd w:id="164"/>
    </w:p>
    <w:p w14:paraId="7C0D9C01" w14:textId="77777777" w:rsidR="00E535C1" w:rsidRPr="00FC215D" w:rsidRDefault="00E535C1" w:rsidP="00E535C1">
      <w:pPr>
        <w:pStyle w:val="Titre3"/>
      </w:pPr>
      <w:bookmarkStart w:id="165" w:name="_Toc364253087"/>
      <w:bookmarkStart w:id="166" w:name="_Toc51592066"/>
      <w:bookmarkStart w:id="167" w:name="_Toc52268498"/>
      <w:r w:rsidRPr="00FC215D">
        <w:t>Personne physique</w:t>
      </w:r>
      <w:bookmarkEnd w:id="165"/>
      <w:bookmarkEnd w:id="166"/>
      <w:bookmarkEnd w:id="167"/>
      <w:r w:rsidRPr="00FC215D">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68" w:name="_Hlk52268008"/>
      <w:r w:rsidRPr="00D450F6">
        <w:rPr>
          <w:rFonts w:eastAsia="DejaVu Sans" w:cs="Tahoma"/>
          <w:color w:val="auto"/>
          <w:kern w:val="18"/>
          <w:sz w:val="20"/>
          <w:szCs w:val="20"/>
          <w:lang w:val="fr-FR"/>
        </w:rPr>
        <w:t xml:space="preserve">Pour remplir la fiche, veuillez cliquer ici : </w:t>
      </w:r>
      <w:hyperlink r:id="rId29">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3"/>
            </w:r>
            <w:r w:rsidRPr="00C94CF0">
              <w:rPr>
                <w:b/>
                <w:sz w:val="16"/>
                <w:szCs w:val="16"/>
              </w:rPr>
              <w:tab/>
              <w:t>AUTRE</w:t>
            </w:r>
            <w:r>
              <w:rPr>
                <w:rStyle w:val="Appelnotedebasdep"/>
                <w:b/>
                <w:sz w:val="16"/>
                <w:szCs w:val="16"/>
              </w:rPr>
              <w:footnoteReference w:id="14"/>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5"/>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169" w:name="_Toc51592067"/>
      <w:bookmarkStart w:id="170" w:name="_Toc52268499"/>
      <w:bookmarkEnd w:id="168"/>
      <w:r w:rsidRPr="006542C5">
        <w:rPr>
          <w:lang w:val="fr-BE"/>
        </w:rPr>
        <w:t>Entité de droit privé/public ayant une forme juridique</w:t>
      </w:r>
      <w:bookmarkEnd w:id="169"/>
      <w:bookmarkEnd w:id="170"/>
    </w:p>
    <w:p w14:paraId="40DC05F6" w14:textId="77777777" w:rsidR="007D0B42" w:rsidRPr="00D450F6" w:rsidRDefault="007D0B42" w:rsidP="007D0B42">
      <w:bookmarkStart w:id="171" w:name="_Hlk52268009"/>
      <w:r>
        <w:t xml:space="preserve">Pour remplir la fiche, veuillez cliquer ici : </w:t>
      </w:r>
      <w:hyperlink r:id="rId30">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9"/>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172" w:name="_Toc51592068"/>
    </w:p>
    <w:bookmarkEnd w:id="171"/>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173" w:name="_Toc52268500"/>
      <w:proofErr w:type="spellStart"/>
      <w:r>
        <w:lastRenderedPageBreak/>
        <w:t>E</w:t>
      </w:r>
      <w:r w:rsidRPr="008A70C6">
        <w:t>ntité</w:t>
      </w:r>
      <w:proofErr w:type="spellEnd"/>
      <w:r w:rsidRPr="008A70C6">
        <w:t xml:space="preserve"> de droit publi</w:t>
      </w:r>
      <w:r>
        <w:t>c</w:t>
      </w:r>
      <w:bookmarkEnd w:id="172"/>
      <w:r>
        <w:rPr>
          <w:rStyle w:val="Appelnotedebasdep"/>
        </w:rPr>
        <w:footnoteReference w:id="20"/>
      </w:r>
      <w:bookmarkEnd w:id="173"/>
    </w:p>
    <w:p w14:paraId="4B29CDD3" w14:textId="0409AA25" w:rsidR="0014322D" w:rsidRPr="00D450F6" w:rsidRDefault="0014322D" w:rsidP="0014322D">
      <w:bookmarkStart w:id="174" w:name="_Hlk52268028"/>
      <w:r>
        <w:t xml:space="preserve">Pour remplir la fiche, veuillez cliquer ici : </w:t>
      </w:r>
      <w:hyperlink r:id="rId31">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563F2ED5" w14:textId="77777777" w:rsidR="00BB103A" w:rsidRDefault="00BB103A" w:rsidP="00BB103A">
      <w:bookmarkStart w:id="175" w:name="_Toc52268502"/>
      <w:bookmarkEnd w:id="174"/>
    </w:p>
    <w:p w14:paraId="4F86953D" w14:textId="77777777" w:rsidR="00BB103A" w:rsidRDefault="00BB103A" w:rsidP="00BB103A"/>
    <w:p w14:paraId="2CBD9C6F" w14:textId="77777777" w:rsidR="00BB103A" w:rsidRDefault="00BB103A" w:rsidP="00BB103A"/>
    <w:p w14:paraId="5300CA2D" w14:textId="77777777" w:rsidR="00BB103A" w:rsidRDefault="00BB103A" w:rsidP="00BB103A"/>
    <w:p w14:paraId="5B099C74" w14:textId="77777777" w:rsidR="00BB103A" w:rsidRDefault="00BB103A" w:rsidP="00BB103A"/>
    <w:p w14:paraId="1BB1001B" w14:textId="77777777" w:rsidR="00BB103A" w:rsidRPr="00BB103A" w:rsidRDefault="00BB103A" w:rsidP="00BB103A"/>
    <w:p w14:paraId="2A3C2D54" w14:textId="1C04ABBF" w:rsidR="00E535C1" w:rsidRPr="006542C5" w:rsidRDefault="00E535C1" w:rsidP="00E535C1">
      <w:pPr>
        <w:pStyle w:val="Titre2"/>
      </w:pPr>
      <w:r w:rsidRPr="006542C5">
        <w:lastRenderedPageBreak/>
        <w:t>Formulaire d’offre - Prix</w:t>
      </w:r>
      <w:bookmarkEnd w:id="175"/>
    </w:p>
    <w:p w14:paraId="73C4C0E9" w14:textId="77777777" w:rsidR="00BB103A" w:rsidRPr="006B32D6" w:rsidRDefault="00BB103A" w:rsidP="00BB103A">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 xml:space="preserve">En déposant cette offre, le soumissionnaire s’engage à exécuter, conformément aux dispositions du CSC / </w:t>
      </w:r>
      <w:proofErr w:type="gramStart"/>
      <w:r w:rsidRPr="006B32D6">
        <w:rPr>
          <w:rFonts w:ascii="Georgia" w:eastAsia="Calibri" w:hAnsi="Georgia" w:cs="Times New Roman"/>
          <w:color w:val="585756"/>
          <w:szCs w:val="22"/>
          <w:lang w:val="fr-BE"/>
        </w:rPr>
        <w:t>– ,</w:t>
      </w:r>
      <w:proofErr w:type="gramEnd"/>
      <w:r w:rsidRPr="006B32D6">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E29A8AC" w14:textId="77777777" w:rsidR="00BB103A" w:rsidRPr="006B32D6" w:rsidRDefault="00BB103A" w:rsidP="00BB103A">
      <w:pPr>
        <w:pStyle w:val="Corpsdetexte"/>
        <w:spacing w:before="60" w:after="60"/>
        <w:rPr>
          <w:rFonts w:ascii="Georgia" w:eastAsia="Calibri" w:hAnsi="Georgia" w:cs="Times New Roman"/>
          <w:color w:val="585756"/>
          <w:szCs w:val="22"/>
          <w:lang w:val="fr-BE"/>
        </w:rPr>
      </w:pPr>
    </w:p>
    <w:p w14:paraId="7F38BC67" w14:textId="77777777" w:rsidR="00BB103A" w:rsidRPr="006B32D6" w:rsidRDefault="00BB103A" w:rsidP="00BB103A">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Tous les frais généraux et financiers, ainsi que le bénéfice, sont pris en compte en remettant le prix.</w:t>
      </w:r>
    </w:p>
    <w:p w14:paraId="3EA0A72A" w14:textId="77777777" w:rsidR="00BB103A" w:rsidRPr="006B32D6" w:rsidRDefault="00BB103A" w:rsidP="00BB103A">
      <w:pPr>
        <w:pStyle w:val="Corpsdetexte"/>
        <w:spacing w:before="60" w:after="60"/>
        <w:rPr>
          <w:rFonts w:ascii="Georgia" w:eastAsia="Calibri" w:hAnsi="Georgia" w:cs="Times New Roman"/>
          <w:color w:val="585756"/>
          <w:szCs w:val="22"/>
          <w:lang w:val="fr-BE"/>
        </w:rPr>
      </w:pPr>
    </w:p>
    <w:p w14:paraId="3439D7E4" w14:textId="77777777" w:rsidR="00BB103A" w:rsidRPr="006B32D6" w:rsidRDefault="00BB103A" w:rsidP="00BB103A">
      <w:pPr>
        <w:pStyle w:val="Corpsdetexte"/>
        <w:spacing w:before="60" w:after="60"/>
        <w:rPr>
          <w:rFonts w:ascii="Georgia" w:eastAsia="Calibri" w:hAnsi="Georgia" w:cs="Times New Roman"/>
          <w:color w:val="585756"/>
          <w:szCs w:val="22"/>
          <w:lang w:val="fr-BE"/>
        </w:rPr>
      </w:pPr>
      <w:r w:rsidRPr="006B32D6">
        <w:rPr>
          <w:rFonts w:ascii="Georgia" w:eastAsia="Calibri" w:hAnsi="Georgia" w:cs="Times New Roman"/>
          <w:color w:val="585756"/>
          <w:szCs w:val="22"/>
          <w:lang w:val="fr-BE"/>
        </w:rPr>
        <w:t>Le soumissionnaire s’engage à exécuter le marché public conformément aux dispositions du CSC /, aux prix suivants, exprimés en euros et hors TVA :</w:t>
      </w:r>
    </w:p>
    <w:p w14:paraId="2A1C134E" w14:textId="77777777" w:rsidR="00BB103A" w:rsidRPr="006B32D6" w:rsidRDefault="00BB103A" w:rsidP="00BB103A">
      <w:pPr>
        <w:pStyle w:val="Corpsdetexte"/>
        <w:spacing w:before="60" w:after="60"/>
        <w:rPr>
          <w:rFonts w:ascii="Georgia" w:eastAsia="Calibri" w:hAnsi="Georgia" w:cs="Times New Roman"/>
          <w:color w:val="585756"/>
          <w:szCs w:val="22"/>
          <w:lang w:val="fr-B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426"/>
        <w:gridCol w:w="1295"/>
        <w:gridCol w:w="1276"/>
        <w:gridCol w:w="1417"/>
      </w:tblGrid>
      <w:tr w:rsidR="00BB103A" w:rsidRPr="006B32D6" w14:paraId="05C43677" w14:textId="77777777" w:rsidTr="00862B46">
        <w:tc>
          <w:tcPr>
            <w:tcW w:w="3199" w:type="dxa"/>
            <w:tcBorders>
              <w:top w:val="single" w:sz="4" w:space="0" w:color="000000"/>
              <w:left w:val="single" w:sz="4" w:space="0" w:color="000000"/>
              <w:bottom w:val="single" w:sz="4" w:space="0" w:color="000000"/>
              <w:right w:val="single" w:sz="4" w:space="0" w:color="000000"/>
            </w:tcBorders>
            <w:vAlign w:val="center"/>
            <w:hideMark/>
          </w:tcPr>
          <w:p w14:paraId="121D6A23" w14:textId="77777777" w:rsidR="00BB103A" w:rsidRPr="006B32D6" w:rsidRDefault="00BB103A" w:rsidP="00862B46">
            <w:pPr>
              <w:rPr>
                <w:rFonts w:cs="Arial"/>
                <w:szCs w:val="18"/>
                <w:lang w:eastAsia="en-GB"/>
              </w:rPr>
            </w:pPr>
            <w:r w:rsidRPr="006B32D6">
              <w:rPr>
                <w:rFonts w:cs="Arial"/>
                <w:szCs w:val="18"/>
                <w:lang w:eastAsia="en-GB"/>
              </w:rPr>
              <w:t>Description</w:t>
            </w:r>
          </w:p>
        </w:tc>
        <w:tc>
          <w:tcPr>
            <w:tcW w:w="1426" w:type="dxa"/>
            <w:tcBorders>
              <w:top w:val="single" w:sz="4" w:space="0" w:color="000000"/>
              <w:left w:val="single" w:sz="4" w:space="0" w:color="000000"/>
              <w:bottom w:val="single" w:sz="4" w:space="0" w:color="000000"/>
              <w:right w:val="single" w:sz="4" w:space="0" w:color="000000"/>
            </w:tcBorders>
            <w:vAlign w:val="center"/>
            <w:hideMark/>
          </w:tcPr>
          <w:p w14:paraId="0D7D692E" w14:textId="77777777" w:rsidR="00BB103A" w:rsidRPr="006B32D6" w:rsidRDefault="00BB103A" w:rsidP="00862B46">
            <w:pPr>
              <w:jc w:val="center"/>
              <w:rPr>
                <w:rFonts w:cs="Arial"/>
                <w:szCs w:val="18"/>
                <w:lang w:eastAsia="en-GB"/>
              </w:rPr>
            </w:pPr>
            <w:r w:rsidRPr="006B32D6">
              <w:rPr>
                <w:rFonts w:cs="Arial"/>
                <w:szCs w:val="18"/>
                <w:lang w:eastAsia="en-GB"/>
              </w:rPr>
              <w:t>Unité</w:t>
            </w: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F38C07C" w14:textId="77777777" w:rsidR="00BB103A" w:rsidRPr="006B32D6" w:rsidRDefault="00BB103A" w:rsidP="00862B46">
            <w:pPr>
              <w:jc w:val="center"/>
              <w:rPr>
                <w:rFonts w:cs="Arial"/>
                <w:szCs w:val="18"/>
                <w:lang w:eastAsia="en-GB"/>
              </w:rPr>
            </w:pPr>
            <w:r w:rsidRPr="006B32D6">
              <w:rPr>
                <w:rFonts w:cs="Arial"/>
                <w:szCs w:val="18"/>
                <w:lang w:eastAsia="en-GB"/>
              </w:rPr>
              <w:t>Quantité</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F3D266B" w14:textId="77777777" w:rsidR="00BB103A" w:rsidRPr="006B32D6" w:rsidRDefault="00BB103A" w:rsidP="00862B46">
            <w:pPr>
              <w:jc w:val="center"/>
              <w:rPr>
                <w:rFonts w:cs="Arial"/>
                <w:szCs w:val="18"/>
                <w:lang w:eastAsia="en-GB"/>
              </w:rPr>
            </w:pPr>
            <w:r w:rsidRPr="006B32D6">
              <w:rPr>
                <w:rFonts w:cs="Arial"/>
                <w:szCs w:val="18"/>
                <w:lang w:eastAsia="en-GB"/>
              </w:rPr>
              <w:t>Prix unitaire en euros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7F7BAC0" w14:textId="77777777" w:rsidR="00BB103A" w:rsidRPr="006B32D6" w:rsidRDefault="00BB103A" w:rsidP="00862B46">
            <w:pPr>
              <w:jc w:val="center"/>
              <w:rPr>
                <w:rFonts w:cs="Arial"/>
                <w:szCs w:val="18"/>
                <w:lang w:eastAsia="en-GB"/>
              </w:rPr>
            </w:pPr>
            <w:r w:rsidRPr="006B32D6">
              <w:rPr>
                <w:rFonts w:cs="Arial"/>
                <w:szCs w:val="18"/>
                <w:lang w:eastAsia="en-GB"/>
              </w:rPr>
              <w:t>Prix total en euros</w:t>
            </w:r>
          </w:p>
        </w:tc>
      </w:tr>
      <w:tr w:rsidR="00BB103A" w:rsidRPr="006B32D6" w14:paraId="2805DA54" w14:textId="77777777" w:rsidTr="00862B46">
        <w:tc>
          <w:tcPr>
            <w:tcW w:w="8613" w:type="dxa"/>
            <w:gridSpan w:val="5"/>
            <w:tcBorders>
              <w:top w:val="single" w:sz="4" w:space="0" w:color="000000"/>
              <w:left w:val="single" w:sz="4" w:space="0" w:color="000000"/>
              <w:bottom w:val="single" w:sz="4" w:space="0" w:color="000000"/>
              <w:right w:val="single" w:sz="4" w:space="0" w:color="000000"/>
            </w:tcBorders>
            <w:vAlign w:val="center"/>
          </w:tcPr>
          <w:p w14:paraId="536A171F" w14:textId="77777777" w:rsidR="00BB103A" w:rsidRPr="006B32D6" w:rsidRDefault="00BB103A">
            <w:pPr>
              <w:pStyle w:val="Paragraphedeliste"/>
              <w:numPr>
                <w:ilvl w:val="0"/>
                <w:numId w:val="30"/>
              </w:numPr>
              <w:rPr>
                <w:rFonts w:cs="Arial"/>
                <w:szCs w:val="18"/>
                <w:lang w:eastAsia="en-GB"/>
              </w:rPr>
            </w:pPr>
            <w:r w:rsidRPr="006B32D6">
              <w:rPr>
                <w:rFonts w:cs="Arial"/>
                <w:szCs w:val="18"/>
                <w:lang w:eastAsia="en-GB"/>
              </w:rPr>
              <w:t>Tranche ferme : 6 mois</w:t>
            </w:r>
          </w:p>
        </w:tc>
      </w:tr>
      <w:tr w:rsidR="00BB103A" w:rsidRPr="006B32D6" w14:paraId="4E5AB553" w14:textId="77777777" w:rsidTr="00862B46">
        <w:trPr>
          <w:trHeight w:val="701"/>
        </w:trPr>
        <w:tc>
          <w:tcPr>
            <w:tcW w:w="3199" w:type="dxa"/>
            <w:tcBorders>
              <w:top w:val="single" w:sz="4" w:space="0" w:color="000000"/>
              <w:left w:val="single" w:sz="4" w:space="0" w:color="000000"/>
              <w:bottom w:val="single" w:sz="4" w:space="0" w:color="auto"/>
              <w:right w:val="single" w:sz="4" w:space="0" w:color="000000"/>
            </w:tcBorders>
            <w:vAlign w:val="center"/>
            <w:hideMark/>
          </w:tcPr>
          <w:p w14:paraId="039588BC" w14:textId="77777777" w:rsidR="00BB103A" w:rsidRPr="006B32D6" w:rsidRDefault="00BB103A" w:rsidP="00862B46">
            <w:pPr>
              <w:rPr>
                <w:rFonts w:ascii="Verdana" w:hAnsi="Verdana"/>
                <w:sz w:val="16"/>
                <w:lang w:eastAsia="en-GB"/>
              </w:rPr>
            </w:pPr>
            <w:r w:rsidRPr="006B32D6">
              <w:rPr>
                <w:rFonts w:ascii="Verdana" w:hAnsi="Verdana"/>
                <w:sz w:val="16"/>
                <w:lang w:eastAsia="en-GB"/>
              </w:rPr>
              <w:t>Expertise terrain</w:t>
            </w:r>
          </w:p>
        </w:tc>
        <w:tc>
          <w:tcPr>
            <w:tcW w:w="1426" w:type="dxa"/>
            <w:tcBorders>
              <w:top w:val="single" w:sz="4" w:space="0" w:color="000000"/>
              <w:left w:val="single" w:sz="4" w:space="0" w:color="000000"/>
              <w:bottom w:val="single" w:sz="4" w:space="0" w:color="auto"/>
              <w:right w:val="single" w:sz="4" w:space="0" w:color="000000"/>
            </w:tcBorders>
            <w:vAlign w:val="center"/>
            <w:hideMark/>
          </w:tcPr>
          <w:p w14:paraId="1AAB3AF6" w14:textId="77777777" w:rsidR="00BB103A" w:rsidRPr="006B32D6" w:rsidRDefault="00BB103A" w:rsidP="00862B46">
            <w:pPr>
              <w:rPr>
                <w:rFonts w:ascii="Verdana" w:hAnsi="Verdana"/>
                <w:sz w:val="16"/>
                <w:lang w:eastAsia="en-GB"/>
              </w:rPr>
            </w:pPr>
            <w:r w:rsidRPr="006B32D6">
              <w:rPr>
                <w:rFonts w:ascii="Verdana" w:hAnsi="Verdana"/>
                <w:sz w:val="16"/>
                <w:lang w:eastAsia="en-GB"/>
              </w:rPr>
              <w:t>H/J</w:t>
            </w:r>
          </w:p>
        </w:tc>
        <w:tc>
          <w:tcPr>
            <w:tcW w:w="1295" w:type="dxa"/>
            <w:tcBorders>
              <w:top w:val="single" w:sz="4" w:space="0" w:color="000000"/>
              <w:left w:val="single" w:sz="4" w:space="0" w:color="000000"/>
              <w:bottom w:val="single" w:sz="4" w:space="0" w:color="auto"/>
              <w:right w:val="single" w:sz="4" w:space="0" w:color="000000"/>
            </w:tcBorders>
            <w:vAlign w:val="center"/>
            <w:hideMark/>
          </w:tcPr>
          <w:p w14:paraId="3601BEB8" w14:textId="53FBA447" w:rsidR="00BB103A" w:rsidRPr="006B32D6" w:rsidRDefault="00C678B8" w:rsidP="00862B46">
            <w:pPr>
              <w:rPr>
                <w:rFonts w:ascii="Verdana" w:hAnsi="Verdana"/>
                <w:sz w:val="16"/>
                <w:lang w:eastAsia="en-GB"/>
              </w:rPr>
            </w:pPr>
            <w:r>
              <w:rPr>
                <w:rFonts w:ascii="Verdana" w:hAnsi="Verdana"/>
                <w:sz w:val="16"/>
                <w:lang w:eastAsia="en-GB"/>
              </w:rPr>
              <w:t>75</w:t>
            </w:r>
          </w:p>
        </w:tc>
        <w:tc>
          <w:tcPr>
            <w:tcW w:w="1276" w:type="dxa"/>
            <w:tcBorders>
              <w:top w:val="single" w:sz="4" w:space="0" w:color="000000"/>
              <w:left w:val="single" w:sz="4" w:space="0" w:color="000000"/>
              <w:bottom w:val="single" w:sz="4" w:space="0" w:color="auto"/>
              <w:right w:val="single" w:sz="4" w:space="0" w:color="000000"/>
            </w:tcBorders>
            <w:vAlign w:val="center"/>
          </w:tcPr>
          <w:p w14:paraId="7BFE5A07" w14:textId="77777777" w:rsidR="00BB103A" w:rsidRPr="006B32D6" w:rsidRDefault="00BB103A" w:rsidP="00862B46">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D0BFCB" w14:textId="77777777" w:rsidR="00BB103A" w:rsidRPr="006B32D6" w:rsidRDefault="00BB103A" w:rsidP="00862B46">
            <w:pPr>
              <w:rPr>
                <w:rFonts w:ascii="Verdana" w:hAnsi="Verdana"/>
                <w:sz w:val="16"/>
                <w:lang w:eastAsia="en-GB"/>
              </w:rPr>
            </w:pPr>
          </w:p>
        </w:tc>
      </w:tr>
      <w:tr w:rsidR="00BB103A" w:rsidRPr="006B32D6" w14:paraId="3A25FA10" w14:textId="77777777" w:rsidTr="00862B46">
        <w:trPr>
          <w:trHeight w:val="701"/>
        </w:trPr>
        <w:tc>
          <w:tcPr>
            <w:tcW w:w="8613" w:type="dxa"/>
            <w:gridSpan w:val="5"/>
            <w:tcBorders>
              <w:top w:val="single" w:sz="4" w:space="0" w:color="000000"/>
              <w:left w:val="single" w:sz="4" w:space="0" w:color="000000"/>
              <w:bottom w:val="single" w:sz="4" w:space="0" w:color="auto"/>
              <w:right w:val="single" w:sz="4" w:space="0" w:color="000000"/>
            </w:tcBorders>
            <w:vAlign w:val="center"/>
          </w:tcPr>
          <w:p w14:paraId="08EAFE2F" w14:textId="5AE68803" w:rsidR="00BB103A" w:rsidRPr="006B32D6" w:rsidRDefault="00BB103A">
            <w:pPr>
              <w:pStyle w:val="Paragraphedeliste"/>
              <w:numPr>
                <w:ilvl w:val="0"/>
                <w:numId w:val="30"/>
              </w:numPr>
              <w:jc w:val="center"/>
              <w:rPr>
                <w:rFonts w:ascii="Verdana" w:hAnsi="Verdana"/>
                <w:sz w:val="16"/>
                <w:lang w:eastAsia="en-GB"/>
              </w:rPr>
            </w:pPr>
            <w:r w:rsidRPr="006B32D6">
              <w:rPr>
                <w:rFonts w:cs="Arial"/>
                <w:szCs w:val="18"/>
                <w:lang w:eastAsia="en-GB"/>
              </w:rPr>
              <w:t xml:space="preserve">Tranche </w:t>
            </w:r>
            <w:proofErr w:type="gramStart"/>
            <w:r w:rsidRPr="006B32D6">
              <w:rPr>
                <w:rFonts w:cs="Arial"/>
                <w:szCs w:val="18"/>
                <w:lang w:eastAsia="en-GB"/>
              </w:rPr>
              <w:t>conditionnelle  :</w:t>
            </w:r>
            <w:proofErr w:type="gramEnd"/>
            <w:r w:rsidRPr="006B32D6">
              <w:rPr>
                <w:rFonts w:cs="Arial"/>
                <w:szCs w:val="18"/>
                <w:lang w:eastAsia="en-GB"/>
              </w:rPr>
              <w:t xml:space="preserve"> </w:t>
            </w:r>
            <w:r w:rsidR="008706E2">
              <w:rPr>
                <w:rFonts w:cs="Arial"/>
                <w:szCs w:val="18"/>
                <w:lang w:eastAsia="en-GB"/>
              </w:rPr>
              <w:t>Par mois</w:t>
            </w:r>
          </w:p>
        </w:tc>
      </w:tr>
      <w:tr w:rsidR="00BB103A" w:rsidRPr="006B32D6" w14:paraId="2723F465" w14:textId="77777777" w:rsidTr="00862B46">
        <w:trPr>
          <w:trHeight w:val="701"/>
        </w:trPr>
        <w:tc>
          <w:tcPr>
            <w:tcW w:w="3199" w:type="dxa"/>
            <w:tcBorders>
              <w:top w:val="single" w:sz="4" w:space="0" w:color="000000"/>
              <w:left w:val="single" w:sz="4" w:space="0" w:color="000000"/>
              <w:bottom w:val="single" w:sz="4" w:space="0" w:color="auto"/>
              <w:right w:val="single" w:sz="4" w:space="0" w:color="000000"/>
            </w:tcBorders>
            <w:vAlign w:val="center"/>
          </w:tcPr>
          <w:p w14:paraId="5DF6F900" w14:textId="77777777" w:rsidR="00BB103A" w:rsidRPr="006B32D6" w:rsidRDefault="00BB103A" w:rsidP="00862B46">
            <w:pPr>
              <w:rPr>
                <w:rFonts w:ascii="Verdana" w:hAnsi="Verdana"/>
                <w:sz w:val="16"/>
                <w:lang w:eastAsia="en-GB"/>
              </w:rPr>
            </w:pPr>
            <w:r w:rsidRPr="006B32D6">
              <w:rPr>
                <w:rFonts w:ascii="Verdana" w:hAnsi="Verdana"/>
                <w:sz w:val="16"/>
                <w:lang w:eastAsia="en-GB"/>
              </w:rPr>
              <w:t>Expertise terrain</w:t>
            </w:r>
          </w:p>
        </w:tc>
        <w:tc>
          <w:tcPr>
            <w:tcW w:w="1426" w:type="dxa"/>
            <w:tcBorders>
              <w:top w:val="single" w:sz="4" w:space="0" w:color="000000"/>
              <w:left w:val="single" w:sz="4" w:space="0" w:color="000000"/>
              <w:bottom w:val="single" w:sz="4" w:space="0" w:color="auto"/>
              <w:right w:val="single" w:sz="4" w:space="0" w:color="000000"/>
            </w:tcBorders>
            <w:vAlign w:val="center"/>
          </w:tcPr>
          <w:p w14:paraId="66BB4FE3" w14:textId="77777777" w:rsidR="00BB103A" w:rsidRPr="006B32D6" w:rsidRDefault="00BB103A" w:rsidP="00862B46">
            <w:pPr>
              <w:rPr>
                <w:rFonts w:ascii="Verdana" w:hAnsi="Verdana"/>
                <w:sz w:val="16"/>
                <w:lang w:eastAsia="en-GB"/>
              </w:rPr>
            </w:pPr>
            <w:r w:rsidRPr="006B32D6">
              <w:rPr>
                <w:rFonts w:ascii="Verdana" w:hAnsi="Verdana"/>
                <w:sz w:val="16"/>
                <w:lang w:eastAsia="en-GB"/>
              </w:rPr>
              <w:t>H/J</w:t>
            </w:r>
          </w:p>
        </w:tc>
        <w:tc>
          <w:tcPr>
            <w:tcW w:w="1295" w:type="dxa"/>
            <w:tcBorders>
              <w:top w:val="single" w:sz="4" w:space="0" w:color="000000"/>
              <w:left w:val="single" w:sz="4" w:space="0" w:color="000000"/>
              <w:bottom w:val="single" w:sz="4" w:space="0" w:color="auto"/>
              <w:right w:val="single" w:sz="4" w:space="0" w:color="000000"/>
            </w:tcBorders>
            <w:vAlign w:val="center"/>
          </w:tcPr>
          <w:p w14:paraId="3AF49DF8" w14:textId="6ADC773E" w:rsidR="00BB103A" w:rsidRPr="006B32D6" w:rsidRDefault="008706E2" w:rsidP="00862B46">
            <w:pPr>
              <w:rPr>
                <w:rFonts w:ascii="Verdana" w:hAnsi="Verdana"/>
                <w:sz w:val="16"/>
                <w:lang w:eastAsia="en-GB"/>
              </w:rPr>
            </w:pPr>
            <w:r>
              <w:rPr>
                <w:rFonts w:ascii="Verdana" w:hAnsi="Verdana"/>
                <w:sz w:val="16"/>
                <w:lang w:eastAsia="en-GB"/>
              </w:rPr>
              <w:t>20</w:t>
            </w:r>
          </w:p>
        </w:tc>
        <w:tc>
          <w:tcPr>
            <w:tcW w:w="1276" w:type="dxa"/>
            <w:tcBorders>
              <w:top w:val="single" w:sz="4" w:space="0" w:color="000000"/>
              <w:left w:val="single" w:sz="4" w:space="0" w:color="000000"/>
              <w:bottom w:val="single" w:sz="4" w:space="0" w:color="auto"/>
              <w:right w:val="single" w:sz="4" w:space="0" w:color="000000"/>
            </w:tcBorders>
            <w:vAlign w:val="center"/>
          </w:tcPr>
          <w:p w14:paraId="555CF927" w14:textId="77777777" w:rsidR="00BB103A" w:rsidRPr="006B32D6" w:rsidRDefault="00BB103A" w:rsidP="00862B46">
            <w:pPr>
              <w:rPr>
                <w:rFonts w:ascii="Verdana" w:hAnsi="Verdana"/>
                <w:sz w:val="16"/>
                <w:lang w:eastAsia="en-G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CF20A3" w14:textId="77777777" w:rsidR="00BB103A" w:rsidRPr="006B32D6" w:rsidRDefault="00BB103A" w:rsidP="00862B46">
            <w:pPr>
              <w:rPr>
                <w:rFonts w:ascii="Verdana" w:hAnsi="Verdana"/>
                <w:sz w:val="16"/>
                <w:lang w:eastAsia="en-GB"/>
              </w:rPr>
            </w:pPr>
          </w:p>
        </w:tc>
      </w:tr>
    </w:tbl>
    <w:p w14:paraId="29637ED0" w14:textId="77777777" w:rsidR="00BB103A" w:rsidRPr="006B32D6" w:rsidRDefault="00BB103A" w:rsidP="00BB103A">
      <w:pPr>
        <w:pStyle w:val="Corpsdetexte"/>
        <w:spacing w:before="60" w:after="60"/>
        <w:rPr>
          <w:rFonts w:ascii="Georgia" w:eastAsia="Calibri" w:hAnsi="Georgia" w:cs="Times New Roman"/>
          <w:color w:val="585756"/>
          <w:szCs w:val="22"/>
          <w:lang w:val="fr-BE"/>
        </w:rPr>
      </w:pPr>
    </w:p>
    <w:p w14:paraId="6904CD46" w14:textId="77777777" w:rsidR="00BB103A" w:rsidRPr="006B32D6" w:rsidRDefault="00BB103A" w:rsidP="00BB103A">
      <w:pPr>
        <w:pStyle w:val="Corpsdetexte"/>
        <w:spacing w:before="60" w:after="60"/>
        <w:rPr>
          <w:rFonts w:ascii="Georgia" w:eastAsia="Calibri" w:hAnsi="Georgia" w:cs="Times New Roman"/>
          <w:color w:val="585756"/>
          <w:szCs w:val="22"/>
          <w:lang w:val="fr-BE"/>
        </w:rPr>
      </w:pPr>
    </w:p>
    <w:p w14:paraId="7843DCDB"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r w:rsidRPr="00C775E7">
        <w:rPr>
          <w:rFonts w:ascii="Georgia" w:eastAsia="Calibri" w:hAnsi="Georgia" w:cs="Times New Roman"/>
          <w:color w:val="585756"/>
          <w:sz w:val="21"/>
          <w:szCs w:val="21"/>
          <w:lang w:val="fr-BE"/>
        </w:rPr>
        <w:t>Pourcentage TVA : ……………%.</w:t>
      </w:r>
    </w:p>
    <w:p w14:paraId="5E7CA303" w14:textId="77777777" w:rsidR="00BB103A" w:rsidRPr="00C775E7" w:rsidRDefault="00BB103A" w:rsidP="00BB103A">
      <w:pPr>
        <w:pStyle w:val="Corpsdetexte"/>
        <w:spacing w:before="60" w:after="60"/>
        <w:rPr>
          <w:rFonts w:ascii="Georgia" w:eastAsia="Calibri" w:hAnsi="Georgia" w:cs="Times New Roman"/>
          <w:color w:val="3B3838" w:themeColor="background2" w:themeShade="40"/>
          <w:sz w:val="21"/>
          <w:szCs w:val="21"/>
          <w:lang w:val="fr-BE"/>
        </w:rPr>
      </w:pPr>
    </w:p>
    <w:p w14:paraId="6E8681D4" w14:textId="77777777" w:rsidR="00BB103A" w:rsidRPr="00C775E7" w:rsidRDefault="00BB103A" w:rsidP="00BB103A">
      <w:pPr>
        <w:spacing w:after="120" w:line="240" w:lineRule="auto"/>
        <w:jc w:val="both"/>
        <w:rPr>
          <w:rFonts w:eastAsia="Times New Roman" w:cstheme="minorHAnsi"/>
          <w:b/>
          <w:color w:val="3B3838" w:themeColor="background2" w:themeShade="40"/>
          <w:szCs w:val="21"/>
          <w:lang w:val="fr-FR" w:eastAsia="en-GB"/>
        </w:rPr>
      </w:pPr>
      <w:r w:rsidRPr="00C775E7">
        <w:rPr>
          <w:rFonts w:eastAsia="Times New Roman" w:cstheme="minorHAnsi"/>
          <w:b/>
          <w:color w:val="3B3838" w:themeColor="background2" w:themeShade="40"/>
          <w:szCs w:val="21"/>
          <w:lang w:val="fr-FR" w:eastAsia="en-GB"/>
        </w:rPr>
        <w:t xml:space="preserve">A charges de Enabel </w:t>
      </w:r>
    </w:p>
    <w:p w14:paraId="392F96C1" w14:textId="77777777" w:rsidR="00BB103A" w:rsidRPr="00C775E7" w:rsidRDefault="00BB103A">
      <w:pPr>
        <w:pStyle w:val="Paragraphedeliste"/>
        <w:numPr>
          <w:ilvl w:val="0"/>
          <w:numId w:val="31"/>
        </w:numPr>
        <w:spacing w:after="120" w:line="240" w:lineRule="auto"/>
        <w:jc w:val="both"/>
        <w:rPr>
          <w:rFonts w:eastAsia="Times New Roman" w:cstheme="minorHAnsi"/>
          <w:bCs/>
          <w:color w:val="3B3838" w:themeColor="background2" w:themeShade="40"/>
          <w:szCs w:val="21"/>
          <w:lang w:val="fr-FR" w:eastAsia="en-GB"/>
        </w:rPr>
      </w:pPr>
      <w:r w:rsidRPr="00C775E7">
        <w:rPr>
          <w:rFonts w:eastAsia="Times New Roman" w:cstheme="minorHAnsi"/>
          <w:bCs/>
          <w:color w:val="3B3838" w:themeColor="background2" w:themeShade="40"/>
          <w:szCs w:val="21"/>
          <w:lang w:val="fr-FR" w:eastAsia="en-GB"/>
        </w:rPr>
        <w:t>Frais de logement en RD Congo ;</w:t>
      </w:r>
    </w:p>
    <w:p w14:paraId="71B743F3" w14:textId="77777777" w:rsidR="00BB103A" w:rsidRPr="00C775E7" w:rsidRDefault="00BB103A">
      <w:pPr>
        <w:pStyle w:val="Paragraphedeliste"/>
        <w:numPr>
          <w:ilvl w:val="0"/>
          <w:numId w:val="31"/>
        </w:numPr>
        <w:spacing w:after="120" w:line="240" w:lineRule="auto"/>
        <w:jc w:val="both"/>
        <w:rPr>
          <w:rFonts w:eastAsia="Times New Roman" w:cstheme="minorHAnsi"/>
          <w:bCs/>
          <w:color w:val="3B3838" w:themeColor="background2" w:themeShade="40"/>
          <w:szCs w:val="21"/>
          <w:lang w:val="fr-FR" w:eastAsia="en-GB"/>
        </w:rPr>
      </w:pPr>
      <w:r w:rsidRPr="00C775E7">
        <w:rPr>
          <w:rFonts w:eastAsia="Times New Roman" w:cstheme="minorHAnsi"/>
          <w:bCs/>
          <w:color w:val="3B3838" w:themeColor="background2" w:themeShade="40"/>
          <w:szCs w:val="21"/>
          <w:lang w:val="fr-FR" w:eastAsia="en-GB"/>
        </w:rPr>
        <w:t xml:space="preserve">Les frais de voyage international (Voie aérienne seule acceptée) : </w:t>
      </w:r>
    </w:p>
    <w:p w14:paraId="1EB6B951" w14:textId="77777777" w:rsidR="00BB103A" w:rsidRPr="00C775E7" w:rsidRDefault="00BB103A">
      <w:pPr>
        <w:pStyle w:val="Paragraphedeliste"/>
        <w:numPr>
          <w:ilvl w:val="0"/>
          <w:numId w:val="32"/>
        </w:numPr>
        <w:spacing w:after="120" w:line="240" w:lineRule="auto"/>
        <w:rPr>
          <w:rFonts w:eastAsia="Times New Roman" w:cstheme="minorHAnsi"/>
          <w:bCs/>
          <w:color w:val="3B3838" w:themeColor="background2" w:themeShade="40"/>
          <w:szCs w:val="21"/>
          <w:lang w:val="fr-FR" w:eastAsia="en-GB"/>
        </w:rPr>
      </w:pPr>
      <w:r w:rsidRPr="00C775E7">
        <w:rPr>
          <w:rFonts w:eastAsia="Times New Roman" w:cstheme="minorHAnsi"/>
          <w:bCs/>
          <w:color w:val="3B3838" w:themeColor="background2" w:themeShade="40"/>
          <w:szCs w:val="21"/>
          <w:lang w:val="fr-FR" w:eastAsia="en-GB"/>
        </w:rPr>
        <w:t>Tranche ferme inclue 2 vols aller-retour sur la période de 6 mois ;</w:t>
      </w:r>
    </w:p>
    <w:p w14:paraId="62F00B9A" w14:textId="77777777" w:rsidR="00BB103A" w:rsidRPr="00C775E7" w:rsidRDefault="00BB103A">
      <w:pPr>
        <w:pStyle w:val="Paragraphedeliste"/>
        <w:numPr>
          <w:ilvl w:val="0"/>
          <w:numId w:val="32"/>
        </w:numPr>
        <w:spacing w:after="120" w:line="240" w:lineRule="auto"/>
        <w:rPr>
          <w:rFonts w:eastAsia="Times New Roman" w:cstheme="minorHAnsi"/>
          <w:bCs/>
          <w:color w:val="3B3838" w:themeColor="background2" w:themeShade="40"/>
          <w:szCs w:val="21"/>
          <w:lang w:val="fr-FR" w:eastAsia="en-GB"/>
        </w:rPr>
      </w:pPr>
      <w:r w:rsidRPr="00C775E7">
        <w:rPr>
          <w:rFonts w:eastAsia="Times New Roman" w:cstheme="minorHAnsi"/>
          <w:bCs/>
          <w:color w:val="3B3838" w:themeColor="background2" w:themeShade="40"/>
          <w:szCs w:val="21"/>
          <w:lang w:val="fr-FR" w:eastAsia="en-GB"/>
        </w:rPr>
        <w:t>La tranche optionnelle inclut 1 vol aller- retour sur la période de 3 mois</w:t>
      </w:r>
    </w:p>
    <w:p w14:paraId="2DF9EF1C" w14:textId="77777777" w:rsidR="00BB103A" w:rsidRPr="00C775E7" w:rsidRDefault="00BB103A">
      <w:pPr>
        <w:pStyle w:val="Paragraphedeliste"/>
        <w:numPr>
          <w:ilvl w:val="0"/>
          <w:numId w:val="33"/>
        </w:numPr>
        <w:spacing w:after="120" w:line="240" w:lineRule="auto"/>
        <w:rPr>
          <w:rFonts w:eastAsia="Times New Roman" w:cstheme="minorHAnsi"/>
          <w:bCs/>
          <w:color w:val="3B3838" w:themeColor="background2" w:themeShade="40"/>
          <w:szCs w:val="21"/>
          <w:lang w:val="fr-FR" w:eastAsia="en-GB"/>
        </w:rPr>
      </w:pPr>
      <w:r w:rsidRPr="00C775E7">
        <w:rPr>
          <w:rFonts w:cstheme="minorHAnsi"/>
          <w:color w:val="3B3838" w:themeColor="background2" w:themeShade="40"/>
          <w:szCs w:val="21"/>
          <w:lang w:val="fr-FR"/>
        </w:rPr>
        <w:t>Les frais de voyage national :</w:t>
      </w:r>
    </w:p>
    <w:p w14:paraId="6856C8AE" w14:textId="77777777" w:rsidR="00BB103A" w:rsidRPr="00C775E7" w:rsidRDefault="00BB103A">
      <w:pPr>
        <w:pStyle w:val="Paragraphedeliste"/>
        <w:numPr>
          <w:ilvl w:val="0"/>
          <w:numId w:val="32"/>
        </w:numPr>
        <w:spacing w:after="120" w:line="240" w:lineRule="auto"/>
        <w:rPr>
          <w:rFonts w:eastAsia="Times New Roman" w:cstheme="minorHAnsi"/>
          <w:bCs/>
          <w:color w:val="3B3838" w:themeColor="background2" w:themeShade="40"/>
          <w:szCs w:val="21"/>
          <w:lang w:val="fr-FR" w:eastAsia="en-GB"/>
        </w:rPr>
      </w:pPr>
      <w:r w:rsidRPr="00C775E7">
        <w:rPr>
          <w:rFonts w:cstheme="minorHAnsi"/>
          <w:color w:val="3B3838" w:themeColor="background2" w:themeShade="40"/>
          <w:szCs w:val="21"/>
          <w:lang w:val="fr-FR"/>
        </w:rPr>
        <w:t>Les vols nationaux et frais annexes (go-</w:t>
      </w:r>
      <w:proofErr w:type="spellStart"/>
      <w:r w:rsidRPr="00C775E7">
        <w:rPr>
          <w:rFonts w:cstheme="minorHAnsi"/>
          <w:color w:val="3B3838" w:themeColor="background2" w:themeShade="40"/>
          <w:szCs w:val="21"/>
          <w:lang w:val="fr-FR"/>
        </w:rPr>
        <w:t>pass</w:t>
      </w:r>
      <w:proofErr w:type="spellEnd"/>
      <w:r w:rsidRPr="00C775E7">
        <w:rPr>
          <w:rFonts w:cstheme="minorHAnsi"/>
          <w:color w:val="3B3838" w:themeColor="background2" w:themeShade="40"/>
          <w:szCs w:val="21"/>
          <w:lang w:val="fr-FR"/>
        </w:rPr>
        <w:t>, taxes aéroportuaires, etc.) ;</w:t>
      </w:r>
    </w:p>
    <w:p w14:paraId="645DAE4D" w14:textId="77777777" w:rsidR="00BB103A" w:rsidRPr="00C775E7" w:rsidRDefault="00BB103A">
      <w:pPr>
        <w:pStyle w:val="Paragraphedeliste"/>
        <w:numPr>
          <w:ilvl w:val="0"/>
          <w:numId w:val="32"/>
        </w:numPr>
        <w:spacing w:after="120" w:line="240" w:lineRule="auto"/>
        <w:rPr>
          <w:rFonts w:eastAsia="Times New Roman" w:cstheme="minorHAnsi"/>
          <w:bCs/>
          <w:color w:val="3B3838" w:themeColor="background2" w:themeShade="40"/>
          <w:szCs w:val="21"/>
          <w:lang w:val="fr-FR" w:eastAsia="en-GB"/>
        </w:rPr>
      </w:pPr>
      <w:r w:rsidRPr="00C775E7">
        <w:rPr>
          <w:rFonts w:cstheme="minorHAnsi"/>
          <w:color w:val="3B3838" w:themeColor="background2" w:themeShade="40"/>
          <w:szCs w:val="21"/>
          <w:lang w:val="fr-FR"/>
        </w:rPr>
        <w:t>Les déplacements en véhicule sur le terrain ;</w:t>
      </w:r>
    </w:p>
    <w:p w14:paraId="78F499CF" w14:textId="77777777" w:rsidR="00BB103A" w:rsidRPr="00C775E7" w:rsidRDefault="00BB103A">
      <w:pPr>
        <w:pStyle w:val="Paragraphedeliste"/>
        <w:numPr>
          <w:ilvl w:val="0"/>
          <w:numId w:val="33"/>
        </w:numPr>
        <w:spacing w:after="120" w:line="240" w:lineRule="auto"/>
        <w:rPr>
          <w:rFonts w:eastAsia="Times New Roman" w:cstheme="minorHAnsi"/>
          <w:bCs/>
          <w:color w:val="3B3838" w:themeColor="background2" w:themeShade="40"/>
          <w:szCs w:val="21"/>
          <w:lang w:val="fr-FR" w:eastAsia="en-GB"/>
        </w:rPr>
      </w:pPr>
      <w:r w:rsidRPr="00C775E7">
        <w:rPr>
          <w:rFonts w:eastAsia="Times New Roman" w:cstheme="minorHAnsi"/>
          <w:bCs/>
          <w:color w:val="3B3838" w:themeColor="background2" w:themeShade="40"/>
          <w:szCs w:val="21"/>
          <w:lang w:val="fr-FR" w:eastAsia="en-GB"/>
        </w:rPr>
        <w:t>Les frais de visa (non inclus les frais liés à l’obtention du passeport).</w:t>
      </w:r>
    </w:p>
    <w:p w14:paraId="5ABD923C" w14:textId="77777777" w:rsidR="00BB103A" w:rsidRPr="00C775E7" w:rsidRDefault="00BB103A" w:rsidP="00BB103A">
      <w:pPr>
        <w:spacing w:after="120" w:line="240" w:lineRule="auto"/>
        <w:jc w:val="both"/>
        <w:rPr>
          <w:rFonts w:eastAsia="Times New Roman" w:cstheme="minorHAnsi"/>
          <w:b/>
          <w:color w:val="3B3838" w:themeColor="background2" w:themeShade="40"/>
          <w:szCs w:val="21"/>
          <w:lang w:val="fr-FR" w:eastAsia="en-GB"/>
        </w:rPr>
      </w:pPr>
      <w:r w:rsidRPr="00C775E7">
        <w:rPr>
          <w:rFonts w:eastAsia="Times New Roman" w:cstheme="minorHAnsi"/>
          <w:b/>
          <w:color w:val="3B3838" w:themeColor="background2" w:themeShade="40"/>
          <w:szCs w:val="21"/>
          <w:lang w:val="fr-FR" w:eastAsia="en-GB"/>
        </w:rPr>
        <w:t>Tous les autres frais sont à charge du prestataire de services, notamment</w:t>
      </w:r>
    </w:p>
    <w:p w14:paraId="359FE156" w14:textId="77777777" w:rsidR="00BB103A" w:rsidRPr="00C775E7" w:rsidRDefault="00BB103A">
      <w:pPr>
        <w:numPr>
          <w:ilvl w:val="0"/>
          <w:numId w:val="29"/>
        </w:numPr>
        <w:spacing w:after="120" w:line="240" w:lineRule="auto"/>
        <w:ind w:left="426" w:hanging="426"/>
        <w:jc w:val="both"/>
        <w:rPr>
          <w:rFonts w:eastAsia="Times New Roman" w:cstheme="minorHAnsi"/>
          <w:color w:val="3B3838" w:themeColor="background2" w:themeShade="40"/>
          <w:szCs w:val="21"/>
          <w:lang w:val="fr-FR" w:eastAsia="en-GB"/>
        </w:rPr>
      </w:pPr>
      <w:r w:rsidRPr="00C775E7">
        <w:rPr>
          <w:rFonts w:eastAsia="Times New Roman" w:cstheme="minorHAnsi"/>
          <w:color w:val="3B3838" w:themeColor="background2" w:themeShade="40"/>
          <w:szCs w:val="21"/>
          <w:lang w:val="fr-FR" w:eastAsia="en-GB"/>
        </w:rPr>
        <w:t>Les honoraires et les per diem ;</w:t>
      </w:r>
    </w:p>
    <w:p w14:paraId="51947C67" w14:textId="77777777" w:rsidR="00BB103A" w:rsidRPr="00C775E7" w:rsidRDefault="00BB103A">
      <w:pPr>
        <w:numPr>
          <w:ilvl w:val="0"/>
          <w:numId w:val="29"/>
        </w:numPr>
        <w:spacing w:after="120" w:line="240" w:lineRule="auto"/>
        <w:ind w:left="426" w:hanging="426"/>
        <w:jc w:val="both"/>
        <w:rPr>
          <w:rFonts w:eastAsia="Times New Roman" w:cstheme="minorHAnsi"/>
          <w:color w:val="3B3838" w:themeColor="background2" w:themeShade="40"/>
          <w:szCs w:val="21"/>
          <w:lang w:val="fr-FR" w:eastAsia="en-GB"/>
        </w:rPr>
      </w:pPr>
      <w:r w:rsidRPr="00C775E7">
        <w:rPr>
          <w:rFonts w:eastAsia="Times New Roman" w:cstheme="minorHAnsi"/>
          <w:color w:val="3B3838" w:themeColor="background2" w:themeShade="40"/>
          <w:szCs w:val="21"/>
          <w:lang w:val="fr-FR" w:eastAsia="en-GB"/>
        </w:rPr>
        <w:t>Les frais d’assurance, de communication ;</w:t>
      </w:r>
    </w:p>
    <w:p w14:paraId="4875654B" w14:textId="77777777" w:rsidR="00BB103A" w:rsidRPr="00C775E7" w:rsidRDefault="00BB103A">
      <w:pPr>
        <w:numPr>
          <w:ilvl w:val="0"/>
          <w:numId w:val="29"/>
        </w:numPr>
        <w:spacing w:after="120" w:line="240" w:lineRule="auto"/>
        <w:ind w:left="426" w:hanging="426"/>
        <w:jc w:val="both"/>
        <w:rPr>
          <w:rFonts w:eastAsia="Times New Roman" w:cstheme="minorHAnsi"/>
          <w:color w:val="3B3838" w:themeColor="background2" w:themeShade="40"/>
          <w:szCs w:val="21"/>
          <w:lang w:val="fr-FR" w:eastAsia="en-GB"/>
        </w:rPr>
      </w:pPr>
      <w:r w:rsidRPr="00C775E7">
        <w:rPr>
          <w:rFonts w:eastAsia="Times New Roman" w:cstheme="minorHAnsi"/>
          <w:color w:val="3B3838" w:themeColor="background2" w:themeShade="40"/>
          <w:szCs w:val="21"/>
          <w:lang w:val="fr-FR" w:eastAsia="en-GB"/>
        </w:rPr>
        <w:t>Les frais administratifs et de secrétariat ;</w:t>
      </w:r>
    </w:p>
    <w:p w14:paraId="5ABBBAF9" w14:textId="77777777" w:rsidR="00BB103A" w:rsidRPr="00C775E7" w:rsidRDefault="00BB103A">
      <w:pPr>
        <w:numPr>
          <w:ilvl w:val="0"/>
          <w:numId w:val="29"/>
        </w:numPr>
        <w:spacing w:after="120" w:line="240" w:lineRule="auto"/>
        <w:ind w:left="426" w:hanging="426"/>
        <w:jc w:val="both"/>
        <w:rPr>
          <w:rFonts w:eastAsia="Times New Roman" w:cstheme="minorHAnsi"/>
          <w:color w:val="3B3838" w:themeColor="background2" w:themeShade="40"/>
          <w:szCs w:val="21"/>
          <w:lang w:val="fr-FR" w:eastAsia="en-GB"/>
        </w:rPr>
      </w:pPr>
      <w:r w:rsidRPr="00C775E7">
        <w:rPr>
          <w:rFonts w:eastAsia="Times New Roman" w:cstheme="minorHAnsi"/>
          <w:color w:val="3B3838" w:themeColor="background2" w:themeShade="40"/>
          <w:szCs w:val="21"/>
          <w:lang w:val="fr-FR" w:eastAsia="en-GB"/>
        </w:rPr>
        <w:t>Le coût de la documentation relative aux services et éventuellement exigée par le pouvoir adjudicateur ;</w:t>
      </w:r>
    </w:p>
    <w:p w14:paraId="6F00BC4B" w14:textId="77777777" w:rsidR="00BB103A" w:rsidRPr="00C775E7" w:rsidRDefault="00BB103A">
      <w:pPr>
        <w:numPr>
          <w:ilvl w:val="0"/>
          <w:numId w:val="29"/>
        </w:numPr>
        <w:spacing w:after="120" w:line="240" w:lineRule="auto"/>
        <w:ind w:left="426" w:hanging="426"/>
        <w:jc w:val="both"/>
        <w:rPr>
          <w:rFonts w:eastAsia="Times New Roman" w:cstheme="minorHAnsi"/>
          <w:color w:val="3B3838" w:themeColor="background2" w:themeShade="40"/>
          <w:szCs w:val="21"/>
          <w:lang w:val="fr-FR" w:eastAsia="en-GB"/>
        </w:rPr>
      </w:pPr>
      <w:r w:rsidRPr="00C775E7">
        <w:rPr>
          <w:rFonts w:eastAsia="Times New Roman" w:cstheme="minorHAnsi"/>
          <w:color w:val="3B3838" w:themeColor="background2" w:themeShade="40"/>
          <w:szCs w:val="21"/>
          <w:lang w:val="fr-FR" w:eastAsia="en-GB"/>
        </w:rPr>
        <w:t>La production et la livraison de documents ou de pièces liés à l’exécution des services ;</w:t>
      </w:r>
    </w:p>
    <w:p w14:paraId="0A448149" w14:textId="77777777" w:rsidR="00BB103A" w:rsidRPr="00C775E7" w:rsidRDefault="00BB103A">
      <w:pPr>
        <w:numPr>
          <w:ilvl w:val="0"/>
          <w:numId w:val="29"/>
        </w:numPr>
        <w:spacing w:after="120" w:line="240" w:lineRule="auto"/>
        <w:ind w:left="426" w:hanging="426"/>
        <w:jc w:val="both"/>
        <w:rPr>
          <w:rFonts w:eastAsia="Times New Roman" w:cstheme="minorHAnsi"/>
          <w:color w:val="3B3838" w:themeColor="background2" w:themeShade="40"/>
          <w:szCs w:val="21"/>
          <w:lang w:val="fr-FR" w:eastAsia="en-GB"/>
        </w:rPr>
      </w:pPr>
      <w:r w:rsidRPr="00C775E7">
        <w:rPr>
          <w:rFonts w:eastAsia="Times New Roman" w:cstheme="minorHAnsi"/>
          <w:color w:val="3B3838" w:themeColor="background2" w:themeShade="40"/>
          <w:szCs w:val="21"/>
          <w:lang w:val="fr-FR" w:eastAsia="en-GB"/>
        </w:rPr>
        <w:lastRenderedPageBreak/>
        <w:t>Les frais de réception ;</w:t>
      </w:r>
    </w:p>
    <w:p w14:paraId="012080B3" w14:textId="77777777" w:rsidR="00BB103A" w:rsidRPr="00C775E7" w:rsidRDefault="00BB103A">
      <w:pPr>
        <w:numPr>
          <w:ilvl w:val="0"/>
          <w:numId w:val="29"/>
        </w:numPr>
        <w:spacing w:after="120" w:line="240" w:lineRule="auto"/>
        <w:ind w:left="426" w:hanging="426"/>
        <w:jc w:val="both"/>
        <w:rPr>
          <w:rFonts w:eastAsia="Times New Roman" w:cstheme="minorHAnsi"/>
          <w:color w:val="3B3838" w:themeColor="background2" w:themeShade="40"/>
          <w:szCs w:val="21"/>
          <w:lang w:val="fr-FR" w:eastAsia="en-GB"/>
        </w:rPr>
      </w:pPr>
      <w:r w:rsidRPr="00C775E7">
        <w:rPr>
          <w:rFonts w:eastAsia="Times New Roman" w:cstheme="minorHAnsi"/>
          <w:color w:val="3B3838" w:themeColor="background2" w:themeShade="40"/>
          <w:szCs w:val="21"/>
          <w:lang w:val="fr-FR" w:eastAsia="en-GB"/>
        </w:rPr>
        <w:t>Tous les frais, coûts de personnel et de matériel nécessaires pour l’exécution du présent marché ;</w:t>
      </w:r>
    </w:p>
    <w:p w14:paraId="56F608D3" w14:textId="77777777" w:rsidR="00BB103A" w:rsidRPr="00C775E7" w:rsidRDefault="00BB103A">
      <w:pPr>
        <w:numPr>
          <w:ilvl w:val="0"/>
          <w:numId w:val="29"/>
        </w:numPr>
        <w:spacing w:after="120" w:line="240" w:lineRule="auto"/>
        <w:ind w:left="426" w:hanging="426"/>
        <w:jc w:val="both"/>
        <w:rPr>
          <w:rFonts w:eastAsia="Times New Roman" w:cstheme="minorHAnsi"/>
          <w:color w:val="3B3838" w:themeColor="background2" w:themeShade="40"/>
          <w:szCs w:val="21"/>
          <w:lang w:val="fr-FR" w:eastAsia="en-GB"/>
        </w:rPr>
      </w:pPr>
      <w:r w:rsidRPr="00C775E7">
        <w:rPr>
          <w:rFonts w:eastAsia="Times New Roman" w:cstheme="minorHAnsi"/>
          <w:color w:val="3B3838" w:themeColor="background2" w:themeShade="40"/>
          <w:szCs w:val="21"/>
          <w:lang w:val="fr-FR" w:eastAsia="en-GB"/>
        </w:rPr>
        <w:t>La rémunération à titre de droit d’auteur ;</w:t>
      </w:r>
    </w:p>
    <w:p w14:paraId="37BD7087" w14:textId="77777777" w:rsidR="00BB103A" w:rsidRPr="00C775E7" w:rsidRDefault="00BB103A">
      <w:pPr>
        <w:numPr>
          <w:ilvl w:val="0"/>
          <w:numId w:val="29"/>
        </w:numPr>
        <w:spacing w:after="120" w:line="240" w:lineRule="auto"/>
        <w:ind w:left="426" w:hanging="426"/>
        <w:jc w:val="both"/>
        <w:rPr>
          <w:rFonts w:eastAsia="Times New Roman" w:cstheme="minorHAnsi"/>
          <w:color w:val="auto"/>
          <w:szCs w:val="21"/>
          <w:lang w:val="fr-FR" w:eastAsia="en-GB"/>
        </w:rPr>
      </w:pPr>
      <w:r w:rsidRPr="00C775E7">
        <w:rPr>
          <w:rFonts w:eastAsia="Times New Roman" w:cstheme="minorHAnsi"/>
          <w:color w:val="3B3838" w:themeColor="background2" w:themeShade="40"/>
          <w:szCs w:val="21"/>
          <w:lang w:val="fr-FR" w:eastAsia="en-GB"/>
        </w:rPr>
        <w:t>L’achat ou la location auprès de tiers de services nécessaires pour l’exécution du marché</w:t>
      </w:r>
      <w:r w:rsidRPr="00C775E7">
        <w:rPr>
          <w:rFonts w:eastAsia="Times New Roman" w:cstheme="minorHAnsi"/>
          <w:color w:val="auto"/>
          <w:szCs w:val="21"/>
          <w:lang w:val="fr-FR" w:eastAsia="en-GB"/>
        </w:rPr>
        <w:t>.</w:t>
      </w:r>
    </w:p>
    <w:p w14:paraId="7992C33B"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p>
    <w:p w14:paraId="0E58A69F"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r w:rsidRPr="00C775E7">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9FCE2B9"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p>
    <w:p w14:paraId="7592BF8D"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r w:rsidRPr="00C775E7">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19CB773E" w14:textId="77777777" w:rsidR="00BB103A" w:rsidRPr="00C775E7" w:rsidRDefault="00BB103A" w:rsidP="00BB103A">
      <w:pPr>
        <w:pStyle w:val="Corpsdetexte"/>
        <w:spacing w:after="60"/>
        <w:rPr>
          <w:rFonts w:ascii="Georgia" w:eastAsia="Calibri" w:hAnsi="Georgia" w:cstheme="minorHAnsi"/>
          <w:color w:val="585756"/>
          <w:sz w:val="21"/>
          <w:szCs w:val="21"/>
        </w:rPr>
      </w:pPr>
    </w:p>
    <w:p w14:paraId="2DAA321B" w14:textId="77777777" w:rsidR="00BB103A" w:rsidRPr="00C775E7" w:rsidRDefault="00BB103A" w:rsidP="00BB103A">
      <w:pPr>
        <w:pStyle w:val="Corpsdetexte"/>
        <w:spacing w:after="60"/>
        <w:rPr>
          <w:rFonts w:ascii="Georgia" w:eastAsia="Calibri" w:hAnsi="Georgia" w:cstheme="minorHAnsi"/>
          <w:color w:val="585756"/>
          <w:sz w:val="21"/>
          <w:szCs w:val="21"/>
        </w:rPr>
      </w:pPr>
      <w:r w:rsidRPr="00C775E7">
        <w:rPr>
          <w:rFonts w:ascii="Georgia" w:eastAsia="Calibri" w:hAnsi="Georgia" w:cstheme="minorHAnsi"/>
          <w:color w:val="585756"/>
          <w:sz w:val="21"/>
          <w:szCs w:val="21"/>
        </w:rPr>
        <w:t xml:space="preserve">Date et Signature manuscrite originale </w:t>
      </w:r>
    </w:p>
    <w:p w14:paraId="75511291"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p>
    <w:p w14:paraId="42423FEF"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r w:rsidRPr="00C775E7">
        <w:rPr>
          <w:rFonts w:ascii="Georgia" w:eastAsia="Calibri" w:hAnsi="Georgia" w:cs="Times New Roman"/>
          <w:color w:val="585756"/>
          <w:sz w:val="21"/>
          <w:szCs w:val="21"/>
          <w:lang w:val="fr-BE"/>
        </w:rPr>
        <w:t>Nom et postnom : ……………………………………………….</w:t>
      </w:r>
    </w:p>
    <w:p w14:paraId="029B8606"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p>
    <w:p w14:paraId="2371519F"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p>
    <w:p w14:paraId="4D551881"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r w:rsidRPr="00C775E7">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5499F23E"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p>
    <w:p w14:paraId="30EF0526"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p>
    <w:p w14:paraId="5CA5475D"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r w:rsidRPr="00C775E7">
        <w:rPr>
          <w:rFonts w:ascii="Georgia" w:eastAsia="Calibri" w:hAnsi="Georgia" w:cs="Times New Roman"/>
          <w:color w:val="585756"/>
          <w:sz w:val="21"/>
          <w:szCs w:val="21"/>
          <w:lang w:val="fr-BE"/>
        </w:rPr>
        <w:t>Certifié pour vrai et conforme,</w:t>
      </w:r>
    </w:p>
    <w:p w14:paraId="4BAF9C57"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p>
    <w:p w14:paraId="2B0DA27A" w14:textId="77777777" w:rsidR="00BB103A" w:rsidRPr="00C775E7" w:rsidRDefault="00BB103A" w:rsidP="00BB103A">
      <w:pPr>
        <w:pStyle w:val="Corpsdetexte"/>
        <w:spacing w:before="60" w:after="60"/>
        <w:rPr>
          <w:rFonts w:ascii="Georgia" w:eastAsia="Calibri" w:hAnsi="Georgia" w:cs="Times New Roman"/>
          <w:color w:val="585756"/>
          <w:sz w:val="21"/>
          <w:szCs w:val="21"/>
          <w:lang w:val="fr-BE"/>
        </w:rPr>
      </w:pPr>
      <w:r w:rsidRPr="00C775E7">
        <w:rPr>
          <w:rFonts w:ascii="Georgia" w:eastAsia="Calibri" w:hAnsi="Georgia" w:cs="Times New Roman"/>
          <w:color w:val="585756"/>
          <w:sz w:val="21"/>
          <w:szCs w:val="21"/>
          <w:lang w:val="fr-BE"/>
        </w:rPr>
        <w:t>Fait à …………………… le ………………</w:t>
      </w:r>
    </w:p>
    <w:p w14:paraId="5F451D3C"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29B8FBB6"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049D6DAE"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6849D6DD"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5540F021"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1CBF9010"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1D300B7D"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3957DD08"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4BE6956C"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17BCC054"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0C071809"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0DAC395C"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7ED1065C" w14:textId="77777777" w:rsidR="00BB103A" w:rsidRPr="00C775E7" w:rsidRDefault="00BB103A" w:rsidP="00E535C1">
      <w:pPr>
        <w:pStyle w:val="Corpsdetexte"/>
        <w:spacing w:before="60" w:after="60"/>
        <w:rPr>
          <w:rFonts w:ascii="Georgia" w:eastAsia="Calibri" w:hAnsi="Georgia" w:cs="Times New Roman"/>
          <w:color w:val="585756"/>
          <w:sz w:val="21"/>
          <w:szCs w:val="21"/>
          <w:lang w:val="fr-BE"/>
        </w:rPr>
      </w:pPr>
    </w:p>
    <w:p w14:paraId="1DB16397" w14:textId="77777777" w:rsidR="00E535C1" w:rsidRPr="006542C5" w:rsidRDefault="00E535C1" w:rsidP="00E535C1">
      <w:pPr>
        <w:pStyle w:val="Titre2"/>
      </w:pPr>
      <w:bookmarkStart w:id="176" w:name="_Toc52268503"/>
      <w:r w:rsidRPr="006542C5">
        <w:lastRenderedPageBreak/>
        <w:t>Déclaration sur l’honneur – motifs d’exclusion</w:t>
      </w:r>
      <w:bookmarkEnd w:id="176"/>
      <w:r w:rsidRPr="006542C5">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pPr>
        <w:pStyle w:val="paragraph"/>
        <w:numPr>
          <w:ilvl w:val="0"/>
          <w:numId w:val="19"/>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proofErr w:type="gramStart"/>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0134382D"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B5BC0C2"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9FEA4FA"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590BC93C"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pPr>
        <w:pStyle w:val="paragraph"/>
        <w:numPr>
          <w:ilvl w:val="0"/>
          <w:numId w:val="10"/>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pPr>
        <w:pStyle w:val="paragraph"/>
        <w:numPr>
          <w:ilvl w:val="0"/>
          <w:numId w:val="12"/>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pPr>
        <w:pStyle w:val="paragraph"/>
        <w:numPr>
          <w:ilvl w:val="0"/>
          <w:numId w:val="13"/>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proofErr w:type="spellStart"/>
      <w:r w:rsidRPr="00442C30">
        <w:rPr>
          <w:rStyle w:val="spellingerror"/>
          <w:rFonts w:ascii="Georgia" w:hAnsi="Georgia" w:cs="Segoe UI"/>
          <w:sz w:val="20"/>
          <w:szCs w:val="20"/>
          <w:lang w:val="fr-FR"/>
        </w:rPr>
        <w:t>Enabel</w:t>
      </w:r>
      <w:proofErr w:type="spellEnd"/>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77777777" w:rsidR="00E535C1" w:rsidRPr="00442C30" w:rsidRDefault="00E535C1">
      <w:pPr>
        <w:pStyle w:val="paragraph"/>
        <w:numPr>
          <w:ilvl w:val="0"/>
          <w:numId w:val="17"/>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77777777" w:rsidR="00E535C1" w:rsidRPr="00442C30" w:rsidRDefault="00E535C1">
      <w:pPr>
        <w:pStyle w:val="paragraph"/>
        <w:numPr>
          <w:ilvl w:val="0"/>
          <w:numId w:val="18"/>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lastRenderedPageBreak/>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442C30" w:rsidRDefault="00E535C1">
      <w:pPr>
        <w:pStyle w:val="paragraph"/>
        <w:numPr>
          <w:ilvl w:val="0"/>
          <w:numId w:val="18"/>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pPr>
        <w:pStyle w:val="paragraph"/>
        <w:numPr>
          <w:ilvl w:val="0"/>
          <w:numId w:val="18"/>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2"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3" w:history="1">
        <w:r w:rsidRPr="00442C30">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442C30" w:rsidRDefault="00000000" w:rsidP="00E535C1">
      <w:pPr>
        <w:pStyle w:val="paragraph"/>
        <w:spacing w:after="0"/>
        <w:ind w:left="360"/>
        <w:textAlignment w:val="baseline"/>
        <w:rPr>
          <w:rStyle w:val="eop"/>
          <w:rFonts w:ascii="Georgia" w:hAnsi="Georgia" w:cs="Segoe UI"/>
          <w:sz w:val="20"/>
          <w:szCs w:val="20"/>
          <w:lang w:val="fr-FR"/>
        </w:rPr>
      </w:pPr>
      <w:hyperlink r:id="rId34" w:history="1">
        <w:r w:rsidR="00E535C1" w:rsidRPr="00442C30">
          <w:rPr>
            <w:rStyle w:val="Lienhypertexte"/>
            <w:rFonts w:ascii="Georgia" w:hAnsi="Georgia" w:cs="Segoe UI"/>
            <w:sz w:val="20"/>
            <w:szCs w:val="20"/>
            <w:lang w:val="fr-FR"/>
          </w:rPr>
          <w:t>https://eeas.europa.eu/headquarters/headquarters-homepage/8442/consolidated-list-sanctions</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r>
      <w:hyperlink r:id="rId35" w:history="1">
        <w:r w:rsidR="00E535C1" w:rsidRPr="00442C30">
          <w:rPr>
            <w:rStyle w:val="Lienhypertexte"/>
            <w:rFonts w:ascii="Georgia" w:hAnsi="Georgia" w:cs="Segoe UI"/>
            <w:sz w:val="20"/>
            <w:szCs w:val="20"/>
            <w:lang w:val="fr-FR"/>
          </w:rPr>
          <w:t>https://eeas.europa.eu/sites/eeas/files/restrictive_measures-2017-01-17-clean.pdf</w:t>
        </w:r>
      </w:hyperlink>
      <w:r w:rsidR="00E535C1" w:rsidRPr="00442C30">
        <w:rPr>
          <w:rStyle w:val="eop"/>
          <w:rFonts w:ascii="Georgia" w:hAnsi="Georgia" w:cs="Segoe UI"/>
          <w:sz w:val="20"/>
          <w:szCs w:val="20"/>
          <w:lang w:val="fr-FR"/>
        </w:rPr>
        <w:br/>
      </w:r>
      <w:r w:rsidR="00E535C1" w:rsidRPr="00442C30">
        <w:rPr>
          <w:rStyle w:val="eop"/>
          <w:rFonts w:ascii="Georgia" w:hAnsi="Georgia" w:cs="Segoe UI"/>
          <w:sz w:val="20"/>
          <w:szCs w:val="20"/>
          <w:lang w:val="fr-FR"/>
        </w:rPr>
        <w:br/>
        <w:t xml:space="preserve">Pour la Belgique : </w:t>
      </w:r>
      <w:hyperlink r:id="rId36" w:history="1">
        <w:r w:rsidR="00E535C1"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442C30" w:rsidRDefault="00E535C1">
      <w:pPr>
        <w:numPr>
          <w:ilvl w:val="0"/>
          <w:numId w:val="18"/>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5754C0C4"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442C30">
        <w:rPr>
          <w:rStyle w:val="eop"/>
          <w:rFonts w:eastAsia="Times New Roman" w:cs="Segoe UI"/>
          <w:color w:val="auto"/>
          <w:sz w:val="20"/>
          <w:szCs w:val="20"/>
          <w:lang w:val="fr-FR" w:eastAsia="nl-BE"/>
        </w:rPr>
        <w:t>correspondante;</w:t>
      </w:r>
      <w:proofErr w:type="gramEnd"/>
      <w:r w:rsidRPr="00442C30">
        <w:rPr>
          <w:rStyle w:val="eop"/>
          <w:rFonts w:eastAsia="Times New Roman" w:cs="Segoe UI"/>
          <w:color w:val="auto"/>
          <w:sz w:val="20"/>
          <w:szCs w:val="20"/>
          <w:lang w:val="fr-FR" w:eastAsia="nl-BE"/>
        </w:rPr>
        <w:t xml:space="preserv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5536CCA" w14:textId="444983B4" w:rsidR="00BB103A" w:rsidRPr="00442C30" w:rsidRDefault="00E535C1" w:rsidP="00BE054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3C33808C" w14:textId="77777777" w:rsidR="00E535C1" w:rsidRPr="00C678B8" w:rsidRDefault="00E535C1" w:rsidP="00E535C1">
      <w:pPr>
        <w:pStyle w:val="Titre2"/>
      </w:pPr>
      <w:bookmarkStart w:id="177" w:name="_Toc52268504"/>
      <w:r w:rsidRPr="00C678B8">
        <w:lastRenderedPageBreak/>
        <w:t>Déclaration intégrité soumissionnaires</w:t>
      </w:r>
      <w:bookmarkEnd w:id="177"/>
    </w:p>
    <w:p w14:paraId="1ED74424"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435DE548" w14:textId="77777777" w:rsidR="00E535C1" w:rsidRDefault="00E535C1">
      <w:pPr>
        <w:pStyle w:val="Corpsdetexte2"/>
        <w:numPr>
          <w:ilvl w:val="0"/>
          <w:numId w:val="8"/>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431CA96" w14:textId="77777777" w:rsidR="00E535C1" w:rsidRDefault="00E535C1">
      <w:pPr>
        <w:pStyle w:val="Corpsdetexte2"/>
        <w:numPr>
          <w:ilvl w:val="0"/>
          <w:numId w:val="8"/>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5357E4A" w14:textId="0453607C" w:rsidR="00E535C1" w:rsidRPr="00C678B8" w:rsidRDefault="00E535C1">
      <w:pPr>
        <w:pStyle w:val="Corpsdetexte2"/>
        <w:numPr>
          <w:ilvl w:val="0"/>
          <w:numId w:val="8"/>
        </w:numPr>
        <w:spacing w:after="0" w:line="280" w:lineRule="auto"/>
        <w:jc w:val="both"/>
      </w:pPr>
      <w:r w:rsidRPr="00C678B8">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C678B8" w:rsidRPr="00C678B8">
        <w:t>corruption et</w:t>
      </w:r>
      <w:r w:rsidRPr="00C678B8">
        <w:t xml:space="preserve"> je / nous déclare/</w:t>
      </w:r>
      <w:proofErr w:type="spellStart"/>
      <w:r w:rsidRPr="00C678B8">
        <w:t>rons</w:t>
      </w:r>
      <w:proofErr w:type="spellEnd"/>
      <w:r w:rsidRPr="00C678B8">
        <w:t xml:space="preserve"> souscrire et respecter entièrement ces articles.</w:t>
      </w:r>
    </w:p>
    <w:p w14:paraId="703A8D49"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p>
    <w:p w14:paraId="114B1066" w14:textId="77777777" w:rsidR="00E535C1" w:rsidRPr="00475BF7" w:rsidRDefault="00E535C1" w:rsidP="00E535C1">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07C0DBAB" w14:textId="77777777" w:rsidR="00E535C1" w:rsidRDefault="00E535C1">
      <w:pPr>
        <w:pStyle w:val="Corpsdetexte2"/>
        <w:numPr>
          <w:ilvl w:val="0"/>
          <w:numId w:val="9"/>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CB7F4F5" w14:textId="77777777" w:rsidR="00E535C1" w:rsidRDefault="00E535C1">
      <w:pPr>
        <w:pStyle w:val="Corpsdetexte2"/>
        <w:numPr>
          <w:ilvl w:val="0"/>
          <w:numId w:val="9"/>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083D1993" w14:textId="77777777" w:rsidR="00E535C1" w:rsidRDefault="00E535C1">
      <w:pPr>
        <w:pStyle w:val="Corpsdetexte2"/>
        <w:numPr>
          <w:ilvl w:val="0"/>
          <w:numId w:val="9"/>
        </w:numPr>
        <w:spacing w:after="0" w:line="280" w:lineRule="auto"/>
        <w:jc w:val="both"/>
      </w:pPr>
      <w:r>
        <w:t xml:space="preserve">Tout manquement à se conformer à une ou plusieurs des clauses déontologiques </w:t>
      </w:r>
      <w:proofErr w:type="gramStart"/>
      <w:r w:rsidRPr="00067A4A">
        <w:t>aboutira</w:t>
      </w:r>
      <w:proofErr w:type="gramEnd"/>
      <w:r>
        <w:t xml:space="preserve"> à l’exclusion du contractant du présent marché et d’autres marchés publics pour Enabel.</w:t>
      </w:r>
    </w:p>
    <w:p w14:paraId="2B0AC338" w14:textId="77777777" w:rsidR="00E535C1" w:rsidRDefault="00E535C1" w:rsidP="00E535C1">
      <w:pPr>
        <w:pStyle w:val="Corpsdetexte2"/>
        <w:spacing w:after="0" w:line="280" w:lineRule="auto"/>
        <w:ind w:left="720"/>
        <w:jc w:val="both"/>
      </w:pPr>
    </w:p>
    <w:p w14:paraId="56EFF244" w14:textId="77777777" w:rsidR="00E535C1" w:rsidRPr="00475BF7" w:rsidRDefault="00E535C1" w:rsidP="00E535C1">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A4613C" w:rsidRDefault="00E535C1" w:rsidP="00E535C1">
      <w:pPr>
        <w:pStyle w:val="Corpsdetexte2"/>
        <w:rPr>
          <w:kern w:val="18"/>
          <w:szCs w:val="21"/>
        </w:rPr>
      </w:pPr>
      <w:r w:rsidRPr="00A4613C">
        <w:rPr>
          <w:kern w:val="18"/>
          <w:szCs w:val="21"/>
        </w:rPr>
        <w:t xml:space="preserve">Date </w:t>
      </w:r>
    </w:p>
    <w:p w14:paraId="54DD20BA" w14:textId="77777777" w:rsidR="00E535C1" w:rsidRPr="00A4613C" w:rsidRDefault="00E535C1" w:rsidP="00E535C1">
      <w:pPr>
        <w:pStyle w:val="Corpsdetexte2"/>
        <w:rPr>
          <w:kern w:val="18"/>
          <w:szCs w:val="21"/>
        </w:rPr>
      </w:pPr>
      <w:r w:rsidRPr="00A4613C">
        <w:rPr>
          <w:kern w:val="18"/>
          <w:szCs w:val="21"/>
        </w:rPr>
        <w:t xml:space="preserve">Localisation </w:t>
      </w:r>
    </w:p>
    <w:p w14:paraId="7D08B104" w14:textId="48A0D6C8" w:rsidR="00BE0547" w:rsidRDefault="00E535C1" w:rsidP="00E535C1">
      <w:pPr>
        <w:pStyle w:val="Corpsdetexte2"/>
        <w:rPr>
          <w:kern w:val="18"/>
          <w:szCs w:val="21"/>
        </w:rPr>
      </w:pPr>
      <w:r w:rsidRPr="00A4613C">
        <w:rPr>
          <w:kern w:val="18"/>
          <w:szCs w:val="21"/>
        </w:rPr>
        <w:t>Signature</w:t>
      </w:r>
    </w:p>
    <w:p w14:paraId="4773791E" w14:textId="77777777" w:rsidR="00E535C1" w:rsidRDefault="00E535C1" w:rsidP="00E535C1">
      <w:pPr>
        <w:pStyle w:val="Titre2"/>
      </w:pPr>
      <w:bookmarkStart w:id="178" w:name="_Toc51592073"/>
      <w:bookmarkStart w:id="179" w:name="_Toc52268505"/>
      <w:r>
        <w:lastRenderedPageBreak/>
        <w:t>Dossier de sélection – capacité économique</w:t>
      </w:r>
      <w:bookmarkEnd w:id="178"/>
      <w:bookmarkEnd w:id="179"/>
      <w:r>
        <w:t xml:space="preserve"> </w:t>
      </w:r>
    </w:p>
    <w:p w14:paraId="5E6ABDC2" w14:textId="77777777" w:rsidR="00E535C1" w:rsidRPr="006542C5" w:rsidRDefault="00E535C1" w:rsidP="00E535C1"/>
    <w:p w14:paraId="3FFE93BE" w14:textId="77777777" w:rsidR="00E535C1" w:rsidRDefault="00E535C1" w:rsidP="00E535C1">
      <w:pPr>
        <w:pStyle w:val="Titre2"/>
      </w:pPr>
      <w:bookmarkStart w:id="180" w:name="_Toc51592074"/>
      <w:bookmarkStart w:id="181" w:name="_Toc52268506"/>
      <w:r>
        <w:t>Dossier de sélection – aptitude technique</w:t>
      </w:r>
      <w:bookmarkEnd w:id="180"/>
      <w:bookmarkEnd w:id="181"/>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E535C1" w:rsidRPr="00442C30" w14:paraId="1E491F10" w14:textId="77777777" w:rsidTr="006F289F">
        <w:trPr>
          <w:cantSplit/>
          <w:trHeight w:val="493"/>
        </w:trPr>
        <w:tc>
          <w:tcPr>
            <w:tcW w:w="5755" w:type="dxa"/>
            <w:tcBorders>
              <w:top w:val="single" w:sz="4" w:space="0" w:color="auto"/>
              <w:left w:val="single" w:sz="4" w:space="0" w:color="auto"/>
              <w:bottom w:val="single" w:sz="4" w:space="0" w:color="auto"/>
              <w:right w:val="single" w:sz="4" w:space="0" w:color="auto"/>
            </w:tcBorders>
          </w:tcPr>
          <w:p w14:paraId="245476F2" w14:textId="7A28BA60"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 xml:space="preserve">Le soumissionnaire doit disposer des </w:t>
            </w:r>
            <w:r w:rsidRPr="00442C30">
              <w:rPr>
                <w:rFonts w:ascii="Georgia" w:hAnsi="Georgia"/>
                <w:b/>
                <w:color w:val="404040"/>
                <w:sz w:val="21"/>
                <w:szCs w:val="21"/>
                <w:lang w:val="fr-FR"/>
              </w:rPr>
              <w:t>références suivantes</w:t>
            </w:r>
            <w:r w:rsidRPr="00442C30">
              <w:rPr>
                <w:rFonts w:ascii="Georgia" w:hAnsi="Georgia" w:cs="Arial"/>
                <w:color w:val="404040"/>
                <w:sz w:val="21"/>
                <w:szCs w:val="21"/>
                <w:lang w:val="fr-FR"/>
              </w:rPr>
              <w:t xml:space="preserve"> de services exécutés, qui ont été effectués au cours des trois dernières années.</w:t>
            </w:r>
          </w:p>
          <w:p w14:paraId="2CBEC656" w14:textId="77777777"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Le soumissionnaire joint à son offre une liste reprenant les services les plus importants qui ont été effectués au cours des trois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p w14:paraId="2DCBA311" w14:textId="77777777" w:rsidR="00E535C1" w:rsidRPr="00442C30" w:rsidRDefault="00E535C1" w:rsidP="006F289F">
            <w:pPr>
              <w:pStyle w:val="BTCtextCTB"/>
              <w:rPr>
                <w:rFonts w:ascii="Georgia" w:hAnsi="Georgia" w:cs="Arial"/>
                <w:color w:val="404040"/>
                <w:sz w:val="21"/>
                <w:szCs w:val="21"/>
                <w:lang w:val="fr-FR"/>
              </w:rPr>
            </w:pPr>
          </w:p>
        </w:tc>
        <w:tc>
          <w:tcPr>
            <w:tcW w:w="2237" w:type="dxa"/>
            <w:tcBorders>
              <w:top w:val="single" w:sz="4" w:space="0" w:color="auto"/>
              <w:left w:val="single" w:sz="4" w:space="0" w:color="auto"/>
              <w:bottom w:val="single" w:sz="4" w:space="0" w:color="auto"/>
              <w:right w:val="single" w:sz="4" w:space="0" w:color="auto"/>
            </w:tcBorders>
          </w:tcPr>
          <w:p w14:paraId="783B8423" w14:textId="3DB346AA" w:rsidR="00E535C1" w:rsidRPr="00EF7CB8" w:rsidRDefault="00EF7CB8" w:rsidP="006F289F">
            <w:pPr>
              <w:pStyle w:val="BTCtextCTB"/>
              <w:rPr>
                <w:rFonts w:ascii="Georgia" w:hAnsi="Georgia" w:cs="Arial"/>
                <w:sz w:val="21"/>
                <w:szCs w:val="21"/>
                <w:lang w:val="fr-FR"/>
              </w:rPr>
            </w:pPr>
            <w:r w:rsidRPr="00EF7CB8">
              <w:rPr>
                <w:rFonts w:ascii="Georgia" w:hAnsi="Georgia" w:cs="Arial"/>
                <w:sz w:val="21"/>
                <w:szCs w:val="21"/>
                <w:lang w:val="fr-FR"/>
              </w:rPr>
              <w:t>Liste à remettre + PV</w:t>
            </w:r>
          </w:p>
        </w:tc>
      </w:tr>
    </w:tbl>
    <w:p w14:paraId="4D2F7DF6" w14:textId="77777777" w:rsidR="00C775E7" w:rsidRDefault="00C775E7" w:rsidP="008706E2">
      <w:pPr>
        <w:pStyle w:val="Titre2"/>
        <w:numPr>
          <w:ilvl w:val="0"/>
          <w:numId w:val="0"/>
        </w:numPr>
      </w:pPr>
      <w:bookmarkStart w:id="182" w:name="_Toc51592078"/>
      <w:bookmarkStart w:id="183" w:name="_Toc52268507"/>
    </w:p>
    <w:p w14:paraId="49030CE2" w14:textId="77777777" w:rsidR="00C775E7" w:rsidRDefault="00C775E7" w:rsidP="00C775E7"/>
    <w:p w14:paraId="73122505" w14:textId="77777777" w:rsidR="00C775E7" w:rsidRDefault="00C775E7" w:rsidP="00C775E7"/>
    <w:p w14:paraId="5164926D" w14:textId="77777777" w:rsidR="00C775E7" w:rsidRDefault="00C775E7" w:rsidP="00C775E7"/>
    <w:p w14:paraId="5E38FD74" w14:textId="77777777" w:rsidR="00C775E7" w:rsidRDefault="00C775E7" w:rsidP="00C775E7"/>
    <w:p w14:paraId="4679B4B0" w14:textId="77777777" w:rsidR="00C775E7" w:rsidRDefault="00C775E7" w:rsidP="00C775E7"/>
    <w:p w14:paraId="443EE4E4" w14:textId="77777777" w:rsidR="00C775E7" w:rsidRDefault="00C775E7" w:rsidP="00C775E7"/>
    <w:p w14:paraId="14BBD2FA" w14:textId="77777777" w:rsidR="00C775E7" w:rsidRDefault="00C775E7" w:rsidP="00C775E7"/>
    <w:p w14:paraId="1198D08C" w14:textId="77777777" w:rsidR="00C775E7" w:rsidRDefault="00C775E7" w:rsidP="00C775E7"/>
    <w:p w14:paraId="499290F5" w14:textId="77777777" w:rsidR="00C775E7" w:rsidRDefault="00C775E7" w:rsidP="00C775E7"/>
    <w:p w14:paraId="3E50C2E5" w14:textId="77777777" w:rsidR="00C775E7" w:rsidRDefault="00C775E7" w:rsidP="00C775E7"/>
    <w:p w14:paraId="43B3F26B" w14:textId="77777777" w:rsidR="00C775E7" w:rsidRDefault="00C775E7" w:rsidP="00C775E7"/>
    <w:p w14:paraId="4DD1D78A" w14:textId="77777777" w:rsidR="00C775E7" w:rsidRDefault="00C775E7" w:rsidP="00C775E7"/>
    <w:p w14:paraId="5F7F5546" w14:textId="77777777" w:rsidR="00C775E7" w:rsidRDefault="00C775E7" w:rsidP="00C775E7"/>
    <w:p w14:paraId="52E88D36" w14:textId="77777777" w:rsidR="00C775E7" w:rsidRDefault="00C775E7" w:rsidP="00C775E7"/>
    <w:p w14:paraId="07D98B92" w14:textId="77777777" w:rsidR="00C775E7" w:rsidRDefault="00C775E7" w:rsidP="00C775E7"/>
    <w:p w14:paraId="11C52FC2" w14:textId="77777777" w:rsidR="00C775E7" w:rsidRDefault="00C775E7" w:rsidP="00C775E7"/>
    <w:p w14:paraId="48541574" w14:textId="77777777" w:rsidR="00C775E7" w:rsidRDefault="00C775E7" w:rsidP="00C775E7"/>
    <w:p w14:paraId="7C9A6227" w14:textId="77777777" w:rsidR="00C775E7" w:rsidRDefault="00C775E7" w:rsidP="00C775E7"/>
    <w:p w14:paraId="05F0D20B" w14:textId="77777777" w:rsidR="00C775E7" w:rsidRPr="00C775E7" w:rsidRDefault="00C775E7" w:rsidP="00C775E7"/>
    <w:p w14:paraId="294F9EAC" w14:textId="1452F28B" w:rsidR="00E535C1" w:rsidRDefault="00E535C1" w:rsidP="00E535C1">
      <w:pPr>
        <w:pStyle w:val="Titre2"/>
      </w:pPr>
      <w:r>
        <w:lastRenderedPageBreak/>
        <w:t>Documents à remettre – liste exhaustive</w:t>
      </w:r>
      <w:bookmarkEnd w:id="182"/>
      <w:bookmarkEnd w:id="183"/>
    </w:p>
    <w:p w14:paraId="209DD661" w14:textId="77777777" w:rsidR="00F406DB" w:rsidRDefault="00F406DB" w:rsidP="00F406DB"/>
    <w:p w14:paraId="0B3332DD" w14:textId="77777777" w:rsidR="00C775E7" w:rsidRPr="00C775E7" w:rsidRDefault="00C775E7" w:rsidP="00C775E7">
      <w:pPr>
        <w:pStyle w:val="Corpsdetexte"/>
        <w:spacing w:line="240" w:lineRule="auto"/>
        <w:rPr>
          <w:rFonts w:ascii="Georgia" w:hAnsi="Georgia" w:cstheme="minorHAnsi"/>
          <w:color w:val="171717" w:themeColor="background2" w:themeShade="1A"/>
          <w:sz w:val="21"/>
          <w:szCs w:val="21"/>
        </w:rPr>
      </w:pPr>
      <w:r w:rsidRPr="00C775E7">
        <w:rPr>
          <w:rFonts w:ascii="Georgia" w:hAnsi="Georgia" w:cstheme="minorHAnsi"/>
          <w:color w:val="171717" w:themeColor="background2" w:themeShade="1A"/>
          <w:sz w:val="21"/>
          <w:szCs w:val="21"/>
        </w:rPr>
        <w:t>Le soumissionnaire joint les documents / informations à son offre, utilise les modèles joints en annexe et respecte la numérotation ci-dessous.</w:t>
      </w:r>
    </w:p>
    <w:p w14:paraId="46330E31" w14:textId="77777777" w:rsidR="00C775E7" w:rsidRPr="00C775E7" w:rsidRDefault="00C775E7">
      <w:pPr>
        <w:pStyle w:val="Paragraphedeliste"/>
        <w:numPr>
          <w:ilvl w:val="0"/>
          <w:numId w:val="32"/>
        </w:numPr>
        <w:rPr>
          <w:color w:val="171717" w:themeColor="background2" w:themeShade="1A"/>
        </w:rPr>
      </w:pPr>
      <w:r w:rsidRPr="00C775E7">
        <w:rPr>
          <w:color w:val="171717" w:themeColor="background2" w:themeShade="1A"/>
        </w:rPr>
        <w:t>Fiche d’identification ;</w:t>
      </w:r>
    </w:p>
    <w:p w14:paraId="2FB459B3" w14:textId="77777777" w:rsidR="00C775E7" w:rsidRPr="00C775E7" w:rsidRDefault="00C775E7">
      <w:pPr>
        <w:pStyle w:val="Paragraphedeliste"/>
        <w:numPr>
          <w:ilvl w:val="0"/>
          <w:numId w:val="32"/>
        </w:numPr>
        <w:rPr>
          <w:color w:val="171717" w:themeColor="background2" w:themeShade="1A"/>
        </w:rPr>
      </w:pPr>
      <w:r w:rsidRPr="00C775E7">
        <w:rPr>
          <w:color w:val="171717" w:themeColor="background2" w:themeShade="1A"/>
        </w:rPr>
        <w:t>Déclaration sur l’honneur relative à l’absence de causes d’exclusion ;</w:t>
      </w:r>
    </w:p>
    <w:p w14:paraId="34E1F115" w14:textId="77777777" w:rsidR="00C775E7" w:rsidRPr="00C775E7" w:rsidRDefault="00C775E7">
      <w:pPr>
        <w:pStyle w:val="Paragraphedeliste"/>
        <w:numPr>
          <w:ilvl w:val="0"/>
          <w:numId w:val="32"/>
        </w:numPr>
        <w:rPr>
          <w:color w:val="171717" w:themeColor="background2" w:themeShade="1A"/>
        </w:rPr>
      </w:pPr>
      <w:r w:rsidRPr="00C775E7">
        <w:rPr>
          <w:color w:val="171717" w:themeColor="background2" w:themeShade="1A"/>
        </w:rPr>
        <w:t>Déclaration d’intégrité ;</w:t>
      </w:r>
    </w:p>
    <w:p w14:paraId="5AEA904A" w14:textId="77777777" w:rsidR="00C775E7" w:rsidRPr="00C775E7" w:rsidRDefault="00C775E7">
      <w:pPr>
        <w:pStyle w:val="Paragraphedeliste"/>
        <w:numPr>
          <w:ilvl w:val="0"/>
          <w:numId w:val="32"/>
        </w:numPr>
        <w:rPr>
          <w:color w:val="171717" w:themeColor="background2" w:themeShade="1A"/>
        </w:rPr>
      </w:pPr>
      <w:r w:rsidRPr="00C775E7">
        <w:rPr>
          <w:color w:val="171717" w:themeColor="background2" w:themeShade="1A"/>
        </w:rPr>
        <w:t>Liste des services similaires exécutés (avec PV de réception ou attestation de bonne fin)</w:t>
      </w:r>
    </w:p>
    <w:p w14:paraId="73AE42AB" w14:textId="77777777" w:rsidR="00C775E7" w:rsidRPr="00C775E7" w:rsidRDefault="00C775E7">
      <w:pPr>
        <w:pStyle w:val="Paragraphedeliste"/>
        <w:numPr>
          <w:ilvl w:val="0"/>
          <w:numId w:val="32"/>
        </w:numPr>
        <w:rPr>
          <w:color w:val="171717" w:themeColor="background2" w:themeShade="1A"/>
        </w:rPr>
      </w:pPr>
      <w:r w:rsidRPr="00C775E7">
        <w:rPr>
          <w:color w:val="171717" w:themeColor="background2" w:themeShade="1A"/>
        </w:rPr>
        <w:t>Formulaire d’offre avec bordereau des prix ;</w:t>
      </w:r>
    </w:p>
    <w:p w14:paraId="7F408783" w14:textId="77777777" w:rsidR="00C775E7" w:rsidRPr="00C775E7" w:rsidRDefault="00C775E7">
      <w:pPr>
        <w:pStyle w:val="Paragraphedeliste"/>
        <w:numPr>
          <w:ilvl w:val="0"/>
          <w:numId w:val="32"/>
        </w:numPr>
        <w:rPr>
          <w:color w:val="171717" w:themeColor="background2" w:themeShade="1A"/>
        </w:rPr>
      </w:pPr>
      <w:r w:rsidRPr="00C775E7">
        <w:rPr>
          <w:color w:val="171717" w:themeColor="background2" w:themeShade="1A"/>
        </w:rPr>
        <w:t>CV du consultant.</w:t>
      </w:r>
    </w:p>
    <w:p w14:paraId="699BB448" w14:textId="77777777" w:rsidR="00C775E7" w:rsidRPr="006B32D6" w:rsidRDefault="00C775E7" w:rsidP="00C775E7"/>
    <w:p w14:paraId="5237312E" w14:textId="77777777" w:rsidR="00C775E7" w:rsidRDefault="00C775E7" w:rsidP="00F406DB"/>
    <w:p w14:paraId="3B5AAE04" w14:textId="77777777" w:rsidR="00C775E7" w:rsidRDefault="00C775E7" w:rsidP="00F406DB"/>
    <w:p w14:paraId="0F9889BC" w14:textId="77777777" w:rsidR="00C775E7" w:rsidRDefault="00C775E7" w:rsidP="00F406DB"/>
    <w:sectPr w:rsidR="00C775E7" w:rsidSect="00184F9E">
      <w:headerReference w:type="first" r:id="rId37"/>
      <w:footerReference w:type="first" r:id="rId38"/>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DEC2" w14:textId="77777777" w:rsidR="006135D7" w:rsidRDefault="006135D7" w:rsidP="00C913B3">
      <w:pPr>
        <w:spacing w:after="0" w:line="240" w:lineRule="auto"/>
      </w:pPr>
      <w:r>
        <w:separator/>
      </w:r>
    </w:p>
  </w:endnote>
  <w:endnote w:type="continuationSeparator" w:id="0">
    <w:p w14:paraId="508FD8C3" w14:textId="77777777" w:rsidR="006135D7" w:rsidRDefault="006135D7"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7E68" w14:textId="77777777" w:rsidR="00BE0547" w:rsidRPr="00BE0547" w:rsidRDefault="006F289F" w:rsidP="00BE0547">
    <w:pPr>
      <w:pStyle w:val="Titrecouverture"/>
      <w:rPr>
        <w:b/>
        <w:bCs/>
        <w:color w:val="C00000"/>
        <w:sz w:val="28"/>
        <w:szCs w:val="32"/>
      </w:rPr>
    </w:pPr>
    <w:r w:rsidRPr="00BE0547">
      <w:rPr>
        <w:b/>
        <w:bCs/>
        <w:color w:val="C00000"/>
        <w:sz w:val="16"/>
        <w:szCs w:val="16"/>
      </w:rPr>
      <w:t xml:space="preserve">CSC </w:t>
    </w:r>
    <w:r w:rsidR="00BE0547" w:rsidRPr="00BE0547">
      <w:rPr>
        <w:b/>
        <w:bCs/>
        <w:color w:val="C00000"/>
        <w:sz w:val="14"/>
        <w:szCs w:val="16"/>
      </w:rPr>
      <w:t>RDC182081T-10136</w:t>
    </w:r>
  </w:p>
  <w:p w14:paraId="4A89A7BB" w14:textId="19D316FA" w:rsidR="006F289F" w:rsidRPr="004B0850" w:rsidRDefault="006F289F" w:rsidP="004B0850">
    <w:pPr>
      <w:pStyle w:val="Pieddepage"/>
      <w:tabs>
        <w:tab w:val="clear" w:pos="9072"/>
        <w:tab w:val="right" w:pos="9070"/>
      </w:tabs>
      <w:rPr>
        <w:sz w:val="16"/>
        <w:szCs w:val="16"/>
      </w:rPr>
    </w:pP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61312"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AD5FB" w14:textId="77777777" w:rsidR="006135D7" w:rsidRDefault="006135D7" w:rsidP="00C913B3">
      <w:pPr>
        <w:spacing w:after="0" w:line="240" w:lineRule="auto"/>
      </w:pPr>
      <w:r>
        <w:separator/>
      </w:r>
    </w:p>
  </w:footnote>
  <w:footnote w:type="continuationSeparator" w:id="0">
    <w:p w14:paraId="665AC609" w14:textId="77777777" w:rsidR="006135D7" w:rsidRDefault="006135D7" w:rsidP="00C913B3">
      <w:pPr>
        <w:spacing w:after="0" w:line="240" w:lineRule="auto"/>
      </w:pPr>
      <w:r>
        <w:continuationSeparator/>
      </w:r>
    </w:p>
  </w:footnote>
  <w:footnote w:id="1">
    <w:p w14:paraId="4E45120B" w14:textId="765840C9" w:rsidR="006F289F" w:rsidRDefault="006F289F">
      <w:pPr>
        <w:pStyle w:val="Notedebasdepage"/>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C910718" w14:textId="77777777" w:rsidR="006F289F" w:rsidRDefault="006F289F" w:rsidP="00E535C1">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6">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8">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4437704" w14:textId="77777777" w:rsidR="006F289F" w:rsidRDefault="006F289F" w:rsidP="00E535C1">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2">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F36A7"/>
    <w:multiLevelType w:val="hybridMultilevel"/>
    <w:tmpl w:val="E8B64768"/>
    <w:lvl w:ilvl="0" w:tplc="8B629AEE">
      <w:start w:val="5"/>
      <w:numFmt w:val="bullet"/>
      <w:lvlText w:val="-"/>
      <w:lvlJc w:val="left"/>
      <w:pPr>
        <w:ind w:left="360" w:hanging="36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44A013B"/>
    <w:multiLevelType w:val="hybridMultilevel"/>
    <w:tmpl w:val="2A28B094"/>
    <w:lvl w:ilvl="0" w:tplc="240C0019">
      <w:start w:val="1"/>
      <w:numFmt w:val="lowerLetter"/>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20DE09C5"/>
    <w:multiLevelType w:val="hybridMultilevel"/>
    <w:tmpl w:val="12B62410"/>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9"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0" w15:restartNumberingAfterBreak="0">
    <w:nsid w:val="2B372797"/>
    <w:multiLevelType w:val="hybridMultilevel"/>
    <w:tmpl w:val="22F44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5"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6" w15:restartNumberingAfterBreak="0">
    <w:nsid w:val="48581DCA"/>
    <w:multiLevelType w:val="hybridMultilevel"/>
    <w:tmpl w:val="F81A91B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7" w15:restartNumberingAfterBreak="0">
    <w:nsid w:val="58434C8C"/>
    <w:multiLevelType w:val="hybridMultilevel"/>
    <w:tmpl w:val="B65ED05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07A6DFB"/>
    <w:multiLevelType w:val="hybridMultilevel"/>
    <w:tmpl w:val="1C7ACFC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9" w15:restartNumberingAfterBreak="0">
    <w:nsid w:val="61FD0201"/>
    <w:multiLevelType w:val="hybridMultilevel"/>
    <w:tmpl w:val="08CA8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C107B1"/>
    <w:multiLevelType w:val="hybridMultilevel"/>
    <w:tmpl w:val="A17C9CEA"/>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1" w15:restartNumberingAfterBreak="0">
    <w:nsid w:val="66760D88"/>
    <w:multiLevelType w:val="hybridMultilevel"/>
    <w:tmpl w:val="8D2C61B8"/>
    <w:lvl w:ilvl="0" w:tplc="9B16466C">
      <w:start w:val="1"/>
      <w:numFmt w:val="bullet"/>
      <w:lvlText w:val="-"/>
      <w:lvlJc w:val="left"/>
      <w:pPr>
        <w:ind w:left="1428" w:hanging="360"/>
      </w:pPr>
      <w:rPr>
        <w:rFonts w:ascii="Times New Roman" w:hAnsi="Times New Roman" w:hint="default"/>
      </w:rPr>
    </w:lvl>
    <w:lvl w:ilvl="1" w:tplc="240C0003" w:tentative="1">
      <w:start w:val="1"/>
      <w:numFmt w:val="bullet"/>
      <w:lvlText w:val="o"/>
      <w:lvlJc w:val="left"/>
      <w:pPr>
        <w:ind w:left="2148" w:hanging="360"/>
      </w:pPr>
      <w:rPr>
        <w:rFonts w:ascii="Courier New" w:hAnsi="Courier New" w:cs="Courier New" w:hint="default"/>
      </w:rPr>
    </w:lvl>
    <w:lvl w:ilvl="2" w:tplc="240C0005" w:tentative="1">
      <w:start w:val="1"/>
      <w:numFmt w:val="bullet"/>
      <w:lvlText w:val=""/>
      <w:lvlJc w:val="left"/>
      <w:pPr>
        <w:ind w:left="2868" w:hanging="360"/>
      </w:pPr>
      <w:rPr>
        <w:rFonts w:ascii="Wingdings" w:hAnsi="Wingdings" w:hint="default"/>
      </w:rPr>
    </w:lvl>
    <w:lvl w:ilvl="3" w:tplc="240C0001" w:tentative="1">
      <w:start w:val="1"/>
      <w:numFmt w:val="bullet"/>
      <w:lvlText w:val=""/>
      <w:lvlJc w:val="left"/>
      <w:pPr>
        <w:ind w:left="3588" w:hanging="360"/>
      </w:pPr>
      <w:rPr>
        <w:rFonts w:ascii="Symbol" w:hAnsi="Symbol" w:hint="default"/>
      </w:rPr>
    </w:lvl>
    <w:lvl w:ilvl="4" w:tplc="240C0003" w:tentative="1">
      <w:start w:val="1"/>
      <w:numFmt w:val="bullet"/>
      <w:lvlText w:val="o"/>
      <w:lvlJc w:val="left"/>
      <w:pPr>
        <w:ind w:left="4308" w:hanging="360"/>
      </w:pPr>
      <w:rPr>
        <w:rFonts w:ascii="Courier New" w:hAnsi="Courier New" w:cs="Courier New" w:hint="default"/>
      </w:rPr>
    </w:lvl>
    <w:lvl w:ilvl="5" w:tplc="240C0005" w:tentative="1">
      <w:start w:val="1"/>
      <w:numFmt w:val="bullet"/>
      <w:lvlText w:val=""/>
      <w:lvlJc w:val="left"/>
      <w:pPr>
        <w:ind w:left="5028" w:hanging="360"/>
      </w:pPr>
      <w:rPr>
        <w:rFonts w:ascii="Wingdings" w:hAnsi="Wingdings" w:hint="default"/>
      </w:rPr>
    </w:lvl>
    <w:lvl w:ilvl="6" w:tplc="240C0001" w:tentative="1">
      <w:start w:val="1"/>
      <w:numFmt w:val="bullet"/>
      <w:lvlText w:val=""/>
      <w:lvlJc w:val="left"/>
      <w:pPr>
        <w:ind w:left="5748" w:hanging="360"/>
      </w:pPr>
      <w:rPr>
        <w:rFonts w:ascii="Symbol" w:hAnsi="Symbol" w:hint="default"/>
      </w:rPr>
    </w:lvl>
    <w:lvl w:ilvl="7" w:tplc="240C0003" w:tentative="1">
      <w:start w:val="1"/>
      <w:numFmt w:val="bullet"/>
      <w:lvlText w:val="o"/>
      <w:lvlJc w:val="left"/>
      <w:pPr>
        <w:ind w:left="6468" w:hanging="360"/>
      </w:pPr>
      <w:rPr>
        <w:rFonts w:ascii="Courier New" w:hAnsi="Courier New" w:cs="Courier New" w:hint="default"/>
      </w:rPr>
    </w:lvl>
    <w:lvl w:ilvl="8" w:tplc="240C0005" w:tentative="1">
      <w:start w:val="1"/>
      <w:numFmt w:val="bullet"/>
      <w:lvlText w:val=""/>
      <w:lvlJc w:val="left"/>
      <w:pPr>
        <w:ind w:left="7188" w:hanging="360"/>
      </w:pPr>
      <w:rPr>
        <w:rFonts w:ascii="Wingdings" w:hAnsi="Wingdings" w:hint="default"/>
      </w:rPr>
    </w:lvl>
  </w:abstractNum>
  <w:abstractNum w:abstractNumId="2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2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6" w15:restartNumberingAfterBreak="0">
    <w:nsid w:val="76DE637B"/>
    <w:multiLevelType w:val="hybridMultilevel"/>
    <w:tmpl w:val="4ABA3B12"/>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7" w15:restartNumberingAfterBreak="0">
    <w:nsid w:val="7AB0795C"/>
    <w:multiLevelType w:val="hybridMultilevel"/>
    <w:tmpl w:val="2B8621A4"/>
    <w:lvl w:ilvl="0" w:tplc="8B629AEE">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099833307">
    <w:abstractNumId w:val="23"/>
  </w:num>
  <w:num w:numId="2" w16cid:durableId="1955744479">
    <w:abstractNumId w:val="4"/>
  </w:num>
  <w:num w:numId="3" w16cid:durableId="1803187166">
    <w:abstractNumId w:val="14"/>
  </w:num>
  <w:num w:numId="4" w16cid:durableId="2012561152">
    <w:abstractNumId w:val="13"/>
  </w:num>
  <w:num w:numId="5" w16cid:durableId="72119812">
    <w:abstractNumId w:val="4"/>
    <w:lvlOverride w:ilvl="0">
      <w:startOverride w:val="2"/>
    </w:lvlOverride>
  </w:num>
  <w:num w:numId="6" w16cid:durableId="1499078921">
    <w:abstractNumId w:val="22"/>
  </w:num>
  <w:num w:numId="7" w16cid:durableId="1363094743">
    <w:abstractNumId w:val="11"/>
  </w:num>
  <w:num w:numId="8" w16cid:durableId="971324108">
    <w:abstractNumId w:val="29"/>
  </w:num>
  <w:num w:numId="9" w16cid:durableId="747506654">
    <w:abstractNumId w:val="12"/>
  </w:num>
  <w:num w:numId="10" w16cid:durableId="552623513">
    <w:abstractNumId w:val="8"/>
  </w:num>
  <w:num w:numId="11" w16cid:durableId="909968514">
    <w:abstractNumId w:val="24"/>
  </w:num>
  <w:num w:numId="12" w16cid:durableId="1783643664">
    <w:abstractNumId w:val="9"/>
  </w:num>
  <w:num w:numId="13" w16cid:durableId="1828672137">
    <w:abstractNumId w:val="15"/>
  </w:num>
  <w:num w:numId="14" w16cid:durableId="1570773387">
    <w:abstractNumId w:val="7"/>
  </w:num>
  <w:num w:numId="15" w16cid:durableId="720790621">
    <w:abstractNumId w:val="28"/>
  </w:num>
  <w:num w:numId="16" w16cid:durableId="561596130">
    <w:abstractNumId w:val="6"/>
  </w:num>
  <w:num w:numId="17" w16cid:durableId="963737106">
    <w:abstractNumId w:val="30"/>
  </w:num>
  <w:num w:numId="18" w16cid:durableId="195235568">
    <w:abstractNumId w:val="0"/>
  </w:num>
  <w:num w:numId="19" w16cid:durableId="168523930">
    <w:abstractNumId w:val="25"/>
  </w:num>
  <w:num w:numId="20" w16cid:durableId="1550919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1574477">
    <w:abstractNumId w:val="27"/>
  </w:num>
  <w:num w:numId="22" w16cid:durableId="273945860">
    <w:abstractNumId w:val="20"/>
  </w:num>
  <w:num w:numId="23" w16cid:durableId="2034720736">
    <w:abstractNumId w:val="2"/>
  </w:num>
  <w:num w:numId="24" w16cid:durableId="1563977089">
    <w:abstractNumId w:val="10"/>
  </w:num>
  <w:num w:numId="25" w16cid:durableId="2018194258">
    <w:abstractNumId w:val="3"/>
  </w:num>
  <w:num w:numId="26" w16cid:durableId="1664968055">
    <w:abstractNumId w:val="16"/>
  </w:num>
  <w:num w:numId="27" w16cid:durableId="1582333385">
    <w:abstractNumId w:val="1"/>
  </w:num>
  <w:num w:numId="28" w16cid:durableId="1364987182">
    <w:abstractNumId w:val="17"/>
  </w:num>
  <w:num w:numId="29" w16cid:durableId="450326233">
    <w:abstractNumId w:val="19"/>
  </w:num>
  <w:num w:numId="30" w16cid:durableId="1563905135">
    <w:abstractNumId w:val="26"/>
  </w:num>
  <w:num w:numId="31" w16cid:durableId="111099713">
    <w:abstractNumId w:val="5"/>
  </w:num>
  <w:num w:numId="32" w16cid:durableId="1956254776">
    <w:abstractNumId w:val="21"/>
  </w:num>
  <w:num w:numId="33" w16cid:durableId="173920941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77C6"/>
    <w:rsid w:val="000534B9"/>
    <w:rsid w:val="00055B71"/>
    <w:rsid w:val="00067A4A"/>
    <w:rsid w:val="000753B2"/>
    <w:rsid w:val="00075C28"/>
    <w:rsid w:val="000836DD"/>
    <w:rsid w:val="00085BE5"/>
    <w:rsid w:val="00096B53"/>
    <w:rsid w:val="000A1A2D"/>
    <w:rsid w:val="000A378C"/>
    <w:rsid w:val="000A5016"/>
    <w:rsid w:val="000B1571"/>
    <w:rsid w:val="000C14CC"/>
    <w:rsid w:val="000C7915"/>
    <w:rsid w:val="000D1B41"/>
    <w:rsid w:val="000E0623"/>
    <w:rsid w:val="000E1DEE"/>
    <w:rsid w:val="00117872"/>
    <w:rsid w:val="001239E9"/>
    <w:rsid w:val="0013597E"/>
    <w:rsid w:val="0014322D"/>
    <w:rsid w:val="00151659"/>
    <w:rsid w:val="001545C9"/>
    <w:rsid w:val="00160338"/>
    <w:rsid w:val="001632B0"/>
    <w:rsid w:val="0017001A"/>
    <w:rsid w:val="0017446A"/>
    <w:rsid w:val="00175802"/>
    <w:rsid w:val="00180CEE"/>
    <w:rsid w:val="00184F9E"/>
    <w:rsid w:val="00193F4F"/>
    <w:rsid w:val="00194970"/>
    <w:rsid w:val="00195035"/>
    <w:rsid w:val="001973EF"/>
    <w:rsid w:val="001A013F"/>
    <w:rsid w:val="001A229B"/>
    <w:rsid w:val="001B139B"/>
    <w:rsid w:val="001B4FB0"/>
    <w:rsid w:val="001B6CA3"/>
    <w:rsid w:val="001B7DB1"/>
    <w:rsid w:val="001C0A40"/>
    <w:rsid w:val="001C4E0F"/>
    <w:rsid w:val="001D5859"/>
    <w:rsid w:val="001D6FD0"/>
    <w:rsid w:val="001E0B54"/>
    <w:rsid w:val="001F4472"/>
    <w:rsid w:val="00203FF6"/>
    <w:rsid w:val="002050E2"/>
    <w:rsid w:val="00205F93"/>
    <w:rsid w:val="00211A79"/>
    <w:rsid w:val="00212368"/>
    <w:rsid w:val="0021254C"/>
    <w:rsid w:val="00213C86"/>
    <w:rsid w:val="0021448A"/>
    <w:rsid w:val="00214624"/>
    <w:rsid w:val="00215DD3"/>
    <w:rsid w:val="00221AD0"/>
    <w:rsid w:val="00222417"/>
    <w:rsid w:val="002232F3"/>
    <w:rsid w:val="00223C73"/>
    <w:rsid w:val="00243751"/>
    <w:rsid w:val="00243A56"/>
    <w:rsid w:val="0025086A"/>
    <w:rsid w:val="00251977"/>
    <w:rsid w:val="00261A70"/>
    <w:rsid w:val="00262187"/>
    <w:rsid w:val="00263803"/>
    <w:rsid w:val="00271CBE"/>
    <w:rsid w:val="00276391"/>
    <w:rsid w:val="00281573"/>
    <w:rsid w:val="00282284"/>
    <w:rsid w:val="002824A2"/>
    <w:rsid w:val="00297B78"/>
    <w:rsid w:val="002A1F15"/>
    <w:rsid w:val="002A4737"/>
    <w:rsid w:val="002B37D1"/>
    <w:rsid w:val="002B53B3"/>
    <w:rsid w:val="002B7D5A"/>
    <w:rsid w:val="002C4003"/>
    <w:rsid w:val="002D1EFB"/>
    <w:rsid w:val="002D5BA6"/>
    <w:rsid w:val="002E061F"/>
    <w:rsid w:val="002E06C0"/>
    <w:rsid w:val="002E31EB"/>
    <w:rsid w:val="002F37A8"/>
    <w:rsid w:val="00304334"/>
    <w:rsid w:val="00314662"/>
    <w:rsid w:val="003229BC"/>
    <w:rsid w:val="0033204F"/>
    <w:rsid w:val="0033376D"/>
    <w:rsid w:val="0034799E"/>
    <w:rsid w:val="0035668A"/>
    <w:rsid w:val="0036235B"/>
    <w:rsid w:val="003664E0"/>
    <w:rsid w:val="00367799"/>
    <w:rsid w:val="00374DCD"/>
    <w:rsid w:val="00375A5A"/>
    <w:rsid w:val="003803AC"/>
    <w:rsid w:val="00385990"/>
    <w:rsid w:val="00386AAB"/>
    <w:rsid w:val="00392334"/>
    <w:rsid w:val="00397FB3"/>
    <w:rsid w:val="003A2A22"/>
    <w:rsid w:val="003A7F39"/>
    <w:rsid w:val="003B0144"/>
    <w:rsid w:val="003C06CD"/>
    <w:rsid w:val="003C0B14"/>
    <w:rsid w:val="003D7DD9"/>
    <w:rsid w:val="003E2F76"/>
    <w:rsid w:val="00401416"/>
    <w:rsid w:val="00413425"/>
    <w:rsid w:val="004145B4"/>
    <w:rsid w:val="00416E0F"/>
    <w:rsid w:val="00425E03"/>
    <w:rsid w:val="00454A3C"/>
    <w:rsid w:val="0046721F"/>
    <w:rsid w:val="00467874"/>
    <w:rsid w:val="00472621"/>
    <w:rsid w:val="00473011"/>
    <w:rsid w:val="00475BF7"/>
    <w:rsid w:val="00476D16"/>
    <w:rsid w:val="00487AA6"/>
    <w:rsid w:val="00495502"/>
    <w:rsid w:val="004B0850"/>
    <w:rsid w:val="004B5180"/>
    <w:rsid w:val="004C0294"/>
    <w:rsid w:val="004C3576"/>
    <w:rsid w:val="004C709F"/>
    <w:rsid w:val="004C7DCF"/>
    <w:rsid w:val="004F327F"/>
    <w:rsid w:val="00503D7C"/>
    <w:rsid w:val="0051154E"/>
    <w:rsid w:val="00513514"/>
    <w:rsid w:val="0052583C"/>
    <w:rsid w:val="0052591D"/>
    <w:rsid w:val="0053045A"/>
    <w:rsid w:val="00536C49"/>
    <w:rsid w:val="00542E04"/>
    <w:rsid w:val="005441CA"/>
    <w:rsid w:val="00557219"/>
    <w:rsid w:val="0057243F"/>
    <w:rsid w:val="00573991"/>
    <w:rsid w:val="005975EE"/>
    <w:rsid w:val="0059776B"/>
    <w:rsid w:val="005A7D6C"/>
    <w:rsid w:val="005C33F3"/>
    <w:rsid w:val="005D080C"/>
    <w:rsid w:val="005D1C02"/>
    <w:rsid w:val="005E01AC"/>
    <w:rsid w:val="005F2003"/>
    <w:rsid w:val="005F41D2"/>
    <w:rsid w:val="005F4706"/>
    <w:rsid w:val="005F7219"/>
    <w:rsid w:val="00600DA7"/>
    <w:rsid w:val="006135D7"/>
    <w:rsid w:val="006166B1"/>
    <w:rsid w:val="00624F93"/>
    <w:rsid w:val="006272A9"/>
    <w:rsid w:val="00632933"/>
    <w:rsid w:val="00632EAC"/>
    <w:rsid w:val="00633898"/>
    <w:rsid w:val="0064646F"/>
    <w:rsid w:val="0067285B"/>
    <w:rsid w:val="006A46F9"/>
    <w:rsid w:val="006A4D22"/>
    <w:rsid w:val="006C4396"/>
    <w:rsid w:val="006D1CEE"/>
    <w:rsid w:val="006D5449"/>
    <w:rsid w:val="006E5D09"/>
    <w:rsid w:val="006E6324"/>
    <w:rsid w:val="006F289F"/>
    <w:rsid w:val="00700A4B"/>
    <w:rsid w:val="0070353A"/>
    <w:rsid w:val="00715AE9"/>
    <w:rsid w:val="00715E8A"/>
    <w:rsid w:val="0072670C"/>
    <w:rsid w:val="00731496"/>
    <w:rsid w:val="00733CC4"/>
    <w:rsid w:val="00741E35"/>
    <w:rsid w:val="007536C6"/>
    <w:rsid w:val="00764668"/>
    <w:rsid w:val="00764E84"/>
    <w:rsid w:val="0077036E"/>
    <w:rsid w:val="007749A0"/>
    <w:rsid w:val="00776F9D"/>
    <w:rsid w:val="00777353"/>
    <w:rsid w:val="007778B9"/>
    <w:rsid w:val="00785E76"/>
    <w:rsid w:val="007A262B"/>
    <w:rsid w:val="007A3149"/>
    <w:rsid w:val="007A3A3A"/>
    <w:rsid w:val="007A4576"/>
    <w:rsid w:val="007B186A"/>
    <w:rsid w:val="007C01E4"/>
    <w:rsid w:val="007D0B42"/>
    <w:rsid w:val="007E3C2A"/>
    <w:rsid w:val="0080343C"/>
    <w:rsid w:val="00803A94"/>
    <w:rsid w:val="00807F5E"/>
    <w:rsid w:val="00820445"/>
    <w:rsid w:val="0083528E"/>
    <w:rsid w:val="008367A0"/>
    <w:rsid w:val="008706E2"/>
    <w:rsid w:val="00874B20"/>
    <w:rsid w:val="00893F70"/>
    <w:rsid w:val="00895FAA"/>
    <w:rsid w:val="00896FEE"/>
    <w:rsid w:val="0089753C"/>
    <w:rsid w:val="008C4A21"/>
    <w:rsid w:val="008D7797"/>
    <w:rsid w:val="008E7E40"/>
    <w:rsid w:val="008F078F"/>
    <w:rsid w:val="008F0836"/>
    <w:rsid w:val="008F4769"/>
    <w:rsid w:val="008F4FD5"/>
    <w:rsid w:val="00900075"/>
    <w:rsid w:val="00920B80"/>
    <w:rsid w:val="00920BEE"/>
    <w:rsid w:val="00921701"/>
    <w:rsid w:val="00933EFC"/>
    <w:rsid w:val="00942EC8"/>
    <w:rsid w:val="00944FF0"/>
    <w:rsid w:val="009804F1"/>
    <w:rsid w:val="009852CA"/>
    <w:rsid w:val="009852D9"/>
    <w:rsid w:val="0098672F"/>
    <w:rsid w:val="00994D44"/>
    <w:rsid w:val="009A0DC1"/>
    <w:rsid w:val="009A7C3A"/>
    <w:rsid w:val="009B21BB"/>
    <w:rsid w:val="009B4B2F"/>
    <w:rsid w:val="009C0EF9"/>
    <w:rsid w:val="009C3B9A"/>
    <w:rsid w:val="009D0D3D"/>
    <w:rsid w:val="009E49AE"/>
    <w:rsid w:val="00A04626"/>
    <w:rsid w:val="00A04E33"/>
    <w:rsid w:val="00A14400"/>
    <w:rsid w:val="00A14D53"/>
    <w:rsid w:val="00A20192"/>
    <w:rsid w:val="00A379B8"/>
    <w:rsid w:val="00A42E3E"/>
    <w:rsid w:val="00A533CE"/>
    <w:rsid w:val="00A65D6A"/>
    <w:rsid w:val="00A71FDE"/>
    <w:rsid w:val="00A87563"/>
    <w:rsid w:val="00AA0CBE"/>
    <w:rsid w:val="00AA2056"/>
    <w:rsid w:val="00AB137C"/>
    <w:rsid w:val="00AB1DAB"/>
    <w:rsid w:val="00AD58AC"/>
    <w:rsid w:val="00AE6A1F"/>
    <w:rsid w:val="00B058DA"/>
    <w:rsid w:val="00B21C66"/>
    <w:rsid w:val="00B24F54"/>
    <w:rsid w:val="00B33F78"/>
    <w:rsid w:val="00B35CCE"/>
    <w:rsid w:val="00B40BA7"/>
    <w:rsid w:val="00B41B89"/>
    <w:rsid w:val="00B434A1"/>
    <w:rsid w:val="00B55977"/>
    <w:rsid w:val="00B62E1E"/>
    <w:rsid w:val="00B64CF6"/>
    <w:rsid w:val="00BB103A"/>
    <w:rsid w:val="00BB7268"/>
    <w:rsid w:val="00BC5F74"/>
    <w:rsid w:val="00BE0547"/>
    <w:rsid w:val="00C048D9"/>
    <w:rsid w:val="00C077D9"/>
    <w:rsid w:val="00C20B78"/>
    <w:rsid w:val="00C23AA4"/>
    <w:rsid w:val="00C25390"/>
    <w:rsid w:val="00C32464"/>
    <w:rsid w:val="00C33378"/>
    <w:rsid w:val="00C33BE2"/>
    <w:rsid w:val="00C34AC0"/>
    <w:rsid w:val="00C45156"/>
    <w:rsid w:val="00C45EFE"/>
    <w:rsid w:val="00C55D53"/>
    <w:rsid w:val="00C667A9"/>
    <w:rsid w:val="00C678B8"/>
    <w:rsid w:val="00C72B94"/>
    <w:rsid w:val="00C72D78"/>
    <w:rsid w:val="00C775E7"/>
    <w:rsid w:val="00C85114"/>
    <w:rsid w:val="00C85B69"/>
    <w:rsid w:val="00C874BD"/>
    <w:rsid w:val="00C91137"/>
    <w:rsid w:val="00C913B3"/>
    <w:rsid w:val="00C93255"/>
    <w:rsid w:val="00C93621"/>
    <w:rsid w:val="00CA46EC"/>
    <w:rsid w:val="00CA7A0A"/>
    <w:rsid w:val="00CB5120"/>
    <w:rsid w:val="00CE033F"/>
    <w:rsid w:val="00CE1724"/>
    <w:rsid w:val="00CE7883"/>
    <w:rsid w:val="00CF0222"/>
    <w:rsid w:val="00CF40E1"/>
    <w:rsid w:val="00CF7C26"/>
    <w:rsid w:val="00D07797"/>
    <w:rsid w:val="00D10A89"/>
    <w:rsid w:val="00D357E9"/>
    <w:rsid w:val="00D41E24"/>
    <w:rsid w:val="00D447EB"/>
    <w:rsid w:val="00D44A3B"/>
    <w:rsid w:val="00D46D27"/>
    <w:rsid w:val="00D50BEA"/>
    <w:rsid w:val="00D652E1"/>
    <w:rsid w:val="00D6578E"/>
    <w:rsid w:val="00D707B6"/>
    <w:rsid w:val="00D71303"/>
    <w:rsid w:val="00D84B77"/>
    <w:rsid w:val="00D9136D"/>
    <w:rsid w:val="00D913B2"/>
    <w:rsid w:val="00D97B74"/>
    <w:rsid w:val="00DB00F2"/>
    <w:rsid w:val="00DC1553"/>
    <w:rsid w:val="00DC5B1E"/>
    <w:rsid w:val="00DC7B65"/>
    <w:rsid w:val="00DD1C62"/>
    <w:rsid w:val="00DE1076"/>
    <w:rsid w:val="00DF01C6"/>
    <w:rsid w:val="00DF1F28"/>
    <w:rsid w:val="00DF3CD1"/>
    <w:rsid w:val="00E1197D"/>
    <w:rsid w:val="00E138D8"/>
    <w:rsid w:val="00E169F8"/>
    <w:rsid w:val="00E17A82"/>
    <w:rsid w:val="00E22E26"/>
    <w:rsid w:val="00E410FD"/>
    <w:rsid w:val="00E417BB"/>
    <w:rsid w:val="00E41E2D"/>
    <w:rsid w:val="00E451B0"/>
    <w:rsid w:val="00E535C1"/>
    <w:rsid w:val="00E55995"/>
    <w:rsid w:val="00E631BA"/>
    <w:rsid w:val="00E66A7C"/>
    <w:rsid w:val="00E67B3E"/>
    <w:rsid w:val="00E7022B"/>
    <w:rsid w:val="00E72293"/>
    <w:rsid w:val="00E722BA"/>
    <w:rsid w:val="00E75AC9"/>
    <w:rsid w:val="00E8612D"/>
    <w:rsid w:val="00EB72C1"/>
    <w:rsid w:val="00EC18C3"/>
    <w:rsid w:val="00EC46A1"/>
    <w:rsid w:val="00EC69E6"/>
    <w:rsid w:val="00ED5EA4"/>
    <w:rsid w:val="00ED6E54"/>
    <w:rsid w:val="00EE03A0"/>
    <w:rsid w:val="00EE29E2"/>
    <w:rsid w:val="00EE468D"/>
    <w:rsid w:val="00EF1EFC"/>
    <w:rsid w:val="00EF2884"/>
    <w:rsid w:val="00EF7CB8"/>
    <w:rsid w:val="00F023A4"/>
    <w:rsid w:val="00F04881"/>
    <w:rsid w:val="00F07FD9"/>
    <w:rsid w:val="00F15AED"/>
    <w:rsid w:val="00F230FA"/>
    <w:rsid w:val="00F23C85"/>
    <w:rsid w:val="00F26534"/>
    <w:rsid w:val="00F27842"/>
    <w:rsid w:val="00F30294"/>
    <w:rsid w:val="00F30E69"/>
    <w:rsid w:val="00F331D4"/>
    <w:rsid w:val="00F338FE"/>
    <w:rsid w:val="00F406DB"/>
    <w:rsid w:val="00F41DD7"/>
    <w:rsid w:val="00F51636"/>
    <w:rsid w:val="00F55264"/>
    <w:rsid w:val="00F71A96"/>
    <w:rsid w:val="00F727B5"/>
    <w:rsid w:val="00F8158C"/>
    <w:rsid w:val="00F96D74"/>
    <w:rsid w:val="00F971CA"/>
    <w:rsid w:val="00FB321B"/>
    <w:rsid w:val="00FB4DBA"/>
    <w:rsid w:val="00FC2718"/>
    <w:rsid w:val="00FC59A9"/>
    <w:rsid w:val="00FD0EDC"/>
    <w:rsid w:val="00FD486D"/>
    <w:rsid w:val="00FD4D56"/>
    <w:rsid w:val="00FD703E"/>
    <w:rsid w:val="00FE1D6D"/>
    <w:rsid w:val="00FE552B"/>
    <w:rsid w:val="031BE976"/>
    <w:rsid w:val="2E0E1CA7"/>
    <w:rsid w:val="4095EB5A"/>
    <w:rsid w:val="6339FE75"/>
    <w:rsid w:val="646F5E8E"/>
    <w:rsid w:val="6F178AE9"/>
    <w:rsid w:val="7F000E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1"/>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1"/>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1"/>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1"/>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link w:val="Titre2"/>
    <w:uiPriority w:val="9"/>
    <w:rsid w:val="000753B2"/>
    <w:rPr>
      <w:rFonts w:eastAsia="Times New Roman"/>
      <w:b/>
      <w:color w:val="D81A1A"/>
      <w:sz w:val="28"/>
      <w:szCs w:val="26"/>
      <w:lang w:eastAsia="en-US"/>
    </w:rPr>
  </w:style>
  <w:style w:type="character" w:customStyle="1" w:styleId="Titre3Car">
    <w:name w:val="Titre 3 Car"/>
    <w:aliases w:val="Car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B1DAB"/>
    <w:pPr>
      <w:ind w:left="720"/>
      <w:contextualSpacing/>
    </w:pPr>
  </w:style>
  <w:style w:type="character" w:customStyle="1" w:styleId="Titre4Car">
    <w:name w:val="Titre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1"/>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1"/>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1"/>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1"/>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customStyle="1" w:styleId="CTBCorpsdetexte">
    <w:name w:val="CTB Corps de texte"/>
    <w:basedOn w:val="Normal"/>
    <w:link w:val="CTBCorpsdetexteCar"/>
    <w:uiPriority w:val="99"/>
    <w:qFormat/>
    <w:rsid w:val="00263803"/>
    <w:pPr>
      <w:widowControl w:val="0"/>
      <w:suppressAutoHyphens/>
      <w:spacing w:before="120" w:after="60" w:line="288" w:lineRule="auto"/>
      <w:jc w:val="both"/>
    </w:pPr>
    <w:rPr>
      <w:rFonts w:ascii="Arial" w:eastAsia="Times New Roman" w:hAnsi="Arial"/>
      <w:color w:val="auto"/>
      <w:kern w:val="18"/>
      <w:sz w:val="20"/>
      <w:szCs w:val="20"/>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rsid w:val="00263803"/>
    <w:rPr>
      <w:rFonts w:ascii="Georgia" w:hAnsi="Georgia"/>
      <w:color w:val="585756"/>
      <w:sz w:val="21"/>
      <w:szCs w:val="22"/>
      <w:lang w:eastAsia="en-US"/>
    </w:rPr>
  </w:style>
  <w:style w:type="character" w:customStyle="1" w:styleId="CTBCorpsdetexteCar">
    <w:name w:val="CTB Corps de texte Car"/>
    <w:link w:val="CTBCorpsdetexte"/>
    <w:uiPriority w:val="99"/>
    <w:locked/>
    <w:rsid w:val="00263803"/>
    <w:rPr>
      <w:rFonts w:ascii="Arial" w:eastAsia="Times New Roman" w:hAnsi="Arial"/>
      <w:kern w:val="18"/>
      <w:lang w:eastAsia="en-US"/>
    </w:rPr>
  </w:style>
  <w:style w:type="paragraph" w:styleId="Rvision">
    <w:name w:val="Revision"/>
    <w:hidden/>
    <w:uiPriority w:val="99"/>
    <w:semiHidden/>
    <w:rsid w:val="00C874BD"/>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abelintegrity.be/" TargetMode="External"/><Relationship Id="rId26" Type="http://schemas.openxmlformats.org/officeDocument/2006/relationships/hyperlink" Target="http://hdr.undp.org/en/countries/profiles/COD"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c.europa.eu/international%20partnerships/system/files/per_diem_rates_20191218.pdf" TargetMode="External"/><Relationship Id="rId34" Type="http://schemas.openxmlformats.org/officeDocument/2006/relationships/hyperlink" Target="https://eeas.europa.eu/headquarters/headquarters-homepage/8442/consolidated-list-sanction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mailto:info.cdcdck@minfin.fed.be" TargetMode="External"/><Relationship Id="rId33" Type="http://schemas.openxmlformats.org/officeDocument/2006/relationships/hyperlink" Target="https://finances.belgium.be/fr/tresorerie/sanctions-financieres/sanctions-europ%C3%A9ennes-ue"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nabel.be/fr/content/declaration-de-confidentialite-denabel" TargetMode="External"/><Relationship Id="rId20" Type="http://schemas.openxmlformats.org/officeDocument/2006/relationships/hyperlink" Target="http://www.enabel.be" TargetMode="External"/><Relationship Id="rId29" Type="http://schemas.openxmlformats.org/officeDocument/2006/relationships/hyperlink" Target="https://documentcloud.adobe.com/link/track?uri=urn:aaid:scds:US:412289af-39d0-4646-b070-5cfed3760a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sites/default/files/01_marche_public.pdf" TargetMode="External"/><Relationship Id="rId32" Type="http://schemas.openxmlformats.org/officeDocument/2006/relationships/hyperlink" Target="https://finances.belgium.be/fr/tresorerie/sanctions-financieres/sanctions-internationales-nations-uni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abel.be/fr/content/lethique-enabel" TargetMode="External"/><Relationship Id="rId23" Type="http://schemas.openxmlformats.org/officeDocument/2006/relationships/hyperlink" Target="mailto:stephane.cytryn@enabel.be" TargetMode="External"/><Relationship Id="rId28" Type="http://schemas.openxmlformats.org/officeDocument/2006/relationships/hyperlink" Target="https://www.cafi.org/fr/pays-partenaires/democratic-republic-congo/fonds-national-redd" TargetMode="External"/><Relationship Id="rId36"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endnotes" Target="endnotes.xml"/><Relationship Id="rId19" Type="http://schemas.openxmlformats.org/officeDocument/2006/relationships/hyperlink" Target="http://www.enabel.be" TargetMode="External"/><Relationship Id="rId31" Type="http://schemas.openxmlformats.org/officeDocument/2006/relationships/hyperlink" Target="https://documentcloud.adobe.com/link/track?uri=urn:aaid:scds:US:c52ab6a5-6134-4fed-9596-107f7daf6f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ocurement.cod@enabel.be" TargetMode="External"/><Relationship Id="rId27" Type="http://schemas.openxmlformats.org/officeDocument/2006/relationships/hyperlink" Target="https://www.cafi.org/fr/node/213" TargetMode="External"/><Relationship Id="rId30" Type="http://schemas.openxmlformats.org/officeDocument/2006/relationships/hyperlink" Target="https://documentcloud.adobe.com/link/track?uri=urn:aaid:scds:US:3b918624-1fb2-4708-9199-e591dcdfe19b" TargetMode="External"/><Relationship Id="rId35" Type="http://schemas.openxmlformats.org/officeDocument/2006/relationships/hyperlink" Target="https://eeas.europa.eu/sites/eeas/files/restrictive_measures-2017-01-17-clea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53</Value>
      <Value>325</Value>
      <Value>1</Value>
      <Value>7</Value>
    </TaxCatchAll>
    <_dlc_DocId xmlns="508ba6eb-9e09-4fd5-92f2-2d9921329f2d">CODENABEL-1382660127-23774</_dlc_DocId>
    <_dlc_DocIdUrl xmlns="508ba6eb-9e09-4fd5-92f2-2d9921329f2d">
      <Url>https://enabelbe.sharepoint.com/sites/COD/_layouts/15/DocIdRedir.aspx?ID=CODENABEL-1382660127-23774</Url>
      <Description>CODENABEL-1382660127-23774</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RDC182081T</TermName>
          <TermId xmlns="http://schemas.microsoft.com/office/infopath/2007/PartnerControls">1535814e-e896-4456-8772-ab406453967b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RDC182081T-10136</TermName>
          <TermId xmlns="http://schemas.microsoft.com/office/infopath/2007/PartnerControls">5a8e27ef-02f4-476e-9a78-5261f5c6dfa7</TermId>
        </TermInfo>
      </Terms>
    </l9d65098618b4a8fbbe87718e7187e6b>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15d78002-bc9c-4a72-9b22-72c074cbc93f"/>
    <ds:schemaRef ds:uri="508ba6eb-9e09-4fd5-92f2-2d9921329f2d"/>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4FD4870C-46CD-4D4C-AB47-56BAF7AEC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19</TotalTime>
  <Pages>44</Pages>
  <Words>15474</Words>
  <Characters>85108</Characters>
  <Application>Microsoft Office Word</Application>
  <DocSecurity>0</DocSecurity>
  <Lines>709</Lines>
  <Paragraphs>200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4</cp:revision>
  <cp:lastPrinted>2023-04-07T11:30:00Z</cp:lastPrinted>
  <dcterms:created xsi:type="dcterms:W3CDTF">2023-04-07T11:28:00Z</dcterms:created>
  <dcterms:modified xsi:type="dcterms:W3CDTF">2023-04-07T11:40:00Z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da44ba44-b9bf-48f7-9158-a574742e6b78</vt:lpwstr>
  </property>
  <property fmtid="{D5CDD505-2E9C-101B-9397-08002B2CF9AE}" pid="7" name="Contract_reference">
    <vt:lpwstr>325</vt:lpwstr>
  </property>
  <property fmtid="{D5CDD505-2E9C-101B-9397-08002B2CF9AE}" pid="8" name="Project_code">
    <vt:lpwstr>53</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ies>
</file>