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BDDD" w14:textId="543C2749" w:rsidR="00F20AF6" w:rsidRPr="00826D51" w:rsidRDefault="00826D51" w:rsidP="00826D51">
      <w:pPr>
        <w:pStyle w:val="Titre2"/>
        <w:spacing w:after="120"/>
        <w:rPr>
          <w:rFonts w:ascii="Georgia" w:eastAsia="Times New Roman" w:hAnsi="Georgia" w:cs="Times New Roman"/>
          <w:b/>
          <w:iCs/>
          <w:color w:val="auto"/>
          <w:u w:val="single"/>
        </w:rPr>
      </w:pPr>
      <w:r w:rsidRPr="00826D51">
        <w:rPr>
          <w:rFonts w:ascii="Georgia" w:eastAsia="Times New Roman" w:hAnsi="Georgia" w:cs="Times New Roman"/>
          <w:b/>
          <w:iCs/>
          <w:color w:val="auto"/>
          <w:u w:val="single"/>
        </w:rPr>
        <w:t xml:space="preserve">ANNEXE II- BORDEREAU DE PRIX UNITAIRES </w:t>
      </w:r>
    </w:p>
    <w:p w14:paraId="700785C6" w14:textId="77777777" w:rsidR="00F20AF6" w:rsidRPr="00F93D15" w:rsidRDefault="00F20AF6" w:rsidP="00F20AF6">
      <w:pPr>
        <w:pStyle w:val="BTCtextCTB"/>
        <w:rPr>
          <w:rFonts w:ascii="Georgia" w:eastAsia="Calibri" w:hAnsi="Georgia"/>
          <w:b/>
          <w:bCs/>
          <w:sz w:val="21"/>
          <w:szCs w:val="21"/>
        </w:rPr>
      </w:pPr>
      <w:r w:rsidRPr="00F93D15">
        <w:rPr>
          <w:rFonts w:ascii="Georgia" w:eastAsia="Calibri" w:hAnsi="Georgia"/>
          <w:b/>
          <w:bCs/>
          <w:sz w:val="21"/>
          <w:szCs w:val="21"/>
        </w:rPr>
        <w:t>APPLICATION DU BORDEREAU DE PRIX UNITAIRES</w:t>
      </w:r>
    </w:p>
    <w:p w14:paraId="6BA3E980"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L’expression « Bordereau de Prix Unitaires » implique l’application sans restriction des règlements et normes en vigueur au Mali, sans qu’il soit nécessaire d’y faire référence, et leur application ne peut être dissocié des dossiers de plans et documents auxquels font référence les pièces contractuelles.</w:t>
      </w:r>
    </w:p>
    <w:p w14:paraId="0A41B4FC"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Les spécifications du Bordereau De Prix pourront préciser ou compléter les prescriptions de ces documents, étant bien entendu que celles-ci sont des prescriptions minimales au-dessous desquelles aucune dérogation ne sera admise, sauf stipulation explicite avec référence du texte auquel il est dérogé.</w:t>
      </w:r>
    </w:p>
    <w:p w14:paraId="15C8E72A"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Les prescriptions techniques particulières et Bordereau de Prix donnent une description aussi complète que possible des travaux à exécuter, dans le but de permettre à l’Entrepreneur d’interpréter les plans, de préciser la nature des matériaux à employer et de déterminer les particularités de fabrication et de mise en œuvre. Ces prescriptions ne peuvent prétendre à une description complète et parfaite des travaux et il convient de souligner que cette description des travaux n’a pas un caractère limitatif.</w:t>
      </w:r>
    </w:p>
    <w:p w14:paraId="5758F1E6"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L’Entrepreneur devra exécuter sans exception ni réserves, tous les travaux de sa profession, et aura donc compris dans son marché, non seulement les travaux et fournitures décrits dans ces documents, mais encore ceux qui auraient pu échapper aux détails de la description et qui sont indispensables pour le complet achèvement des ouvrages de son corps d’état, suivant les plans remis et les règles de l’art.</w:t>
      </w:r>
    </w:p>
    <w:p w14:paraId="0A44F4E0"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De même, les travaux prévus aux pièces écrites et chiffrés du marché et qui ne figurent pas dans les plans sont dus par l’Entrepreneur et compris dans les prix.</w:t>
      </w:r>
    </w:p>
    <w:p w14:paraId="1272F392"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En conséquence, l’Entrepreneur ne pourra jamais arguer que des erreurs ou omissions aux plans et Bordereau De Prix puissent le dispenser d’exécuter tous les travaux de son corps d’état, ou fassent l’objet d’une demande supplémentaire de prix.</w:t>
      </w:r>
    </w:p>
    <w:p w14:paraId="5EF6D25F"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En outre, il suppose que toute Entreprise est censée :</w:t>
      </w:r>
    </w:p>
    <w:p w14:paraId="3DF17867"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S’être rendue sur les lieux.</w:t>
      </w:r>
    </w:p>
    <w:p w14:paraId="73A4E4DA"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S’être rendu compte de la situation géographique des lieux de réalisation des ouvrages.</w:t>
      </w:r>
    </w:p>
    <w:p w14:paraId="17EC6C72"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L’Entrepreneur devra prendre connaissance du Bordereau de prix des autres corps d’état, de façon à assurer la parfaite coordination dans ses interventions respectives, et connaître exactement la limite de fournitures, et signaler les omissions qu’il aurait constaté et les dispositions détaillées qu’il aurait lieu de prendre pour y remédier.</w:t>
      </w:r>
    </w:p>
    <w:p w14:paraId="6408FE98" w14:textId="77777777" w:rsidR="00F20AF6" w:rsidRPr="00F93D15" w:rsidRDefault="00F20AF6" w:rsidP="00F20AF6">
      <w:pPr>
        <w:pStyle w:val="BTCtextCTB"/>
        <w:spacing w:before="0"/>
        <w:rPr>
          <w:rFonts w:ascii="Georgia" w:eastAsia="Calibri" w:hAnsi="Georgia"/>
          <w:sz w:val="21"/>
          <w:szCs w:val="21"/>
        </w:rPr>
      </w:pPr>
      <w:r w:rsidRPr="00F93D15">
        <w:rPr>
          <w:rFonts w:ascii="Georgia" w:eastAsia="Calibri" w:hAnsi="Georgia"/>
          <w:sz w:val="21"/>
          <w:szCs w:val="21"/>
        </w:rPr>
        <w:t>Conformément aux CT, la rémunération des prestations énumérées ci-dessous sont comprises dans les prix de l’offre du Soumissionnaire, à savoir :</w:t>
      </w:r>
    </w:p>
    <w:p w14:paraId="481BFB5D"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relatifs à l'établissement et au suivi du Plan d’Assurance Qualité (PAQ) et du Plan d’Hygiène, Sécurité et Environnement (PHSE) ;</w:t>
      </w:r>
    </w:p>
    <w:p w14:paraId="72B254DB" w14:textId="3E6E45CD" w:rsidR="00FF2A2F" w:rsidRDefault="00FF2A2F"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relatif</w:t>
      </w:r>
      <w:r>
        <w:rPr>
          <w:rFonts w:ascii="Georgia" w:eastAsia="Calibri" w:hAnsi="Georgia"/>
          <w:sz w:val="21"/>
          <w:szCs w:val="21"/>
        </w:rPr>
        <w:t>s</w:t>
      </w:r>
      <w:r w:rsidRPr="00F93D15">
        <w:rPr>
          <w:rFonts w:ascii="Georgia" w:eastAsia="Calibri" w:hAnsi="Georgia"/>
          <w:sz w:val="21"/>
          <w:szCs w:val="21"/>
        </w:rPr>
        <w:t xml:space="preserve"> la mise en œuvre d</w:t>
      </w:r>
      <w:r>
        <w:rPr>
          <w:rFonts w:ascii="Georgia" w:eastAsia="Calibri" w:hAnsi="Georgia"/>
          <w:sz w:val="21"/>
          <w:szCs w:val="21"/>
        </w:rPr>
        <w:t>’</w:t>
      </w:r>
      <w:r w:rsidRPr="00F93D15">
        <w:rPr>
          <w:rFonts w:ascii="Georgia" w:eastAsia="Calibri" w:hAnsi="Georgia"/>
          <w:sz w:val="21"/>
          <w:szCs w:val="21"/>
        </w:rPr>
        <w:t>u</w:t>
      </w:r>
      <w:r>
        <w:rPr>
          <w:rFonts w:ascii="Georgia" w:eastAsia="Calibri" w:hAnsi="Georgia"/>
          <w:sz w:val="21"/>
          <w:szCs w:val="21"/>
        </w:rPr>
        <w:t>ne Notice d’Impact Environnementale et Sociale (NIES)</w:t>
      </w:r>
    </w:p>
    <w:p w14:paraId="790E2305" w14:textId="31ED2BB4"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transport, de dédouanement, taxes et transit des matériels et équipements importés par l’Entrepreneur ;</w:t>
      </w:r>
    </w:p>
    <w:p w14:paraId="2E625DD8"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contrôles et d’essais demandés par le pouvoir adjudicateur du fait de l'exécution d'ouvrages présentant des vices de construction ;</w:t>
      </w:r>
    </w:p>
    <w:p w14:paraId="0EB6F805"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dépenses relatives à la sécurité des biens et des personnes ;</w:t>
      </w:r>
    </w:p>
    <w:p w14:paraId="1C559569"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dépenses dues aux pertes, avaries ou dommages, ou pertes de temps causées par les conditions climatiques ;</w:t>
      </w:r>
    </w:p>
    <w:p w14:paraId="1A519C76"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dépenses générées par la mise en œuvre de mesures concernant la protection de l'environnement (protection contre la pollution des eaux, gestion des déchets de chantier, etc.) ;</w:t>
      </w:r>
    </w:p>
    <w:p w14:paraId="47EC2100"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Toutes les dispositions ou constructions que l’Entrepreneur jugera nécessaire pour assurer la protection des ouvrages en cours de réalisation, notamment vis-à-vis des aléas climatiques (inondations), ceci avant la réception provisoire ;</w:t>
      </w:r>
    </w:p>
    <w:p w14:paraId="48BAD770"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t>Tous les frais de reconnaissances géotechniques nécessaires à l’exécution des ouvrages ;</w:t>
      </w:r>
    </w:p>
    <w:p w14:paraId="42E7C6BE" w14:textId="77777777" w:rsidR="00F20AF6" w:rsidRPr="00F93D15" w:rsidRDefault="00F20AF6" w:rsidP="00F20AF6">
      <w:pPr>
        <w:pStyle w:val="BTCtextCTB"/>
        <w:numPr>
          <w:ilvl w:val="0"/>
          <w:numId w:val="12"/>
        </w:numPr>
        <w:spacing w:before="0"/>
        <w:rPr>
          <w:rFonts w:ascii="Georgia" w:eastAsia="Calibri" w:hAnsi="Georgia"/>
          <w:sz w:val="21"/>
          <w:szCs w:val="21"/>
        </w:rPr>
      </w:pPr>
      <w:r w:rsidRPr="00F93D15">
        <w:rPr>
          <w:rFonts w:ascii="Georgia" w:eastAsia="Calibri" w:hAnsi="Georgia"/>
          <w:sz w:val="21"/>
          <w:szCs w:val="21"/>
        </w:rPr>
        <w:lastRenderedPageBreak/>
        <w:t>L’intervention de laboratoires dans le cadre du contrôle des études et des travaux, et notamment la validation des études géotechniques et des notes de dimensionnement des fondations des ouvrages, ainsi que la supervision des essais de chantier (essais d’écrasement, essais de compacité, essais d’étanchéité, etc.), ceci conformément aux divers articles du CT ;</w:t>
      </w:r>
    </w:p>
    <w:p w14:paraId="50C045CF"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Toutes les dépenses liées à l’élaboration des études d’exécution et à l’établissement des dossiers de récolement : levés topographiques, plans, notes de calculs, sondages, formulation des bétons, procédures d’exécution, méthodes de travaux, etc. ;</w:t>
      </w:r>
    </w:p>
    <w:p w14:paraId="7B42E76B"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liés à la réalisation d’une modélisation hydraulique des réseaux projetés à l’aide d’un modèle mathématique, notamment pour vérifier l’alimentation gravitaire du réseau de distribution depuis les sites d’implantation retenus des ouvrages de stockage ;</w:t>
      </w:r>
    </w:p>
    <w:p w14:paraId="50B4F02D"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liés à l’exécution des sondages dans les terrains nécessaires au repérage du réseau d’eau potable existant et des réseaux des autres concessionnaires ;</w:t>
      </w:r>
    </w:p>
    <w:p w14:paraId="486ED560"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liés à l’assèchement des fouilles et quel que soit le débit de pompage, y compris toutes sujétions liées au fonctionnement du pompage, notamment l’alimentation électrique et l’évacuation des eaux pompées ;</w:t>
      </w:r>
    </w:p>
    <w:p w14:paraId="5EFC9459"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liés à la protection, au maintien en service et au déplacement des réseaux existants (eau potable, télécommunication, électricité, etc.) ;</w:t>
      </w:r>
    </w:p>
    <w:p w14:paraId="1AD3F752"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relatifs aux travaux de terrassement, et ceci quelle que soit la nature du terrain (notamment en présence de terrains durs et de sols hydromorphes) et la profondeur de la tranchée (sur profondeurs nécessitées par le franchissement d’obstacles) ;</w:t>
      </w:r>
    </w:p>
    <w:p w14:paraId="50C3C839"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frais de transport et de mise en décharge définitive des gravats et des déblais non réutilisables, ceci quelle que soit la distance de la décharge ;</w:t>
      </w:r>
    </w:p>
    <w:p w14:paraId="01E51ED5" w14:textId="77777777" w:rsidR="00F20AF6" w:rsidRPr="00F93D15" w:rsidRDefault="00F20AF6" w:rsidP="00F20AF6">
      <w:pPr>
        <w:pStyle w:val="BTCtextCTB"/>
        <w:numPr>
          <w:ilvl w:val="0"/>
          <w:numId w:val="13"/>
        </w:numPr>
        <w:spacing w:before="0"/>
        <w:rPr>
          <w:rFonts w:ascii="Georgia" w:eastAsia="Calibri" w:hAnsi="Georgia"/>
          <w:sz w:val="21"/>
          <w:szCs w:val="21"/>
        </w:rPr>
      </w:pPr>
      <w:r w:rsidRPr="00F93D15">
        <w:rPr>
          <w:rFonts w:ascii="Georgia" w:eastAsia="Calibri" w:hAnsi="Georgia"/>
          <w:sz w:val="21"/>
          <w:szCs w:val="21"/>
        </w:rPr>
        <w:t>Tous les coûts relatifs à la mise en œuvre d’un blindage métallique des parois de la fouille ou autre mode de soutènement adéquat ;</w:t>
      </w:r>
    </w:p>
    <w:p w14:paraId="4DDC88FA" w14:textId="77777777" w:rsidR="00F20AF6" w:rsidRPr="00273900" w:rsidRDefault="00F20AF6" w:rsidP="00F20AF6">
      <w:pPr>
        <w:pStyle w:val="BTCtextCTB"/>
        <w:numPr>
          <w:ilvl w:val="0"/>
          <w:numId w:val="13"/>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Tous les frais imputables aux franchissements d’obstacles présents sur le tracé des canalisations (dalots, fossés, réseaux existants, ponts, cours d’eau, zones humides, zones inondables, etc.) ;</w:t>
      </w:r>
    </w:p>
    <w:p w14:paraId="207FB01F" w14:textId="77777777" w:rsidR="00F20AF6" w:rsidRPr="00273900" w:rsidRDefault="00F20AF6" w:rsidP="00F20AF6">
      <w:pPr>
        <w:pStyle w:val="BTCtextCTB"/>
        <w:numPr>
          <w:ilvl w:val="0"/>
          <w:numId w:val="14"/>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Toutes les dépenses concernant les aménagements d’exutoire nécessaires à une évacuation gravitaire des eaux de vidange ;</w:t>
      </w:r>
    </w:p>
    <w:p w14:paraId="5D9462D0" w14:textId="77777777" w:rsidR="00F20AF6" w:rsidRPr="00273900" w:rsidRDefault="00F20AF6" w:rsidP="00F20AF6">
      <w:pPr>
        <w:pStyle w:val="BTCtextCTB"/>
        <w:numPr>
          <w:ilvl w:val="0"/>
          <w:numId w:val="14"/>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Tous les coûts induits par d’éventuelles réfections de la chaussée bitumée ou latéritique et de ses ouvrages connexes, tels que les ponts, bordures, talus, accotements, fossés, caniveaux, etc., à la suite de dégradations causées par l’exécution des travaux prévus au Marché ;</w:t>
      </w:r>
    </w:p>
    <w:p w14:paraId="209F9F54" w14:textId="77777777" w:rsidR="00F20AF6" w:rsidRPr="00273900" w:rsidRDefault="00F20AF6" w:rsidP="00F20AF6">
      <w:pPr>
        <w:pStyle w:val="BTCtextCTB"/>
        <w:numPr>
          <w:ilvl w:val="0"/>
          <w:numId w:val="14"/>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Tous les frais nécessaires à l’obtention des autorisations administratives nécessaires à l’exécution des travaux (pose sous chaussée et traversées, franchissements de pont, stockages temporaires et définitifs, déviation du trafic, etc.) ;</w:t>
      </w:r>
    </w:p>
    <w:p w14:paraId="26B02439" w14:textId="77777777" w:rsidR="00F20AF6" w:rsidRPr="00273900" w:rsidRDefault="00F20AF6" w:rsidP="00F20AF6">
      <w:pPr>
        <w:pStyle w:val="BTCtextCTB"/>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En outre, les prix du Soumissionnaire sont réputés comprendre :</w:t>
      </w:r>
    </w:p>
    <w:p w14:paraId="4E6A55DB" w14:textId="77777777" w:rsidR="00F20AF6" w:rsidRPr="00273900" w:rsidRDefault="00F20AF6" w:rsidP="00F20AF6">
      <w:pPr>
        <w:pStyle w:val="BTCtextCTB"/>
        <w:numPr>
          <w:ilvl w:val="0"/>
          <w:numId w:val="14"/>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La mise à disposition sur le chantier des principales normes et réglementations auxquelles les CT font référence (voir l’Article 20 de la Partie 1) ;</w:t>
      </w:r>
    </w:p>
    <w:p w14:paraId="3D870B6B" w14:textId="77777777" w:rsidR="00F20AF6" w:rsidRDefault="00F20AF6" w:rsidP="00F20AF6">
      <w:pPr>
        <w:pStyle w:val="BTCtextCTB"/>
        <w:numPr>
          <w:ilvl w:val="0"/>
          <w:numId w:val="14"/>
        </w:numPr>
        <w:spacing w:before="0"/>
        <w:rPr>
          <w:rFonts w:ascii="Georgia" w:eastAsia="Calibri" w:hAnsi="Georgia"/>
          <w:color w:val="000000" w:themeColor="text1"/>
          <w:sz w:val="21"/>
          <w:szCs w:val="21"/>
        </w:rPr>
      </w:pPr>
      <w:r w:rsidRPr="00273900">
        <w:rPr>
          <w:rFonts w:ascii="Georgia" w:eastAsia="Calibri" w:hAnsi="Georgia"/>
          <w:color w:val="000000" w:themeColor="text1"/>
          <w:sz w:val="21"/>
          <w:szCs w:val="21"/>
        </w:rPr>
        <w:t>L’établissement des permis de construire ;</w:t>
      </w:r>
    </w:p>
    <w:p w14:paraId="63DB0DD0" w14:textId="77777777" w:rsidR="000B1538" w:rsidRDefault="000B1538" w:rsidP="000B1538">
      <w:pPr>
        <w:pStyle w:val="BTCtextCTB"/>
        <w:spacing w:before="0"/>
        <w:rPr>
          <w:rFonts w:ascii="Georgia" w:eastAsia="Calibri" w:hAnsi="Georgia"/>
          <w:color w:val="000000" w:themeColor="text1"/>
          <w:sz w:val="21"/>
          <w:szCs w:val="21"/>
        </w:rPr>
      </w:pPr>
    </w:p>
    <w:p w14:paraId="563A5DE8" w14:textId="77777777" w:rsidR="000B1538" w:rsidRDefault="000B1538" w:rsidP="000B1538">
      <w:pPr>
        <w:pStyle w:val="BTCtextCTB"/>
        <w:spacing w:before="0"/>
        <w:rPr>
          <w:rFonts w:ascii="Georgia" w:eastAsia="Calibri" w:hAnsi="Georgia"/>
          <w:color w:val="000000" w:themeColor="text1"/>
          <w:sz w:val="21"/>
          <w:szCs w:val="21"/>
        </w:rPr>
      </w:pPr>
    </w:p>
    <w:p w14:paraId="3C61AA02" w14:textId="77777777" w:rsidR="000B1538" w:rsidRDefault="000B1538" w:rsidP="000B1538">
      <w:pPr>
        <w:pStyle w:val="BTCtextCTB"/>
        <w:spacing w:before="0"/>
        <w:rPr>
          <w:rFonts w:ascii="Georgia" w:eastAsia="Calibri" w:hAnsi="Georgia"/>
          <w:color w:val="000000" w:themeColor="text1"/>
          <w:sz w:val="21"/>
          <w:szCs w:val="21"/>
        </w:rPr>
      </w:pPr>
    </w:p>
    <w:p w14:paraId="3C676CB8" w14:textId="77777777" w:rsidR="000B1538" w:rsidRDefault="000B1538" w:rsidP="000B1538">
      <w:pPr>
        <w:pStyle w:val="BTCtextCTB"/>
        <w:spacing w:before="0"/>
        <w:rPr>
          <w:rFonts w:ascii="Georgia" w:eastAsia="Calibri" w:hAnsi="Georgia"/>
          <w:color w:val="000000" w:themeColor="text1"/>
          <w:sz w:val="21"/>
          <w:szCs w:val="21"/>
        </w:rPr>
      </w:pPr>
    </w:p>
    <w:p w14:paraId="52CB8A65" w14:textId="4B1E3422" w:rsidR="000B1538" w:rsidRDefault="000B1538">
      <w:pPr>
        <w:rPr>
          <w:rFonts w:ascii="Georgia" w:eastAsia="Calibri" w:hAnsi="Georgia" w:cs="Times New Roman"/>
          <w:color w:val="000000" w:themeColor="text1"/>
          <w:sz w:val="21"/>
          <w:szCs w:val="21"/>
          <w:lang w:val="fr-BE"/>
        </w:rPr>
      </w:pPr>
      <w:r>
        <w:rPr>
          <w:rFonts w:ascii="Georgia" w:eastAsia="Calibri" w:hAnsi="Georgia"/>
          <w:color w:val="000000" w:themeColor="text1"/>
          <w:sz w:val="21"/>
          <w:szCs w:val="21"/>
        </w:rPr>
        <w:br w:type="page"/>
      </w:r>
    </w:p>
    <w:p w14:paraId="60C2DF8E" w14:textId="77777777" w:rsidR="000B1538" w:rsidRDefault="000B1538" w:rsidP="000B1538">
      <w:pPr>
        <w:pStyle w:val="BTCtextCTB"/>
        <w:spacing w:before="0"/>
        <w:rPr>
          <w:rFonts w:ascii="Georgia" w:eastAsia="Calibri" w:hAnsi="Georgia"/>
          <w:color w:val="000000" w:themeColor="text1"/>
          <w:sz w:val="21"/>
          <w:szCs w:val="21"/>
        </w:rPr>
      </w:pPr>
    </w:p>
    <w:p w14:paraId="59A42AB9" w14:textId="77777777" w:rsidR="000B1538" w:rsidRDefault="000B1538" w:rsidP="000B1538">
      <w:pPr>
        <w:pStyle w:val="BTCtextCTB"/>
        <w:spacing w:before="0"/>
        <w:rPr>
          <w:rFonts w:ascii="Georgia" w:eastAsia="Calibri" w:hAnsi="Georgia"/>
          <w:color w:val="000000" w:themeColor="text1"/>
          <w:sz w:val="21"/>
          <w:szCs w:val="21"/>
        </w:rPr>
      </w:pPr>
    </w:p>
    <w:p w14:paraId="4BF4CA44" w14:textId="62DC1855" w:rsidR="000B1538" w:rsidRPr="000B1538" w:rsidRDefault="00826D51" w:rsidP="00826D51">
      <w:pPr>
        <w:pStyle w:val="BTCtextCTB"/>
        <w:numPr>
          <w:ilvl w:val="0"/>
          <w:numId w:val="16"/>
        </w:numPr>
        <w:spacing w:before="0"/>
        <w:jc w:val="center"/>
        <w:rPr>
          <w:rFonts w:ascii="Georgia" w:eastAsia="Calibri" w:hAnsi="Georgia"/>
          <w:b/>
          <w:bCs/>
          <w:color w:val="000000" w:themeColor="text1"/>
          <w:szCs w:val="24"/>
        </w:rPr>
      </w:pPr>
      <w:r w:rsidRPr="000B1538">
        <w:rPr>
          <w:rFonts w:ascii="Georgia" w:eastAsia="Calibri" w:hAnsi="Georgia"/>
          <w:b/>
          <w:bCs/>
          <w:color w:val="000000" w:themeColor="text1"/>
          <w:szCs w:val="24"/>
        </w:rPr>
        <w:t>DÉFINITION DES PRIX UNITAIRES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3529"/>
        <w:gridCol w:w="756"/>
        <w:gridCol w:w="5401"/>
      </w:tblGrid>
      <w:tr w:rsidR="000B1538" w:rsidRPr="000B1538" w14:paraId="7A356E7D" w14:textId="77777777" w:rsidTr="000B1538">
        <w:trPr>
          <w:trHeight w:val="450"/>
        </w:trPr>
        <w:tc>
          <w:tcPr>
            <w:tcW w:w="0" w:type="auto"/>
            <w:vMerge w:val="restart"/>
            <w:shd w:val="clear" w:color="000000" w:fill="BFBFBF"/>
            <w:vAlign w:val="center"/>
            <w:hideMark/>
          </w:tcPr>
          <w:p w14:paraId="0A2C49EF"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N°</w:t>
            </w:r>
          </w:p>
        </w:tc>
        <w:tc>
          <w:tcPr>
            <w:tcW w:w="3529" w:type="dxa"/>
            <w:vMerge w:val="restart"/>
            <w:shd w:val="clear" w:color="000000" w:fill="BFBFBF"/>
            <w:vAlign w:val="center"/>
            <w:hideMark/>
          </w:tcPr>
          <w:p w14:paraId="601D13CA"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Désignation</w:t>
            </w:r>
          </w:p>
        </w:tc>
        <w:tc>
          <w:tcPr>
            <w:tcW w:w="756" w:type="dxa"/>
            <w:vMerge w:val="restart"/>
            <w:shd w:val="clear" w:color="000000" w:fill="BFBFBF"/>
            <w:noWrap/>
            <w:vAlign w:val="center"/>
            <w:hideMark/>
          </w:tcPr>
          <w:p w14:paraId="568D0E8A"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Unité</w:t>
            </w:r>
          </w:p>
        </w:tc>
        <w:tc>
          <w:tcPr>
            <w:tcW w:w="5401" w:type="dxa"/>
            <w:vMerge w:val="restart"/>
            <w:shd w:val="clear" w:color="000000" w:fill="BFBFBF"/>
            <w:vAlign w:val="center"/>
            <w:hideMark/>
          </w:tcPr>
          <w:p w14:paraId="7C739C05"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Définition des prix unitaires</w:t>
            </w:r>
          </w:p>
        </w:tc>
      </w:tr>
      <w:tr w:rsidR="000B1538" w:rsidRPr="000B1538" w14:paraId="05019168" w14:textId="77777777" w:rsidTr="000B1538">
        <w:trPr>
          <w:trHeight w:val="450"/>
        </w:trPr>
        <w:tc>
          <w:tcPr>
            <w:tcW w:w="0" w:type="auto"/>
            <w:vMerge/>
            <w:vAlign w:val="center"/>
            <w:hideMark/>
          </w:tcPr>
          <w:p w14:paraId="6EDCA938" w14:textId="77777777" w:rsidR="000B1538" w:rsidRPr="000B1538" w:rsidRDefault="000B1538" w:rsidP="000B1538">
            <w:pPr>
              <w:spacing w:after="0" w:line="240" w:lineRule="auto"/>
              <w:rPr>
                <w:rFonts w:ascii="Georgia" w:eastAsia="Times New Roman" w:hAnsi="Georgia" w:cs="Arial"/>
                <w:b/>
                <w:bCs/>
                <w:color w:val="000000"/>
                <w:sz w:val="20"/>
                <w:szCs w:val="20"/>
                <w:lang w:eastAsia="fr-ML"/>
              </w:rPr>
            </w:pPr>
          </w:p>
        </w:tc>
        <w:tc>
          <w:tcPr>
            <w:tcW w:w="3529" w:type="dxa"/>
            <w:vMerge/>
            <w:vAlign w:val="center"/>
            <w:hideMark/>
          </w:tcPr>
          <w:p w14:paraId="2254B445" w14:textId="77777777" w:rsidR="000B1538" w:rsidRPr="000B1538" w:rsidRDefault="000B1538" w:rsidP="000B1538">
            <w:pPr>
              <w:spacing w:after="0" w:line="240" w:lineRule="auto"/>
              <w:rPr>
                <w:rFonts w:ascii="Georgia" w:eastAsia="Times New Roman" w:hAnsi="Georgia" w:cs="Arial"/>
                <w:b/>
                <w:bCs/>
                <w:color w:val="000000"/>
                <w:sz w:val="20"/>
                <w:szCs w:val="20"/>
                <w:lang w:eastAsia="fr-ML"/>
              </w:rPr>
            </w:pPr>
          </w:p>
        </w:tc>
        <w:tc>
          <w:tcPr>
            <w:tcW w:w="756" w:type="dxa"/>
            <w:vMerge/>
            <w:vAlign w:val="center"/>
            <w:hideMark/>
          </w:tcPr>
          <w:p w14:paraId="26947656" w14:textId="77777777" w:rsidR="000B1538" w:rsidRPr="000B1538" w:rsidRDefault="000B1538" w:rsidP="000B1538">
            <w:pPr>
              <w:spacing w:after="0" w:line="240" w:lineRule="auto"/>
              <w:rPr>
                <w:rFonts w:ascii="Georgia" w:eastAsia="Times New Roman" w:hAnsi="Georgia" w:cs="Arial"/>
                <w:b/>
                <w:bCs/>
                <w:color w:val="000000"/>
                <w:sz w:val="20"/>
                <w:szCs w:val="20"/>
                <w:lang w:eastAsia="fr-ML"/>
              </w:rPr>
            </w:pPr>
          </w:p>
        </w:tc>
        <w:tc>
          <w:tcPr>
            <w:tcW w:w="5401" w:type="dxa"/>
            <w:vMerge/>
            <w:vAlign w:val="center"/>
            <w:hideMark/>
          </w:tcPr>
          <w:p w14:paraId="288C8EB8" w14:textId="77777777" w:rsidR="000B1538" w:rsidRPr="000B1538" w:rsidRDefault="000B1538" w:rsidP="000B1538">
            <w:pPr>
              <w:spacing w:after="0" w:line="240" w:lineRule="auto"/>
              <w:rPr>
                <w:rFonts w:ascii="Georgia" w:eastAsia="Times New Roman" w:hAnsi="Georgia" w:cs="Arial"/>
                <w:b/>
                <w:bCs/>
                <w:color w:val="000000"/>
                <w:sz w:val="20"/>
                <w:szCs w:val="20"/>
                <w:lang w:eastAsia="fr-ML"/>
              </w:rPr>
            </w:pPr>
          </w:p>
        </w:tc>
      </w:tr>
      <w:tr w:rsidR="000B1538" w:rsidRPr="000B1538" w14:paraId="591863E2" w14:textId="77777777" w:rsidTr="000B1538">
        <w:trPr>
          <w:trHeight w:val="300"/>
        </w:trPr>
        <w:tc>
          <w:tcPr>
            <w:tcW w:w="0" w:type="auto"/>
            <w:shd w:val="clear" w:color="000000" w:fill="FCE4D6"/>
            <w:vAlign w:val="center"/>
            <w:hideMark/>
          </w:tcPr>
          <w:p w14:paraId="2833F98E"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1</w:t>
            </w:r>
          </w:p>
        </w:tc>
        <w:tc>
          <w:tcPr>
            <w:tcW w:w="9686" w:type="dxa"/>
            <w:gridSpan w:val="3"/>
            <w:shd w:val="clear" w:color="000000" w:fill="FCE4D6"/>
            <w:vAlign w:val="center"/>
            <w:hideMark/>
          </w:tcPr>
          <w:p w14:paraId="6CF98DF5" w14:textId="77777777" w:rsidR="000B1538" w:rsidRPr="000B1538" w:rsidRDefault="000B1538" w:rsidP="000B1538">
            <w:pPr>
              <w:spacing w:after="0" w:line="240" w:lineRule="auto"/>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Prix généraux</w:t>
            </w:r>
          </w:p>
        </w:tc>
      </w:tr>
      <w:tr w:rsidR="000B1538" w:rsidRPr="000B1538" w14:paraId="46E6A7FA" w14:textId="77777777" w:rsidTr="000B1538">
        <w:trPr>
          <w:trHeight w:val="1416"/>
        </w:trPr>
        <w:tc>
          <w:tcPr>
            <w:tcW w:w="0" w:type="auto"/>
            <w:shd w:val="clear" w:color="auto" w:fill="auto"/>
            <w:vAlign w:val="center"/>
            <w:hideMark/>
          </w:tcPr>
          <w:p w14:paraId="17BCCCB1"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1.1</w:t>
            </w:r>
          </w:p>
        </w:tc>
        <w:tc>
          <w:tcPr>
            <w:tcW w:w="3529" w:type="dxa"/>
            <w:shd w:val="clear" w:color="auto" w:fill="auto"/>
            <w:noWrap/>
            <w:vAlign w:val="center"/>
            <w:hideMark/>
          </w:tcPr>
          <w:p w14:paraId="410551E1"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Installation générale du chantier</w:t>
            </w:r>
          </w:p>
        </w:tc>
        <w:tc>
          <w:tcPr>
            <w:tcW w:w="756" w:type="dxa"/>
            <w:shd w:val="clear" w:color="auto" w:fill="auto"/>
            <w:vAlign w:val="center"/>
            <w:hideMark/>
          </w:tcPr>
          <w:p w14:paraId="04230BB2"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4F844ECE"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les frais d'amenée et d’installation de chantier. Ce prix comprend aussi la fourniture des assurances nécessaires à l’exécution des travaux, la fourniture et la pose des panneaux de chantier et d’identification des ouvrages et toutes sujétions d'exécution et de main-d’œuvre. Le prix s’applique au forfait.</w:t>
            </w:r>
          </w:p>
        </w:tc>
      </w:tr>
      <w:tr w:rsidR="000B1538" w:rsidRPr="000B1538" w14:paraId="50F94A23" w14:textId="77777777" w:rsidTr="000B1538">
        <w:trPr>
          <w:trHeight w:val="504"/>
        </w:trPr>
        <w:tc>
          <w:tcPr>
            <w:tcW w:w="0" w:type="auto"/>
            <w:shd w:val="clear" w:color="auto" w:fill="auto"/>
            <w:vAlign w:val="center"/>
            <w:hideMark/>
          </w:tcPr>
          <w:p w14:paraId="19C6EB1A"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1.2</w:t>
            </w:r>
          </w:p>
        </w:tc>
        <w:tc>
          <w:tcPr>
            <w:tcW w:w="3529" w:type="dxa"/>
            <w:shd w:val="clear" w:color="auto" w:fill="auto"/>
            <w:noWrap/>
            <w:vAlign w:val="center"/>
            <w:hideMark/>
          </w:tcPr>
          <w:p w14:paraId="7F3610A5"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Repli général du chantier</w:t>
            </w:r>
          </w:p>
        </w:tc>
        <w:tc>
          <w:tcPr>
            <w:tcW w:w="756" w:type="dxa"/>
            <w:shd w:val="clear" w:color="auto" w:fill="auto"/>
            <w:vAlign w:val="center"/>
            <w:hideMark/>
          </w:tcPr>
          <w:p w14:paraId="58297FBA"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4B15F11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les frais de nettoyage et de repli général du chantier. Le prix s’applique au forfait.</w:t>
            </w:r>
          </w:p>
        </w:tc>
      </w:tr>
      <w:tr w:rsidR="000B1538" w:rsidRPr="000B1538" w14:paraId="10FB6E51" w14:textId="77777777" w:rsidTr="000B1538">
        <w:trPr>
          <w:trHeight w:val="960"/>
        </w:trPr>
        <w:tc>
          <w:tcPr>
            <w:tcW w:w="0" w:type="auto"/>
            <w:shd w:val="clear" w:color="auto" w:fill="auto"/>
            <w:vAlign w:val="center"/>
            <w:hideMark/>
          </w:tcPr>
          <w:p w14:paraId="069E099E"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1.3</w:t>
            </w:r>
          </w:p>
        </w:tc>
        <w:tc>
          <w:tcPr>
            <w:tcW w:w="3529" w:type="dxa"/>
            <w:shd w:val="clear" w:color="auto" w:fill="auto"/>
            <w:noWrap/>
            <w:vAlign w:val="center"/>
            <w:hideMark/>
          </w:tcPr>
          <w:p w14:paraId="77E3B143"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Dossier d'exécution et plan de récolement</w:t>
            </w:r>
          </w:p>
        </w:tc>
        <w:tc>
          <w:tcPr>
            <w:tcW w:w="756" w:type="dxa"/>
            <w:shd w:val="clear" w:color="auto" w:fill="auto"/>
            <w:vAlign w:val="center"/>
            <w:hideMark/>
          </w:tcPr>
          <w:p w14:paraId="75144063"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24F70948"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l’élaboration des plans d’exécution des ouvrages conformément au cahier de charge et des plans de récolement des ouvrages. Le prix est payé forfaitairement à 70% pour le dossier d’exécution et 30% pour le dossier de récolement.</w:t>
            </w:r>
          </w:p>
        </w:tc>
      </w:tr>
      <w:tr w:rsidR="000B1538" w:rsidRPr="000B1538" w14:paraId="68C34AC8" w14:textId="77777777" w:rsidTr="000B1538">
        <w:trPr>
          <w:trHeight w:val="540"/>
        </w:trPr>
        <w:tc>
          <w:tcPr>
            <w:tcW w:w="0" w:type="auto"/>
            <w:shd w:val="clear" w:color="000000" w:fill="FCE4D6"/>
            <w:noWrap/>
            <w:vAlign w:val="center"/>
            <w:hideMark/>
          </w:tcPr>
          <w:p w14:paraId="18C3C975"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2</w:t>
            </w:r>
          </w:p>
        </w:tc>
        <w:tc>
          <w:tcPr>
            <w:tcW w:w="9686" w:type="dxa"/>
            <w:gridSpan w:val="3"/>
            <w:shd w:val="clear" w:color="000000" w:fill="FCE4D6"/>
            <w:vAlign w:val="center"/>
            <w:hideMark/>
          </w:tcPr>
          <w:p w14:paraId="2A14518A" w14:textId="77777777" w:rsidR="000B1538" w:rsidRPr="000B1538" w:rsidRDefault="000B1538" w:rsidP="000B1538">
            <w:pPr>
              <w:spacing w:after="0" w:line="240" w:lineRule="auto"/>
              <w:jc w:val="both"/>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Travaux de raccordement du forage aux différents réservoirs de la Station de Traitement des Boues de Vidange</w:t>
            </w:r>
          </w:p>
        </w:tc>
      </w:tr>
      <w:tr w:rsidR="000B1538" w:rsidRPr="000B1538" w14:paraId="6E57357D" w14:textId="77777777" w:rsidTr="000B1538">
        <w:trPr>
          <w:trHeight w:val="1200"/>
        </w:trPr>
        <w:tc>
          <w:tcPr>
            <w:tcW w:w="0" w:type="auto"/>
            <w:shd w:val="clear" w:color="auto" w:fill="auto"/>
            <w:noWrap/>
            <w:vAlign w:val="center"/>
            <w:hideMark/>
          </w:tcPr>
          <w:p w14:paraId="2718D551"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2.1</w:t>
            </w:r>
          </w:p>
        </w:tc>
        <w:tc>
          <w:tcPr>
            <w:tcW w:w="3529" w:type="dxa"/>
            <w:shd w:val="clear" w:color="auto" w:fill="auto"/>
            <w:vAlign w:val="center"/>
            <w:hideMark/>
          </w:tcPr>
          <w:p w14:paraId="7EBC452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Fourniture et pose d'une pompe fournissant au moins 9m³/h pour 80 m </w:t>
            </w:r>
            <w:proofErr w:type="gramStart"/>
            <w:r w:rsidRPr="000B1538">
              <w:rPr>
                <w:rFonts w:ascii="Georgia" w:eastAsia="Times New Roman" w:hAnsi="Georgia" w:cs="Arial"/>
                <w:color w:val="000000"/>
                <w:sz w:val="20"/>
                <w:szCs w:val="20"/>
                <w:lang w:eastAsia="fr-ML"/>
              </w:rPr>
              <w:t>de  HMT</w:t>
            </w:r>
            <w:proofErr w:type="gramEnd"/>
            <w:r w:rsidRPr="000B1538">
              <w:rPr>
                <w:rFonts w:ascii="Georgia" w:eastAsia="Times New Roman" w:hAnsi="Georgia" w:cs="Arial"/>
                <w:color w:val="000000"/>
                <w:sz w:val="20"/>
                <w:szCs w:val="20"/>
                <w:lang w:eastAsia="fr-ML"/>
              </w:rPr>
              <w:t>, y compris le branchement au champ solaire</w:t>
            </w:r>
          </w:p>
        </w:tc>
        <w:tc>
          <w:tcPr>
            <w:tcW w:w="756" w:type="dxa"/>
            <w:shd w:val="clear" w:color="auto" w:fill="auto"/>
            <w:vAlign w:val="center"/>
            <w:hideMark/>
          </w:tcPr>
          <w:p w14:paraId="17B633B4"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Unité </w:t>
            </w:r>
          </w:p>
        </w:tc>
        <w:tc>
          <w:tcPr>
            <w:tcW w:w="5401" w:type="dxa"/>
            <w:shd w:val="clear" w:color="auto" w:fill="auto"/>
            <w:hideMark/>
          </w:tcPr>
          <w:p w14:paraId="43EA32F8"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la fourniture et pose d’une pompe immergée (HMT= 80 m, Q= 9 m3/h) y compris le raccordement hydraulique et électrique (capteur de niveau etc.) et toutes sujétions d'exécution et de main-d’œuvre. Le prix s'applique sur l'ensemble de la fourniture et de la pose.</w:t>
            </w:r>
          </w:p>
        </w:tc>
      </w:tr>
      <w:tr w:rsidR="000B1538" w:rsidRPr="000B1538" w14:paraId="05EECD58" w14:textId="77777777" w:rsidTr="000B1538">
        <w:trPr>
          <w:trHeight w:val="504"/>
        </w:trPr>
        <w:tc>
          <w:tcPr>
            <w:tcW w:w="0" w:type="auto"/>
            <w:shd w:val="clear" w:color="auto" w:fill="auto"/>
            <w:noWrap/>
            <w:vAlign w:val="center"/>
            <w:hideMark/>
          </w:tcPr>
          <w:p w14:paraId="22ABEC81"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2.2</w:t>
            </w:r>
          </w:p>
        </w:tc>
        <w:tc>
          <w:tcPr>
            <w:tcW w:w="3529" w:type="dxa"/>
            <w:shd w:val="clear" w:color="auto" w:fill="auto"/>
            <w:vAlign w:val="center"/>
            <w:hideMark/>
          </w:tcPr>
          <w:p w14:paraId="389CE083"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Coffret de commande pour pompe </w:t>
            </w:r>
          </w:p>
        </w:tc>
        <w:tc>
          <w:tcPr>
            <w:tcW w:w="756" w:type="dxa"/>
            <w:shd w:val="clear" w:color="auto" w:fill="auto"/>
            <w:vAlign w:val="center"/>
            <w:hideMark/>
          </w:tcPr>
          <w:p w14:paraId="755DDEA6"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Unité </w:t>
            </w:r>
          </w:p>
        </w:tc>
        <w:tc>
          <w:tcPr>
            <w:tcW w:w="5401" w:type="dxa"/>
            <w:shd w:val="clear" w:color="auto" w:fill="auto"/>
            <w:vAlign w:val="center"/>
            <w:hideMark/>
          </w:tcPr>
          <w:p w14:paraId="2D337713"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fourniture et pose d'un coffret de commande y compris tous les accessoires. Le prix s'applique à l’unité.</w:t>
            </w:r>
          </w:p>
        </w:tc>
      </w:tr>
      <w:tr w:rsidR="000B1538" w:rsidRPr="000B1538" w14:paraId="0670CEC2" w14:textId="77777777" w:rsidTr="000B1538">
        <w:trPr>
          <w:trHeight w:val="720"/>
        </w:trPr>
        <w:tc>
          <w:tcPr>
            <w:tcW w:w="0" w:type="auto"/>
            <w:shd w:val="clear" w:color="auto" w:fill="auto"/>
            <w:noWrap/>
            <w:vAlign w:val="center"/>
            <w:hideMark/>
          </w:tcPr>
          <w:p w14:paraId="35484C43"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2.3</w:t>
            </w:r>
          </w:p>
        </w:tc>
        <w:tc>
          <w:tcPr>
            <w:tcW w:w="3529" w:type="dxa"/>
            <w:shd w:val="clear" w:color="auto" w:fill="auto"/>
            <w:vAlign w:val="center"/>
            <w:hideMark/>
          </w:tcPr>
          <w:p w14:paraId="31A26F06"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Jeu d'électrodes (haute et basse) </w:t>
            </w:r>
          </w:p>
        </w:tc>
        <w:tc>
          <w:tcPr>
            <w:tcW w:w="756" w:type="dxa"/>
            <w:shd w:val="clear" w:color="auto" w:fill="auto"/>
            <w:vAlign w:val="center"/>
            <w:hideMark/>
          </w:tcPr>
          <w:p w14:paraId="3F89F40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Unité </w:t>
            </w:r>
          </w:p>
        </w:tc>
        <w:tc>
          <w:tcPr>
            <w:tcW w:w="5401" w:type="dxa"/>
            <w:shd w:val="clear" w:color="auto" w:fill="auto"/>
            <w:vAlign w:val="center"/>
            <w:hideMark/>
          </w:tcPr>
          <w:p w14:paraId="2A626E08"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fourniture et pose de deux électrodes (base et haute) y compris tous les accessoires. Le prix s'applique à l’unité.</w:t>
            </w:r>
          </w:p>
        </w:tc>
      </w:tr>
      <w:tr w:rsidR="000B1538" w:rsidRPr="000B1538" w14:paraId="6456E94C" w14:textId="77777777" w:rsidTr="000B1538">
        <w:trPr>
          <w:trHeight w:val="501"/>
        </w:trPr>
        <w:tc>
          <w:tcPr>
            <w:tcW w:w="0" w:type="auto"/>
            <w:shd w:val="clear" w:color="auto" w:fill="auto"/>
            <w:noWrap/>
            <w:vAlign w:val="center"/>
            <w:hideMark/>
          </w:tcPr>
          <w:p w14:paraId="30B88E04"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2.4</w:t>
            </w:r>
          </w:p>
        </w:tc>
        <w:tc>
          <w:tcPr>
            <w:tcW w:w="3529" w:type="dxa"/>
            <w:shd w:val="clear" w:color="auto" w:fill="auto"/>
            <w:vAlign w:val="center"/>
            <w:hideMark/>
          </w:tcPr>
          <w:p w14:paraId="332D095E"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Câble pour électrodes </w:t>
            </w:r>
          </w:p>
        </w:tc>
        <w:tc>
          <w:tcPr>
            <w:tcW w:w="756" w:type="dxa"/>
            <w:shd w:val="clear" w:color="auto" w:fill="auto"/>
            <w:vAlign w:val="center"/>
            <w:hideMark/>
          </w:tcPr>
          <w:p w14:paraId="61CD33C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proofErr w:type="gramStart"/>
            <w:r w:rsidRPr="000B1538">
              <w:rPr>
                <w:rFonts w:ascii="Georgia" w:eastAsia="Times New Roman" w:hAnsi="Georgia" w:cs="Arial"/>
                <w:color w:val="000000"/>
                <w:sz w:val="20"/>
                <w:szCs w:val="20"/>
                <w:lang w:eastAsia="fr-ML"/>
              </w:rPr>
              <w:t>ml</w:t>
            </w:r>
            <w:proofErr w:type="gramEnd"/>
            <w:r w:rsidRPr="000B1538">
              <w:rPr>
                <w:rFonts w:ascii="Georgia" w:eastAsia="Times New Roman" w:hAnsi="Georgia" w:cs="Arial"/>
                <w:color w:val="000000"/>
                <w:sz w:val="20"/>
                <w:szCs w:val="20"/>
                <w:lang w:eastAsia="fr-ML"/>
              </w:rPr>
              <w:t xml:space="preserve"> </w:t>
            </w:r>
          </w:p>
        </w:tc>
        <w:tc>
          <w:tcPr>
            <w:tcW w:w="5401" w:type="dxa"/>
            <w:shd w:val="clear" w:color="auto" w:fill="auto"/>
            <w:vAlign w:val="center"/>
            <w:hideMark/>
          </w:tcPr>
          <w:p w14:paraId="1848A1A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fourniture et la pose de câble d'électrodes. Le prix s'applique par mètre linéaire (ml).</w:t>
            </w:r>
          </w:p>
        </w:tc>
      </w:tr>
      <w:tr w:rsidR="000B1538" w:rsidRPr="000B1538" w14:paraId="69424502" w14:textId="77777777" w:rsidTr="000B1538">
        <w:trPr>
          <w:trHeight w:val="501"/>
        </w:trPr>
        <w:tc>
          <w:tcPr>
            <w:tcW w:w="0" w:type="auto"/>
            <w:shd w:val="clear" w:color="auto" w:fill="auto"/>
            <w:noWrap/>
            <w:vAlign w:val="center"/>
            <w:hideMark/>
          </w:tcPr>
          <w:p w14:paraId="7540E657"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2.5</w:t>
            </w:r>
          </w:p>
        </w:tc>
        <w:tc>
          <w:tcPr>
            <w:tcW w:w="3529" w:type="dxa"/>
            <w:shd w:val="clear" w:color="auto" w:fill="auto"/>
            <w:vAlign w:val="center"/>
            <w:hideMark/>
          </w:tcPr>
          <w:p w14:paraId="55D1A0B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Câble pour pompes </w:t>
            </w:r>
          </w:p>
        </w:tc>
        <w:tc>
          <w:tcPr>
            <w:tcW w:w="756" w:type="dxa"/>
            <w:shd w:val="clear" w:color="auto" w:fill="auto"/>
            <w:vAlign w:val="center"/>
            <w:hideMark/>
          </w:tcPr>
          <w:p w14:paraId="660FC2A1"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proofErr w:type="gramStart"/>
            <w:r w:rsidRPr="000B1538">
              <w:rPr>
                <w:rFonts w:ascii="Georgia" w:eastAsia="Times New Roman" w:hAnsi="Georgia" w:cs="Arial"/>
                <w:color w:val="000000"/>
                <w:sz w:val="20"/>
                <w:szCs w:val="20"/>
                <w:lang w:eastAsia="fr-ML"/>
              </w:rPr>
              <w:t>ml</w:t>
            </w:r>
            <w:proofErr w:type="gramEnd"/>
            <w:r w:rsidRPr="000B1538">
              <w:rPr>
                <w:rFonts w:ascii="Georgia" w:eastAsia="Times New Roman" w:hAnsi="Georgia" w:cs="Arial"/>
                <w:color w:val="000000"/>
                <w:sz w:val="20"/>
                <w:szCs w:val="20"/>
                <w:lang w:eastAsia="fr-ML"/>
              </w:rPr>
              <w:t xml:space="preserve"> </w:t>
            </w:r>
          </w:p>
        </w:tc>
        <w:tc>
          <w:tcPr>
            <w:tcW w:w="5401" w:type="dxa"/>
            <w:shd w:val="clear" w:color="auto" w:fill="auto"/>
            <w:vAlign w:val="center"/>
            <w:hideMark/>
          </w:tcPr>
          <w:p w14:paraId="05AA8A23"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fourniture et la pose de câbles pour pompe. Le prix s'applique par mètre linéaire (ml).</w:t>
            </w:r>
          </w:p>
        </w:tc>
      </w:tr>
      <w:tr w:rsidR="000B1538" w:rsidRPr="000B1538" w14:paraId="0D7B4E30" w14:textId="77777777" w:rsidTr="000B1538">
        <w:trPr>
          <w:trHeight w:val="501"/>
        </w:trPr>
        <w:tc>
          <w:tcPr>
            <w:tcW w:w="0" w:type="auto"/>
            <w:shd w:val="clear" w:color="auto" w:fill="auto"/>
            <w:noWrap/>
            <w:vAlign w:val="center"/>
            <w:hideMark/>
          </w:tcPr>
          <w:p w14:paraId="2E5E4C3F"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2.6</w:t>
            </w:r>
          </w:p>
        </w:tc>
        <w:tc>
          <w:tcPr>
            <w:tcW w:w="3529" w:type="dxa"/>
            <w:shd w:val="clear" w:color="auto" w:fill="auto"/>
            <w:vAlign w:val="center"/>
            <w:hideMark/>
          </w:tcPr>
          <w:p w14:paraId="729FE3A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Colonne d'exhaure </w:t>
            </w:r>
          </w:p>
        </w:tc>
        <w:tc>
          <w:tcPr>
            <w:tcW w:w="756" w:type="dxa"/>
            <w:shd w:val="clear" w:color="auto" w:fill="auto"/>
            <w:vAlign w:val="center"/>
            <w:hideMark/>
          </w:tcPr>
          <w:p w14:paraId="7AED648B"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proofErr w:type="gramStart"/>
            <w:r w:rsidRPr="000B1538">
              <w:rPr>
                <w:rFonts w:ascii="Georgia" w:eastAsia="Times New Roman" w:hAnsi="Georgia" w:cs="Arial"/>
                <w:color w:val="000000"/>
                <w:sz w:val="20"/>
                <w:szCs w:val="20"/>
                <w:lang w:eastAsia="fr-ML"/>
              </w:rPr>
              <w:t>ml</w:t>
            </w:r>
            <w:proofErr w:type="gramEnd"/>
            <w:r w:rsidRPr="000B1538">
              <w:rPr>
                <w:rFonts w:ascii="Georgia" w:eastAsia="Times New Roman" w:hAnsi="Georgia" w:cs="Arial"/>
                <w:color w:val="000000"/>
                <w:sz w:val="20"/>
                <w:szCs w:val="20"/>
                <w:lang w:eastAsia="fr-ML"/>
              </w:rPr>
              <w:t xml:space="preserve"> </w:t>
            </w:r>
          </w:p>
        </w:tc>
        <w:tc>
          <w:tcPr>
            <w:tcW w:w="5401" w:type="dxa"/>
            <w:shd w:val="clear" w:color="auto" w:fill="auto"/>
            <w:vAlign w:val="center"/>
            <w:hideMark/>
          </w:tcPr>
          <w:p w14:paraId="0037117A"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fourniture et la pose de colonne d'exhaure. Le prix s'applique par mètre linéaire (ml).</w:t>
            </w:r>
          </w:p>
        </w:tc>
      </w:tr>
      <w:tr w:rsidR="000B1538" w:rsidRPr="000B1538" w14:paraId="0590FAA3" w14:textId="77777777" w:rsidTr="000B1538">
        <w:trPr>
          <w:trHeight w:val="756"/>
        </w:trPr>
        <w:tc>
          <w:tcPr>
            <w:tcW w:w="0" w:type="auto"/>
            <w:shd w:val="clear" w:color="auto" w:fill="auto"/>
            <w:noWrap/>
            <w:vAlign w:val="center"/>
            <w:hideMark/>
          </w:tcPr>
          <w:p w14:paraId="4E733884"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2.7</w:t>
            </w:r>
          </w:p>
        </w:tc>
        <w:tc>
          <w:tcPr>
            <w:tcW w:w="3529" w:type="dxa"/>
            <w:shd w:val="clear" w:color="auto" w:fill="auto"/>
            <w:vAlign w:val="center"/>
            <w:hideMark/>
          </w:tcPr>
          <w:p w14:paraId="354BF8D2" w14:textId="7345DD00"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Aménagement tête de forage y compris fourniture et pose accessoires hydrauliques (compteur d'eau, filtre, clapet, ventouse, manomètre…) et clôture grillagée y compris toutes sujétions</w:t>
            </w:r>
          </w:p>
        </w:tc>
        <w:tc>
          <w:tcPr>
            <w:tcW w:w="756" w:type="dxa"/>
            <w:shd w:val="clear" w:color="auto" w:fill="auto"/>
            <w:noWrap/>
            <w:vAlign w:val="center"/>
            <w:hideMark/>
          </w:tcPr>
          <w:p w14:paraId="3E95541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01C82BB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l’aménagement d’une tête de forage et toutes sujétions d'exécution et de main-d'œuvre. Le prix s'applique sur l'ensemble de la fourniture et de la pose.</w:t>
            </w:r>
          </w:p>
        </w:tc>
      </w:tr>
      <w:tr w:rsidR="000B1538" w:rsidRPr="000B1538" w14:paraId="61E329F1" w14:textId="77777777" w:rsidTr="000B1538">
        <w:trPr>
          <w:trHeight w:val="999"/>
        </w:trPr>
        <w:tc>
          <w:tcPr>
            <w:tcW w:w="0" w:type="auto"/>
            <w:shd w:val="clear" w:color="auto" w:fill="auto"/>
            <w:noWrap/>
            <w:vAlign w:val="center"/>
            <w:hideMark/>
          </w:tcPr>
          <w:p w14:paraId="25EBFB3C"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2.8</w:t>
            </w:r>
          </w:p>
        </w:tc>
        <w:tc>
          <w:tcPr>
            <w:tcW w:w="3529" w:type="dxa"/>
            <w:shd w:val="clear" w:color="auto" w:fill="auto"/>
            <w:vAlign w:val="center"/>
            <w:hideMark/>
          </w:tcPr>
          <w:p w14:paraId="6911F33A"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Construction et équipements d'un branchement particulier (BP) avec 2 robinets de puisage y compris le regard de compteur avec fermeture métallique avec cadenas et puisard (diamètre 1,00 m, </w:t>
            </w:r>
            <w:proofErr w:type="gramStart"/>
            <w:r w:rsidRPr="000B1538">
              <w:rPr>
                <w:rFonts w:ascii="Georgia" w:eastAsia="Times New Roman" w:hAnsi="Georgia" w:cs="Arial"/>
                <w:color w:val="000000"/>
                <w:sz w:val="20"/>
                <w:szCs w:val="20"/>
                <w:lang w:eastAsia="fr-ML"/>
              </w:rPr>
              <w:t>prof:</w:t>
            </w:r>
            <w:proofErr w:type="gramEnd"/>
            <w:r w:rsidRPr="000B1538">
              <w:rPr>
                <w:rFonts w:ascii="Georgia" w:eastAsia="Times New Roman" w:hAnsi="Georgia" w:cs="Arial"/>
                <w:color w:val="000000"/>
                <w:sz w:val="20"/>
                <w:szCs w:val="20"/>
                <w:lang w:eastAsia="fr-ML"/>
              </w:rPr>
              <w:t xml:space="preserve"> 2,00 m) y compris toutes sujétions de pose et de raccordement. </w:t>
            </w:r>
          </w:p>
        </w:tc>
        <w:tc>
          <w:tcPr>
            <w:tcW w:w="756" w:type="dxa"/>
            <w:shd w:val="clear" w:color="auto" w:fill="auto"/>
            <w:noWrap/>
            <w:vAlign w:val="center"/>
            <w:hideMark/>
          </w:tcPr>
          <w:p w14:paraId="70ACEE61"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Unité</w:t>
            </w:r>
          </w:p>
        </w:tc>
        <w:tc>
          <w:tcPr>
            <w:tcW w:w="5401" w:type="dxa"/>
            <w:shd w:val="clear" w:color="auto" w:fill="auto"/>
            <w:vAlign w:val="center"/>
            <w:hideMark/>
          </w:tcPr>
          <w:p w14:paraId="3541F82C"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Le prix rémunère la réalisation d'un branchement particulier d'une tête de puisage conformément au cahier de charge et toutes sujétions d'exécution et de main-d'œuvre. </w:t>
            </w:r>
            <w:r w:rsidRPr="000B1538">
              <w:rPr>
                <w:rFonts w:ascii="Georgia" w:eastAsia="Times New Roman" w:hAnsi="Georgia" w:cs="Arial"/>
                <w:color w:val="000000"/>
                <w:sz w:val="20"/>
                <w:szCs w:val="20"/>
                <w:lang w:eastAsia="fr-ML"/>
              </w:rPr>
              <w:br/>
              <w:t>Le prix s'applique à l'unité</w:t>
            </w:r>
          </w:p>
        </w:tc>
      </w:tr>
      <w:tr w:rsidR="000B1538" w:rsidRPr="000B1538" w14:paraId="628F73D6" w14:textId="77777777" w:rsidTr="000B1538">
        <w:trPr>
          <w:trHeight w:val="1860"/>
        </w:trPr>
        <w:tc>
          <w:tcPr>
            <w:tcW w:w="0" w:type="auto"/>
            <w:shd w:val="clear" w:color="auto" w:fill="auto"/>
            <w:noWrap/>
            <w:vAlign w:val="center"/>
            <w:hideMark/>
          </w:tcPr>
          <w:p w14:paraId="62CCF0EB"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lastRenderedPageBreak/>
              <w:t>2.9</w:t>
            </w:r>
          </w:p>
        </w:tc>
        <w:tc>
          <w:tcPr>
            <w:tcW w:w="3529" w:type="dxa"/>
            <w:shd w:val="clear" w:color="auto" w:fill="auto"/>
            <w:vAlign w:val="center"/>
            <w:hideMark/>
          </w:tcPr>
          <w:p w14:paraId="6B43569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Fourniture et pose de conduite de distribution PEHD Ø 63 mm PN 10 bars, y compris fouille en terrain tendres et durs, lit de </w:t>
            </w:r>
            <w:proofErr w:type="gramStart"/>
            <w:r w:rsidRPr="000B1538">
              <w:rPr>
                <w:rFonts w:ascii="Georgia" w:eastAsia="Times New Roman" w:hAnsi="Georgia" w:cs="Arial"/>
                <w:color w:val="000000"/>
                <w:sz w:val="20"/>
                <w:szCs w:val="20"/>
                <w:lang w:eastAsia="fr-ML"/>
              </w:rPr>
              <w:t>sable  et</w:t>
            </w:r>
            <w:proofErr w:type="gramEnd"/>
            <w:r w:rsidRPr="000B1538">
              <w:rPr>
                <w:rFonts w:ascii="Georgia" w:eastAsia="Times New Roman" w:hAnsi="Georgia" w:cs="Arial"/>
                <w:color w:val="000000"/>
                <w:sz w:val="20"/>
                <w:szCs w:val="20"/>
                <w:lang w:eastAsia="fr-ML"/>
              </w:rPr>
              <w:t xml:space="preserve">  grillage avertisseur bleu y compris toutes sujétions</w:t>
            </w:r>
          </w:p>
        </w:tc>
        <w:tc>
          <w:tcPr>
            <w:tcW w:w="756" w:type="dxa"/>
            <w:shd w:val="clear" w:color="auto" w:fill="auto"/>
            <w:noWrap/>
            <w:vAlign w:val="center"/>
            <w:hideMark/>
          </w:tcPr>
          <w:p w14:paraId="115CC16F"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proofErr w:type="gramStart"/>
            <w:r w:rsidRPr="000B1538">
              <w:rPr>
                <w:rFonts w:ascii="Georgia" w:eastAsia="Times New Roman" w:hAnsi="Georgia" w:cs="Arial"/>
                <w:color w:val="000000"/>
                <w:sz w:val="20"/>
                <w:szCs w:val="20"/>
                <w:lang w:eastAsia="fr-ML"/>
              </w:rPr>
              <w:t>ml</w:t>
            </w:r>
            <w:proofErr w:type="gramEnd"/>
            <w:r w:rsidRPr="000B1538">
              <w:rPr>
                <w:rFonts w:ascii="Georgia" w:eastAsia="Times New Roman" w:hAnsi="Georgia" w:cs="Arial"/>
                <w:color w:val="000000"/>
                <w:sz w:val="20"/>
                <w:szCs w:val="20"/>
                <w:lang w:eastAsia="fr-ML"/>
              </w:rPr>
              <w:t xml:space="preserve"> </w:t>
            </w:r>
          </w:p>
        </w:tc>
        <w:tc>
          <w:tcPr>
            <w:tcW w:w="5401" w:type="dxa"/>
            <w:shd w:val="clear" w:color="auto" w:fill="auto"/>
            <w:hideMark/>
          </w:tcPr>
          <w:p w14:paraId="2E75813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Le prix rémunère la fourniture et pose des conduites en PEHD de diamètre 63 mm PN 10 bars y compris accessoires conformément au cahier de charge et toutes sujétions d'exécution et de main-d'œuvre. </w:t>
            </w:r>
            <w:r w:rsidRPr="000B1538">
              <w:rPr>
                <w:rFonts w:ascii="Georgia" w:eastAsia="Times New Roman" w:hAnsi="Georgia" w:cs="Arial"/>
                <w:color w:val="000000"/>
                <w:sz w:val="20"/>
                <w:szCs w:val="20"/>
                <w:lang w:eastAsia="fr-ML"/>
              </w:rPr>
              <w:br/>
              <w:t>Le prix s'applique au mètre linéaire (ml).</w:t>
            </w:r>
            <w:r w:rsidRPr="000B1538">
              <w:rPr>
                <w:rFonts w:ascii="Georgia" w:eastAsia="Times New Roman" w:hAnsi="Georgia" w:cs="Arial"/>
                <w:color w:val="000000"/>
                <w:sz w:val="20"/>
                <w:szCs w:val="20"/>
                <w:lang w:eastAsia="fr-ML"/>
              </w:rPr>
              <w:br/>
              <w:t>Aucune plus-value rémunérée n’est prévue pour fouille en terrain dur. Les frais liés à ces prestations sont réputés être incluses dans le prix unitaire. Le prix s'applique au mètre linéaire (ml).</w:t>
            </w:r>
          </w:p>
        </w:tc>
      </w:tr>
      <w:tr w:rsidR="000B1538" w:rsidRPr="000B1538" w14:paraId="09224B42" w14:textId="77777777" w:rsidTr="000B1538">
        <w:trPr>
          <w:trHeight w:val="1212"/>
        </w:trPr>
        <w:tc>
          <w:tcPr>
            <w:tcW w:w="0" w:type="auto"/>
            <w:shd w:val="clear" w:color="auto" w:fill="auto"/>
            <w:noWrap/>
            <w:vAlign w:val="center"/>
            <w:hideMark/>
          </w:tcPr>
          <w:p w14:paraId="345BC89C"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2.10</w:t>
            </w:r>
          </w:p>
        </w:tc>
        <w:tc>
          <w:tcPr>
            <w:tcW w:w="3529" w:type="dxa"/>
            <w:shd w:val="clear" w:color="auto" w:fill="auto"/>
            <w:vAlign w:val="center"/>
            <w:hideMark/>
          </w:tcPr>
          <w:p w14:paraId="402BE9C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Raccordement de la conduite de distribution aux deux réservoirs et pose de flotteur (y compris câble et raccordement) sur les réservoirs, y compris toutes sujétions de pose et de main d'œuvre</w:t>
            </w:r>
          </w:p>
        </w:tc>
        <w:tc>
          <w:tcPr>
            <w:tcW w:w="756" w:type="dxa"/>
            <w:shd w:val="clear" w:color="auto" w:fill="auto"/>
            <w:noWrap/>
            <w:vAlign w:val="center"/>
            <w:hideMark/>
          </w:tcPr>
          <w:p w14:paraId="6FB460B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75EF3C1F" w14:textId="770A7073"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le raccordement du réseau de distribution en PEHD aux deux réservoirs. Le prix rémunère aussi la pose de flotteur (y compris câble et raccordement) sur les deux réservoirs. Le prix s'applique au forfait et comprend toutes sujétions d'exécution et de main d'œuvre</w:t>
            </w:r>
          </w:p>
        </w:tc>
      </w:tr>
      <w:tr w:rsidR="000B1538" w:rsidRPr="000B1538" w14:paraId="2D7CA212" w14:textId="77777777" w:rsidTr="000B1538">
        <w:trPr>
          <w:trHeight w:val="588"/>
        </w:trPr>
        <w:tc>
          <w:tcPr>
            <w:tcW w:w="0" w:type="auto"/>
            <w:shd w:val="clear" w:color="auto" w:fill="auto"/>
            <w:noWrap/>
            <w:vAlign w:val="center"/>
            <w:hideMark/>
          </w:tcPr>
          <w:p w14:paraId="03ADE9F0"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2.11</w:t>
            </w:r>
          </w:p>
        </w:tc>
        <w:tc>
          <w:tcPr>
            <w:tcW w:w="3529" w:type="dxa"/>
            <w:shd w:val="clear" w:color="auto" w:fill="auto"/>
            <w:noWrap/>
            <w:vAlign w:val="center"/>
            <w:hideMark/>
          </w:tcPr>
          <w:p w14:paraId="41F4503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Essai de pression du réseau</w:t>
            </w:r>
          </w:p>
        </w:tc>
        <w:tc>
          <w:tcPr>
            <w:tcW w:w="756" w:type="dxa"/>
            <w:shd w:val="clear" w:color="auto" w:fill="auto"/>
            <w:vAlign w:val="center"/>
            <w:hideMark/>
          </w:tcPr>
          <w:p w14:paraId="54B51D86"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433A8096"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les essais de pression et toutes sujétions d'exécution et de main-d'œuvre. Le prix s'applique au forfait.</w:t>
            </w:r>
          </w:p>
        </w:tc>
      </w:tr>
      <w:tr w:rsidR="000B1538" w:rsidRPr="000B1538" w14:paraId="36CDC4AF" w14:textId="77777777" w:rsidTr="000B1538">
        <w:trPr>
          <w:trHeight w:val="780"/>
        </w:trPr>
        <w:tc>
          <w:tcPr>
            <w:tcW w:w="0" w:type="auto"/>
            <w:shd w:val="clear" w:color="auto" w:fill="auto"/>
            <w:noWrap/>
            <w:vAlign w:val="center"/>
            <w:hideMark/>
          </w:tcPr>
          <w:p w14:paraId="216261BC"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2.12</w:t>
            </w:r>
          </w:p>
        </w:tc>
        <w:tc>
          <w:tcPr>
            <w:tcW w:w="3529" w:type="dxa"/>
            <w:shd w:val="clear" w:color="auto" w:fill="auto"/>
            <w:noWrap/>
            <w:vAlign w:val="center"/>
            <w:hideMark/>
          </w:tcPr>
          <w:p w14:paraId="564C30ED"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 xml:space="preserve">Désinfection et rinçage du réseau </w:t>
            </w:r>
          </w:p>
        </w:tc>
        <w:tc>
          <w:tcPr>
            <w:tcW w:w="756" w:type="dxa"/>
            <w:shd w:val="clear" w:color="auto" w:fill="auto"/>
            <w:vAlign w:val="center"/>
            <w:hideMark/>
          </w:tcPr>
          <w:p w14:paraId="43FDE6D0"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7E8C96EB"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Le prix rémunère la désinfection des installations et toutes sujétions d'exécution et de main-d'œuvre. Le prix s'applique au forfait.</w:t>
            </w:r>
          </w:p>
        </w:tc>
      </w:tr>
      <w:tr w:rsidR="000B1538" w:rsidRPr="000B1538" w14:paraId="0A908C37" w14:textId="77777777" w:rsidTr="000B1538">
        <w:trPr>
          <w:trHeight w:val="396"/>
        </w:trPr>
        <w:tc>
          <w:tcPr>
            <w:tcW w:w="0" w:type="auto"/>
            <w:shd w:val="clear" w:color="000000" w:fill="FCE4D6"/>
            <w:noWrap/>
            <w:vAlign w:val="center"/>
            <w:hideMark/>
          </w:tcPr>
          <w:p w14:paraId="0EFF2E17"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3</w:t>
            </w:r>
          </w:p>
        </w:tc>
        <w:tc>
          <w:tcPr>
            <w:tcW w:w="9686" w:type="dxa"/>
            <w:gridSpan w:val="3"/>
            <w:shd w:val="clear" w:color="000000" w:fill="FCE4D6"/>
            <w:vAlign w:val="center"/>
            <w:hideMark/>
          </w:tcPr>
          <w:p w14:paraId="6E97EAE4" w14:textId="77777777" w:rsidR="000B1538" w:rsidRPr="000B1538" w:rsidRDefault="000B1538" w:rsidP="000B1538">
            <w:pPr>
              <w:spacing w:after="0" w:line="240" w:lineRule="auto"/>
              <w:jc w:val="both"/>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Travaux de réalisation d'une dalle de dépotage avec raccordement vers la lagune "toutes eaux"</w:t>
            </w:r>
          </w:p>
        </w:tc>
      </w:tr>
      <w:tr w:rsidR="000B1538" w:rsidRPr="000B1538" w14:paraId="7119EB0C" w14:textId="77777777" w:rsidTr="000B1538">
        <w:trPr>
          <w:trHeight w:val="1464"/>
        </w:trPr>
        <w:tc>
          <w:tcPr>
            <w:tcW w:w="0" w:type="auto"/>
            <w:shd w:val="clear" w:color="auto" w:fill="auto"/>
            <w:noWrap/>
            <w:vAlign w:val="center"/>
            <w:hideMark/>
          </w:tcPr>
          <w:p w14:paraId="665FC763"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3.1</w:t>
            </w:r>
          </w:p>
        </w:tc>
        <w:tc>
          <w:tcPr>
            <w:tcW w:w="3529" w:type="dxa"/>
            <w:shd w:val="clear" w:color="auto" w:fill="auto"/>
            <w:vAlign w:val="center"/>
            <w:hideMark/>
          </w:tcPr>
          <w:p w14:paraId="0370FDA8"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Construction d'une dalle de dépotage avec un rebord qui sera adossée à la lagune "toutes eaux" de la STBV et raccordement via une chambre de visite à la lagune "toutes eaux" y compris toutes sujétions</w:t>
            </w:r>
          </w:p>
        </w:tc>
        <w:tc>
          <w:tcPr>
            <w:tcW w:w="756" w:type="dxa"/>
            <w:shd w:val="clear" w:color="auto" w:fill="auto"/>
            <w:vAlign w:val="center"/>
            <w:hideMark/>
          </w:tcPr>
          <w:p w14:paraId="20BFBD98"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76D94675"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construction d'une dalle de dépotage en béton armé adossée à la lagune "toutes eaux" de la STBV et le raccordement ce celle-ci via une chambre de visite et ce conformément aux plans et spécifications techniques. Le prix s'applique au forfait et comprend toutes sujétions d'exécution et de main-d'œuvre.</w:t>
            </w:r>
          </w:p>
        </w:tc>
      </w:tr>
      <w:tr w:rsidR="000B1538" w:rsidRPr="000B1538" w14:paraId="16ECEED2" w14:textId="77777777" w:rsidTr="000B1538">
        <w:trPr>
          <w:trHeight w:val="396"/>
        </w:trPr>
        <w:tc>
          <w:tcPr>
            <w:tcW w:w="0" w:type="auto"/>
            <w:shd w:val="clear" w:color="000000" w:fill="FCE4D6"/>
            <w:noWrap/>
            <w:vAlign w:val="center"/>
            <w:hideMark/>
          </w:tcPr>
          <w:p w14:paraId="0A5B1BE8"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4</w:t>
            </w:r>
          </w:p>
        </w:tc>
        <w:tc>
          <w:tcPr>
            <w:tcW w:w="9686" w:type="dxa"/>
            <w:gridSpan w:val="3"/>
            <w:shd w:val="clear" w:color="000000" w:fill="FCE4D6"/>
            <w:vAlign w:val="center"/>
            <w:hideMark/>
          </w:tcPr>
          <w:p w14:paraId="644A4029" w14:textId="52DD2393" w:rsidR="000B1538" w:rsidRPr="000B1538" w:rsidRDefault="000B1538" w:rsidP="000B1538">
            <w:pPr>
              <w:spacing w:after="0" w:line="240" w:lineRule="auto"/>
              <w:jc w:val="both"/>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Travaux d'aménagement antiérosif</w:t>
            </w:r>
          </w:p>
        </w:tc>
      </w:tr>
      <w:tr w:rsidR="000B1538" w:rsidRPr="000B1538" w14:paraId="63F7F639" w14:textId="77777777" w:rsidTr="000B1538">
        <w:trPr>
          <w:trHeight w:val="1704"/>
        </w:trPr>
        <w:tc>
          <w:tcPr>
            <w:tcW w:w="0" w:type="auto"/>
            <w:shd w:val="clear" w:color="auto" w:fill="auto"/>
            <w:vAlign w:val="center"/>
            <w:hideMark/>
          </w:tcPr>
          <w:p w14:paraId="1A929B8C"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4.1</w:t>
            </w:r>
          </w:p>
        </w:tc>
        <w:tc>
          <w:tcPr>
            <w:tcW w:w="3529" w:type="dxa"/>
            <w:shd w:val="clear" w:color="auto" w:fill="auto"/>
            <w:vAlign w:val="center"/>
            <w:hideMark/>
          </w:tcPr>
          <w:p w14:paraId="0566189D"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Réparation des griffes d'érosion par des empierrements grossiers placés sur un géotextile filtrant et protection d'un talus par des enrochements ou moellonnages secs posés sur géotextile et ce y compris toutes sujétions de main d'œuvre</w:t>
            </w:r>
          </w:p>
        </w:tc>
        <w:tc>
          <w:tcPr>
            <w:tcW w:w="756" w:type="dxa"/>
            <w:shd w:val="clear" w:color="auto" w:fill="auto"/>
            <w:vAlign w:val="center"/>
            <w:hideMark/>
          </w:tcPr>
          <w:p w14:paraId="38CAEED7"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Forfait</w:t>
            </w:r>
          </w:p>
        </w:tc>
        <w:tc>
          <w:tcPr>
            <w:tcW w:w="5401" w:type="dxa"/>
            <w:shd w:val="clear" w:color="auto" w:fill="auto"/>
            <w:vAlign w:val="center"/>
            <w:hideMark/>
          </w:tcPr>
          <w:p w14:paraId="5C39839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les réparations de plusieurs griffes d'érosion par des empierrements grossiers placés sur un géotextile filtrant et la protection d'un talus par des enrochements ou moellonnages secs posés sur géotextile. Les travaux se feront conformément aux plans et aux spécifications techniques. Le prix s'applique au forfait et comprend toutes sujétions d'exécution et de main-d'œuvre.</w:t>
            </w:r>
          </w:p>
        </w:tc>
      </w:tr>
      <w:tr w:rsidR="000B1538" w:rsidRPr="000B1538" w14:paraId="01EC65ED" w14:textId="77777777" w:rsidTr="000B1538">
        <w:trPr>
          <w:trHeight w:val="428"/>
        </w:trPr>
        <w:tc>
          <w:tcPr>
            <w:tcW w:w="0" w:type="auto"/>
            <w:shd w:val="clear" w:color="000000" w:fill="FCE4D6"/>
            <w:noWrap/>
            <w:vAlign w:val="center"/>
            <w:hideMark/>
          </w:tcPr>
          <w:p w14:paraId="3AADC791" w14:textId="77777777" w:rsidR="000B1538" w:rsidRPr="000B1538" w:rsidRDefault="000B1538" w:rsidP="000B1538">
            <w:pPr>
              <w:spacing w:after="0" w:line="240" w:lineRule="auto"/>
              <w:jc w:val="center"/>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5</w:t>
            </w:r>
          </w:p>
        </w:tc>
        <w:tc>
          <w:tcPr>
            <w:tcW w:w="9686" w:type="dxa"/>
            <w:gridSpan w:val="3"/>
            <w:shd w:val="clear" w:color="000000" w:fill="FCE4D6"/>
            <w:vAlign w:val="center"/>
            <w:hideMark/>
          </w:tcPr>
          <w:p w14:paraId="37CDDDDE" w14:textId="77777777" w:rsidR="000B1538" w:rsidRPr="000B1538" w:rsidRDefault="000B1538" w:rsidP="000B1538">
            <w:pPr>
              <w:spacing w:after="0" w:line="240" w:lineRule="auto"/>
              <w:jc w:val="both"/>
              <w:rPr>
                <w:rFonts w:ascii="Georgia" w:eastAsia="Times New Roman" w:hAnsi="Georgia" w:cs="Arial"/>
                <w:b/>
                <w:bCs/>
                <w:color w:val="000000"/>
                <w:sz w:val="20"/>
                <w:szCs w:val="20"/>
                <w:lang w:eastAsia="fr-ML"/>
              </w:rPr>
            </w:pPr>
            <w:r w:rsidRPr="000B1538">
              <w:rPr>
                <w:rFonts w:ascii="Georgia" w:eastAsia="Times New Roman" w:hAnsi="Georgia" w:cs="Arial"/>
                <w:b/>
                <w:bCs/>
                <w:color w:val="000000"/>
                <w:sz w:val="20"/>
                <w:szCs w:val="20"/>
                <w:lang w:eastAsia="fr-ML"/>
              </w:rPr>
              <w:t>Travaux de réalisation de casse-vitesse</w:t>
            </w:r>
          </w:p>
        </w:tc>
      </w:tr>
      <w:tr w:rsidR="000B1538" w:rsidRPr="000B1538" w14:paraId="10EE680C" w14:textId="77777777" w:rsidTr="000B1538">
        <w:trPr>
          <w:trHeight w:val="1416"/>
        </w:trPr>
        <w:tc>
          <w:tcPr>
            <w:tcW w:w="0" w:type="auto"/>
            <w:shd w:val="clear" w:color="auto" w:fill="auto"/>
            <w:vAlign w:val="center"/>
            <w:hideMark/>
          </w:tcPr>
          <w:p w14:paraId="650ED4CA"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5.1</w:t>
            </w:r>
          </w:p>
        </w:tc>
        <w:tc>
          <w:tcPr>
            <w:tcW w:w="3529" w:type="dxa"/>
            <w:shd w:val="clear" w:color="auto" w:fill="auto"/>
            <w:noWrap/>
            <w:vAlign w:val="center"/>
            <w:hideMark/>
          </w:tcPr>
          <w:p w14:paraId="0506433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Casse-vitesse en voie interne à la STBV et ce y compris la tranchée et la protection de la conduite de distribution en PEHD y compris toutes sujétions</w:t>
            </w:r>
          </w:p>
        </w:tc>
        <w:tc>
          <w:tcPr>
            <w:tcW w:w="756" w:type="dxa"/>
            <w:shd w:val="clear" w:color="auto" w:fill="auto"/>
            <w:vAlign w:val="center"/>
            <w:hideMark/>
          </w:tcPr>
          <w:p w14:paraId="5C4D9329"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Unité</w:t>
            </w:r>
          </w:p>
        </w:tc>
        <w:tc>
          <w:tcPr>
            <w:tcW w:w="5401" w:type="dxa"/>
            <w:shd w:val="clear" w:color="auto" w:fill="auto"/>
            <w:vAlign w:val="center"/>
            <w:hideMark/>
          </w:tcPr>
          <w:p w14:paraId="2713613D" w14:textId="112AD782"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construction d'un casse-vitesse conformément aux plans (notamment les plans de ferraillage) et en voie interne de 6 m de long et de 70 cm de large - le casse-vitesse sera positionné sur la conduite de refoulement. Le prix s'applique à l'unité et comprend toutes les sujétions d'exécution et de main d'œuvre.</w:t>
            </w:r>
          </w:p>
        </w:tc>
      </w:tr>
      <w:tr w:rsidR="000B1538" w:rsidRPr="000B1538" w14:paraId="28375792" w14:textId="77777777" w:rsidTr="000B1538">
        <w:trPr>
          <w:trHeight w:val="1164"/>
        </w:trPr>
        <w:tc>
          <w:tcPr>
            <w:tcW w:w="0" w:type="auto"/>
            <w:shd w:val="clear" w:color="auto" w:fill="auto"/>
            <w:vAlign w:val="center"/>
            <w:hideMark/>
          </w:tcPr>
          <w:p w14:paraId="251A4C1C" w14:textId="77777777" w:rsidR="000B1538" w:rsidRPr="000B1538" w:rsidRDefault="000B1538" w:rsidP="000B1538">
            <w:pPr>
              <w:spacing w:after="0" w:line="240" w:lineRule="auto"/>
              <w:jc w:val="center"/>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5.2</w:t>
            </w:r>
          </w:p>
        </w:tc>
        <w:tc>
          <w:tcPr>
            <w:tcW w:w="3529" w:type="dxa"/>
            <w:shd w:val="clear" w:color="auto" w:fill="auto"/>
            <w:noWrap/>
            <w:vAlign w:val="center"/>
            <w:hideMark/>
          </w:tcPr>
          <w:p w14:paraId="7CE6870A"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Casse-vitesse en voie externe y compris toutes sujétions</w:t>
            </w:r>
          </w:p>
        </w:tc>
        <w:tc>
          <w:tcPr>
            <w:tcW w:w="756" w:type="dxa"/>
            <w:shd w:val="clear" w:color="auto" w:fill="auto"/>
            <w:vAlign w:val="center"/>
            <w:hideMark/>
          </w:tcPr>
          <w:p w14:paraId="32D785AB" w14:textId="77777777"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Unité</w:t>
            </w:r>
          </w:p>
        </w:tc>
        <w:tc>
          <w:tcPr>
            <w:tcW w:w="5401" w:type="dxa"/>
            <w:shd w:val="clear" w:color="auto" w:fill="auto"/>
            <w:vAlign w:val="center"/>
            <w:hideMark/>
          </w:tcPr>
          <w:p w14:paraId="112FAE7E" w14:textId="41C76B23" w:rsidR="000B1538" w:rsidRPr="000B1538" w:rsidRDefault="000B1538" w:rsidP="000B1538">
            <w:pPr>
              <w:spacing w:after="0" w:line="240" w:lineRule="auto"/>
              <w:jc w:val="both"/>
              <w:rPr>
                <w:rFonts w:ascii="Georgia" w:eastAsia="Times New Roman" w:hAnsi="Georgia" w:cs="Arial"/>
                <w:color w:val="000000"/>
                <w:sz w:val="20"/>
                <w:szCs w:val="20"/>
                <w:lang w:eastAsia="fr-ML"/>
              </w:rPr>
            </w:pPr>
            <w:r w:rsidRPr="000B1538">
              <w:rPr>
                <w:rFonts w:ascii="Georgia" w:eastAsia="Times New Roman" w:hAnsi="Georgia" w:cs="Arial"/>
                <w:color w:val="000000"/>
                <w:sz w:val="20"/>
                <w:szCs w:val="20"/>
                <w:lang w:eastAsia="fr-ML"/>
              </w:rPr>
              <w:t>Ce prix rémunère la construction d'un casse-vitesse conformément aux plans (notamment les plans de ferraillage) et en voie externe de 6 m de long et de 3 m de large. Le prix s'applique à l'unité et comprend toutes les sujétions d'exécution et de main d'œuvre.</w:t>
            </w:r>
          </w:p>
        </w:tc>
      </w:tr>
    </w:tbl>
    <w:p w14:paraId="460E664C" w14:textId="6789BEED" w:rsidR="00A82464" w:rsidRDefault="00A82464" w:rsidP="00BD2036">
      <w:pPr>
        <w:spacing w:after="120" w:line="288" w:lineRule="auto"/>
        <w:jc w:val="both"/>
      </w:pPr>
    </w:p>
    <w:p w14:paraId="2A6E8701" w14:textId="2F07374F" w:rsidR="000B1538" w:rsidRDefault="000B1538">
      <w:r>
        <w:br w:type="page"/>
      </w:r>
    </w:p>
    <w:p w14:paraId="19262702" w14:textId="4A485B28" w:rsidR="000B1538" w:rsidRPr="00826D51" w:rsidRDefault="00826D51" w:rsidP="00826D51">
      <w:pPr>
        <w:spacing w:after="120" w:line="288" w:lineRule="auto"/>
        <w:jc w:val="center"/>
        <w:rPr>
          <w:rFonts w:ascii="Georgia" w:hAnsi="Georgia"/>
          <w:b/>
          <w:bCs/>
          <w:sz w:val="24"/>
          <w:szCs w:val="24"/>
        </w:rPr>
      </w:pPr>
      <w:r>
        <w:rPr>
          <w:rFonts w:ascii="Georgia" w:hAnsi="Georgia"/>
          <w:b/>
          <w:bCs/>
          <w:sz w:val="24"/>
          <w:szCs w:val="24"/>
        </w:rPr>
        <w:lastRenderedPageBreak/>
        <w:t>ANNEXE II- BORDEREAU</w:t>
      </w:r>
      <w:r w:rsidRPr="00826D51">
        <w:rPr>
          <w:rFonts w:ascii="Georgia" w:hAnsi="Georgia"/>
          <w:b/>
          <w:bCs/>
          <w:sz w:val="24"/>
          <w:szCs w:val="24"/>
        </w:rPr>
        <w:t xml:space="preserve"> DES PRIX UNITAIRES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02"/>
        <w:gridCol w:w="1159"/>
        <w:gridCol w:w="2408"/>
        <w:gridCol w:w="2412"/>
      </w:tblGrid>
      <w:tr w:rsidR="00607CA7" w:rsidRPr="00607CA7" w14:paraId="52C24E7D" w14:textId="77777777" w:rsidTr="00607CA7">
        <w:trPr>
          <w:trHeight w:val="450"/>
        </w:trPr>
        <w:tc>
          <w:tcPr>
            <w:tcW w:w="562" w:type="dxa"/>
            <w:vMerge w:val="restart"/>
            <w:shd w:val="clear" w:color="000000" w:fill="BFBFBF"/>
            <w:vAlign w:val="center"/>
            <w:hideMark/>
          </w:tcPr>
          <w:p w14:paraId="54DBA1E8"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N°</w:t>
            </w:r>
          </w:p>
        </w:tc>
        <w:tc>
          <w:tcPr>
            <w:tcW w:w="3802" w:type="dxa"/>
            <w:vMerge w:val="restart"/>
            <w:shd w:val="clear" w:color="000000" w:fill="BFBFBF"/>
            <w:vAlign w:val="center"/>
            <w:hideMark/>
          </w:tcPr>
          <w:p w14:paraId="08DF2637"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Désignation</w:t>
            </w:r>
          </w:p>
        </w:tc>
        <w:tc>
          <w:tcPr>
            <w:tcW w:w="1159" w:type="dxa"/>
            <w:vMerge w:val="restart"/>
            <w:shd w:val="clear" w:color="000000" w:fill="BFBFBF"/>
            <w:noWrap/>
            <w:vAlign w:val="center"/>
            <w:hideMark/>
          </w:tcPr>
          <w:p w14:paraId="73C9B2CA"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Unité</w:t>
            </w:r>
          </w:p>
        </w:tc>
        <w:tc>
          <w:tcPr>
            <w:tcW w:w="2408" w:type="dxa"/>
            <w:vMerge w:val="restart"/>
            <w:shd w:val="clear" w:color="000000" w:fill="BFBFBF"/>
            <w:vAlign w:val="center"/>
            <w:hideMark/>
          </w:tcPr>
          <w:p w14:paraId="1BDCF309"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Prix Unitaire en chiffre</w:t>
            </w:r>
          </w:p>
        </w:tc>
        <w:tc>
          <w:tcPr>
            <w:tcW w:w="2412" w:type="dxa"/>
            <w:vMerge w:val="restart"/>
            <w:shd w:val="clear" w:color="000000" w:fill="BFBFBF"/>
            <w:vAlign w:val="center"/>
            <w:hideMark/>
          </w:tcPr>
          <w:p w14:paraId="0664594B"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Prix Unitaire en lettre</w:t>
            </w:r>
          </w:p>
        </w:tc>
      </w:tr>
      <w:tr w:rsidR="00607CA7" w:rsidRPr="00607CA7" w14:paraId="579232D5" w14:textId="77777777" w:rsidTr="00607CA7">
        <w:trPr>
          <w:trHeight w:val="450"/>
        </w:trPr>
        <w:tc>
          <w:tcPr>
            <w:tcW w:w="562" w:type="dxa"/>
            <w:vMerge/>
            <w:vAlign w:val="center"/>
            <w:hideMark/>
          </w:tcPr>
          <w:p w14:paraId="0349ECC0"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p>
        </w:tc>
        <w:tc>
          <w:tcPr>
            <w:tcW w:w="3802" w:type="dxa"/>
            <w:vMerge/>
            <w:vAlign w:val="center"/>
            <w:hideMark/>
          </w:tcPr>
          <w:p w14:paraId="460C4556"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p>
        </w:tc>
        <w:tc>
          <w:tcPr>
            <w:tcW w:w="1159" w:type="dxa"/>
            <w:vMerge/>
            <w:vAlign w:val="center"/>
            <w:hideMark/>
          </w:tcPr>
          <w:p w14:paraId="5FCCC7F0"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p>
        </w:tc>
        <w:tc>
          <w:tcPr>
            <w:tcW w:w="2408" w:type="dxa"/>
            <w:vMerge/>
            <w:vAlign w:val="center"/>
            <w:hideMark/>
          </w:tcPr>
          <w:p w14:paraId="4E1F2EE8"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p>
        </w:tc>
        <w:tc>
          <w:tcPr>
            <w:tcW w:w="2412" w:type="dxa"/>
            <w:vMerge/>
            <w:vAlign w:val="center"/>
            <w:hideMark/>
          </w:tcPr>
          <w:p w14:paraId="1D5769A1"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p>
        </w:tc>
      </w:tr>
      <w:tr w:rsidR="00607CA7" w:rsidRPr="00607CA7" w14:paraId="6211DB9A" w14:textId="77777777" w:rsidTr="00607CA7">
        <w:trPr>
          <w:trHeight w:val="300"/>
        </w:trPr>
        <w:tc>
          <w:tcPr>
            <w:tcW w:w="562" w:type="dxa"/>
            <w:shd w:val="clear" w:color="000000" w:fill="FCE4D6"/>
            <w:vAlign w:val="center"/>
            <w:hideMark/>
          </w:tcPr>
          <w:p w14:paraId="1EB50267"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1</w:t>
            </w:r>
          </w:p>
        </w:tc>
        <w:tc>
          <w:tcPr>
            <w:tcW w:w="9781" w:type="dxa"/>
            <w:gridSpan w:val="4"/>
            <w:shd w:val="clear" w:color="000000" w:fill="FCE4D6"/>
            <w:vAlign w:val="center"/>
            <w:hideMark/>
          </w:tcPr>
          <w:p w14:paraId="2129E7E9"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Prix généraux</w:t>
            </w:r>
          </w:p>
        </w:tc>
      </w:tr>
      <w:tr w:rsidR="00607CA7" w:rsidRPr="00607CA7" w14:paraId="78849260" w14:textId="77777777" w:rsidTr="00607CA7">
        <w:trPr>
          <w:trHeight w:val="300"/>
        </w:trPr>
        <w:tc>
          <w:tcPr>
            <w:tcW w:w="562" w:type="dxa"/>
            <w:shd w:val="clear" w:color="auto" w:fill="auto"/>
            <w:vAlign w:val="center"/>
            <w:hideMark/>
          </w:tcPr>
          <w:p w14:paraId="622281E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1.1</w:t>
            </w:r>
          </w:p>
        </w:tc>
        <w:tc>
          <w:tcPr>
            <w:tcW w:w="3802" w:type="dxa"/>
            <w:shd w:val="clear" w:color="auto" w:fill="auto"/>
            <w:noWrap/>
            <w:vAlign w:val="center"/>
            <w:hideMark/>
          </w:tcPr>
          <w:p w14:paraId="60DD73E5"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Installation générale du chantier</w:t>
            </w:r>
          </w:p>
        </w:tc>
        <w:tc>
          <w:tcPr>
            <w:tcW w:w="1159" w:type="dxa"/>
            <w:shd w:val="clear" w:color="auto" w:fill="auto"/>
            <w:vAlign w:val="center"/>
            <w:hideMark/>
          </w:tcPr>
          <w:p w14:paraId="2AB40C42"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5847015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370A42E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3E6833F5" w14:textId="77777777" w:rsidTr="00607CA7">
        <w:trPr>
          <w:trHeight w:val="300"/>
        </w:trPr>
        <w:tc>
          <w:tcPr>
            <w:tcW w:w="562" w:type="dxa"/>
            <w:shd w:val="clear" w:color="auto" w:fill="auto"/>
            <w:vAlign w:val="center"/>
            <w:hideMark/>
          </w:tcPr>
          <w:p w14:paraId="10F05FAB"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1.2</w:t>
            </w:r>
          </w:p>
        </w:tc>
        <w:tc>
          <w:tcPr>
            <w:tcW w:w="3802" w:type="dxa"/>
            <w:shd w:val="clear" w:color="auto" w:fill="auto"/>
            <w:noWrap/>
            <w:vAlign w:val="center"/>
            <w:hideMark/>
          </w:tcPr>
          <w:p w14:paraId="7092E116"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Repli général du chantier</w:t>
            </w:r>
          </w:p>
        </w:tc>
        <w:tc>
          <w:tcPr>
            <w:tcW w:w="1159" w:type="dxa"/>
            <w:shd w:val="clear" w:color="auto" w:fill="auto"/>
            <w:vAlign w:val="center"/>
            <w:hideMark/>
          </w:tcPr>
          <w:p w14:paraId="4DD1EB26"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0936E8D9"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1A8F90B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5D0BCF5D" w14:textId="77777777" w:rsidTr="00607CA7">
        <w:trPr>
          <w:trHeight w:val="300"/>
        </w:trPr>
        <w:tc>
          <w:tcPr>
            <w:tcW w:w="562" w:type="dxa"/>
            <w:shd w:val="clear" w:color="auto" w:fill="auto"/>
            <w:vAlign w:val="center"/>
            <w:hideMark/>
          </w:tcPr>
          <w:p w14:paraId="3E9E118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1.3</w:t>
            </w:r>
          </w:p>
        </w:tc>
        <w:tc>
          <w:tcPr>
            <w:tcW w:w="3802" w:type="dxa"/>
            <w:shd w:val="clear" w:color="auto" w:fill="auto"/>
            <w:noWrap/>
            <w:vAlign w:val="center"/>
            <w:hideMark/>
          </w:tcPr>
          <w:p w14:paraId="51141601"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Dossier d'exécution et plan de récolement</w:t>
            </w:r>
          </w:p>
        </w:tc>
        <w:tc>
          <w:tcPr>
            <w:tcW w:w="1159" w:type="dxa"/>
            <w:shd w:val="clear" w:color="auto" w:fill="auto"/>
            <w:vAlign w:val="center"/>
            <w:hideMark/>
          </w:tcPr>
          <w:p w14:paraId="0A9CFEA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43E221C9"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5537030C"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4F83E5EA" w14:textId="77777777" w:rsidTr="00607CA7">
        <w:trPr>
          <w:trHeight w:val="540"/>
        </w:trPr>
        <w:tc>
          <w:tcPr>
            <w:tcW w:w="562" w:type="dxa"/>
            <w:shd w:val="clear" w:color="000000" w:fill="FCE4D6"/>
            <w:noWrap/>
            <w:vAlign w:val="center"/>
            <w:hideMark/>
          </w:tcPr>
          <w:p w14:paraId="291F0C96"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2</w:t>
            </w:r>
          </w:p>
        </w:tc>
        <w:tc>
          <w:tcPr>
            <w:tcW w:w="9781" w:type="dxa"/>
            <w:gridSpan w:val="4"/>
            <w:shd w:val="clear" w:color="000000" w:fill="FCE4D6"/>
            <w:vAlign w:val="center"/>
            <w:hideMark/>
          </w:tcPr>
          <w:p w14:paraId="27329C41"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Travaux de raccordement du forage aux différents réservoirs de la Station de Traitement des Boues de Vidange</w:t>
            </w:r>
          </w:p>
        </w:tc>
      </w:tr>
      <w:tr w:rsidR="00607CA7" w:rsidRPr="00607CA7" w14:paraId="20DDD6C6" w14:textId="77777777" w:rsidTr="00607CA7">
        <w:trPr>
          <w:trHeight w:val="561"/>
        </w:trPr>
        <w:tc>
          <w:tcPr>
            <w:tcW w:w="562" w:type="dxa"/>
            <w:shd w:val="clear" w:color="auto" w:fill="auto"/>
            <w:noWrap/>
            <w:vAlign w:val="center"/>
            <w:hideMark/>
          </w:tcPr>
          <w:p w14:paraId="12181EEC"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2.1</w:t>
            </w:r>
          </w:p>
        </w:tc>
        <w:tc>
          <w:tcPr>
            <w:tcW w:w="3802" w:type="dxa"/>
            <w:shd w:val="clear" w:color="auto" w:fill="auto"/>
            <w:vAlign w:val="center"/>
            <w:hideMark/>
          </w:tcPr>
          <w:p w14:paraId="42670034"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Fourniture et pose d'une pompe fournissant au moins 9m³/h pour 80 m </w:t>
            </w:r>
            <w:proofErr w:type="gramStart"/>
            <w:r w:rsidRPr="00607CA7">
              <w:rPr>
                <w:rFonts w:ascii="Georgia" w:eastAsia="Times New Roman" w:hAnsi="Georgia" w:cs="Arial"/>
                <w:color w:val="000000"/>
                <w:sz w:val="20"/>
                <w:szCs w:val="20"/>
                <w:lang w:eastAsia="fr-ML"/>
              </w:rPr>
              <w:t>de  HMT</w:t>
            </w:r>
            <w:proofErr w:type="gramEnd"/>
            <w:r w:rsidRPr="00607CA7">
              <w:rPr>
                <w:rFonts w:ascii="Georgia" w:eastAsia="Times New Roman" w:hAnsi="Georgia" w:cs="Arial"/>
                <w:color w:val="000000"/>
                <w:sz w:val="20"/>
                <w:szCs w:val="20"/>
                <w:lang w:eastAsia="fr-ML"/>
              </w:rPr>
              <w:t>, y compris le branchement au champ solaire</w:t>
            </w:r>
          </w:p>
        </w:tc>
        <w:tc>
          <w:tcPr>
            <w:tcW w:w="1159" w:type="dxa"/>
            <w:shd w:val="clear" w:color="auto" w:fill="auto"/>
            <w:vAlign w:val="center"/>
            <w:hideMark/>
          </w:tcPr>
          <w:p w14:paraId="047F94C6"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Unité </w:t>
            </w:r>
          </w:p>
        </w:tc>
        <w:tc>
          <w:tcPr>
            <w:tcW w:w="2408" w:type="dxa"/>
            <w:shd w:val="clear" w:color="auto" w:fill="auto"/>
            <w:noWrap/>
            <w:vAlign w:val="center"/>
            <w:hideMark/>
          </w:tcPr>
          <w:p w14:paraId="2D7B2727"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6899D7FC"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2E641648" w14:textId="77777777" w:rsidTr="00607CA7">
        <w:trPr>
          <w:trHeight w:val="300"/>
        </w:trPr>
        <w:tc>
          <w:tcPr>
            <w:tcW w:w="562" w:type="dxa"/>
            <w:shd w:val="clear" w:color="auto" w:fill="auto"/>
            <w:noWrap/>
            <w:vAlign w:val="center"/>
            <w:hideMark/>
          </w:tcPr>
          <w:p w14:paraId="79851F3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2.2</w:t>
            </w:r>
          </w:p>
        </w:tc>
        <w:tc>
          <w:tcPr>
            <w:tcW w:w="3802" w:type="dxa"/>
            <w:shd w:val="clear" w:color="auto" w:fill="auto"/>
            <w:vAlign w:val="center"/>
            <w:hideMark/>
          </w:tcPr>
          <w:p w14:paraId="030AED5A"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Coffret de commande pour pompe </w:t>
            </w:r>
          </w:p>
        </w:tc>
        <w:tc>
          <w:tcPr>
            <w:tcW w:w="1159" w:type="dxa"/>
            <w:shd w:val="clear" w:color="auto" w:fill="auto"/>
            <w:vAlign w:val="center"/>
            <w:hideMark/>
          </w:tcPr>
          <w:p w14:paraId="5540590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Unité </w:t>
            </w:r>
          </w:p>
        </w:tc>
        <w:tc>
          <w:tcPr>
            <w:tcW w:w="2408" w:type="dxa"/>
            <w:shd w:val="clear" w:color="auto" w:fill="auto"/>
            <w:noWrap/>
            <w:vAlign w:val="center"/>
            <w:hideMark/>
          </w:tcPr>
          <w:p w14:paraId="20A5533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0177444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72B24FA0" w14:textId="77777777" w:rsidTr="00607CA7">
        <w:trPr>
          <w:trHeight w:val="300"/>
        </w:trPr>
        <w:tc>
          <w:tcPr>
            <w:tcW w:w="562" w:type="dxa"/>
            <w:shd w:val="clear" w:color="auto" w:fill="auto"/>
            <w:noWrap/>
            <w:vAlign w:val="center"/>
            <w:hideMark/>
          </w:tcPr>
          <w:p w14:paraId="50B7A49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2.3</w:t>
            </w:r>
          </w:p>
        </w:tc>
        <w:tc>
          <w:tcPr>
            <w:tcW w:w="3802" w:type="dxa"/>
            <w:shd w:val="clear" w:color="auto" w:fill="auto"/>
            <w:vAlign w:val="center"/>
            <w:hideMark/>
          </w:tcPr>
          <w:p w14:paraId="303320C9"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Jeu d'électrodes (haute et basse) </w:t>
            </w:r>
          </w:p>
        </w:tc>
        <w:tc>
          <w:tcPr>
            <w:tcW w:w="1159" w:type="dxa"/>
            <w:shd w:val="clear" w:color="auto" w:fill="auto"/>
            <w:vAlign w:val="center"/>
            <w:hideMark/>
          </w:tcPr>
          <w:p w14:paraId="347D7B4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Unité </w:t>
            </w:r>
          </w:p>
        </w:tc>
        <w:tc>
          <w:tcPr>
            <w:tcW w:w="2408" w:type="dxa"/>
            <w:shd w:val="clear" w:color="auto" w:fill="auto"/>
            <w:noWrap/>
            <w:vAlign w:val="center"/>
            <w:hideMark/>
          </w:tcPr>
          <w:p w14:paraId="4CEE94A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77CA9ACB"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0094F3C1" w14:textId="77777777" w:rsidTr="00607CA7">
        <w:trPr>
          <w:trHeight w:val="300"/>
        </w:trPr>
        <w:tc>
          <w:tcPr>
            <w:tcW w:w="562" w:type="dxa"/>
            <w:shd w:val="clear" w:color="auto" w:fill="auto"/>
            <w:noWrap/>
            <w:vAlign w:val="center"/>
            <w:hideMark/>
          </w:tcPr>
          <w:p w14:paraId="3DA5AC8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2.4</w:t>
            </w:r>
          </w:p>
        </w:tc>
        <w:tc>
          <w:tcPr>
            <w:tcW w:w="3802" w:type="dxa"/>
            <w:shd w:val="clear" w:color="auto" w:fill="auto"/>
            <w:vAlign w:val="center"/>
            <w:hideMark/>
          </w:tcPr>
          <w:p w14:paraId="17D7A29D"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Câble pour électrodes </w:t>
            </w:r>
          </w:p>
        </w:tc>
        <w:tc>
          <w:tcPr>
            <w:tcW w:w="1159" w:type="dxa"/>
            <w:shd w:val="clear" w:color="auto" w:fill="auto"/>
            <w:vAlign w:val="center"/>
            <w:hideMark/>
          </w:tcPr>
          <w:p w14:paraId="46861B0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proofErr w:type="gramStart"/>
            <w:r w:rsidRPr="00607CA7">
              <w:rPr>
                <w:rFonts w:ascii="Georgia" w:eastAsia="Times New Roman" w:hAnsi="Georgia" w:cs="Arial"/>
                <w:color w:val="000000"/>
                <w:sz w:val="20"/>
                <w:szCs w:val="20"/>
                <w:lang w:eastAsia="fr-ML"/>
              </w:rPr>
              <w:t>ml</w:t>
            </w:r>
            <w:proofErr w:type="gramEnd"/>
            <w:r w:rsidRPr="00607CA7">
              <w:rPr>
                <w:rFonts w:ascii="Georgia" w:eastAsia="Times New Roman" w:hAnsi="Georgia" w:cs="Arial"/>
                <w:color w:val="000000"/>
                <w:sz w:val="20"/>
                <w:szCs w:val="20"/>
                <w:lang w:eastAsia="fr-ML"/>
              </w:rPr>
              <w:t xml:space="preserve"> </w:t>
            </w:r>
          </w:p>
        </w:tc>
        <w:tc>
          <w:tcPr>
            <w:tcW w:w="2408" w:type="dxa"/>
            <w:shd w:val="clear" w:color="auto" w:fill="auto"/>
            <w:noWrap/>
            <w:vAlign w:val="center"/>
            <w:hideMark/>
          </w:tcPr>
          <w:p w14:paraId="21C7CC0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08EA5B3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443D44B6" w14:textId="77777777" w:rsidTr="00607CA7">
        <w:trPr>
          <w:trHeight w:val="300"/>
        </w:trPr>
        <w:tc>
          <w:tcPr>
            <w:tcW w:w="562" w:type="dxa"/>
            <w:shd w:val="clear" w:color="auto" w:fill="auto"/>
            <w:noWrap/>
            <w:vAlign w:val="center"/>
            <w:hideMark/>
          </w:tcPr>
          <w:p w14:paraId="6D57E324"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2.5</w:t>
            </w:r>
          </w:p>
        </w:tc>
        <w:tc>
          <w:tcPr>
            <w:tcW w:w="3802" w:type="dxa"/>
            <w:shd w:val="clear" w:color="auto" w:fill="auto"/>
            <w:vAlign w:val="center"/>
            <w:hideMark/>
          </w:tcPr>
          <w:p w14:paraId="5FB1C67A"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Câble pour pompes </w:t>
            </w:r>
          </w:p>
        </w:tc>
        <w:tc>
          <w:tcPr>
            <w:tcW w:w="1159" w:type="dxa"/>
            <w:shd w:val="clear" w:color="auto" w:fill="auto"/>
            <w:vAlign w:val="center"/>
            <w:hideMark/>
          </w:tcPr>
          <w:p w14:paraId="4218190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proofErr w:type="gramStart"/>
            <w:r w:rsidRPr="00607CA7">
              <w:rPr>
                <w:rFonts w:ascii="Georgia" w:eastAsia="Times New Roman" w:hAnsi="Georgia" w:cs="Arial"/>
                <w:color w:val="000000"/>
                <w:sz w:val="20"/>
                <w:szCs w:val="20"/>
                <w:lang w:eastAsia="fr-ML"/>
              </w:rPr>
              <w:t>ml</w:t>
            </w:r>
            <w:proofErr w:type="gramEnd"/>
            <w:r w:rsidRPr="00607CA7">
              <w:rPr>
                <w:rFonts w:ascii="Georgia" w:eastAsia="Times New Roman" w:hAnsi="Georgia" w:cs="Arial"/>
                <w:color w:val="000000"/>
                <w:sz w:val="20"/>
                <w:szCs w:val="20"/>
                <w:lang w:eastAsia="fr-ML"/>
              </w:rPr>
              <w:t xml:space="preserve"> </w:t>
            </w:r>
          </w:p>
        </w:tc>
        <w:tc>
          <w:tcPr>
            <w:tcW w:w="2408" w:type="dxa"/>
            <w:shd w:val="clear" w:color="auto" w:fill="auto"/>
            <w:noWrap/>
            <w:vAlign w:val="center"/>
            <w:hideMark/>
          </w:tcPr>
          <w:p w14:paraId="3183F74F"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2EB3512A"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2DFC312E" w14:textId="77777777" w:rsidTr="00607CA7">
        <w:trPr>
          <w:trHeight w:val="300"/>
        </w:trPr>
        <w:tc>
          <w:tcPr>
            <w:tcW w:w="562" w:type="dxa"/>
            <w:shd w:val="clear" w:color="auto" w:fill="auto"/>
            <w:noWrap/>
            <w:vAlign w:val="center"/>
            <w:hideMark/>
          </w:tcPr>
          <w:p w14:paraId="7D81DDEB"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2.6</w:t>
            </w:r>
          </w:p>
        </w:tc>
        <w:tc>
          <w:tcPr>
            <w:tcW w:w="3802" w:type="dxa"/>
            <w:shd w:val="clear" w:color="auto" w:fill="auto"/>
            <w:vAlign w:val="center"/>
            <w:hideMark/>
          </w:tcPr>
          <w:p w14:paraId="7A2B7E79"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Colonne d'exhaure </w:t>
            </w:r>
          </w:p>
        </w:tc>
        <w:tc>
          <w:tcPr>
            <w:tcW w:w="1159" w:type="dxa"/>
            <w:shd w:val="clear" w:color="auto" w:fill="auto"/>
            <w:vAlign w:val="center"/>
            <w:hideMark/>
          </w:tcPr>
          <w:p w14:paraId="719FDCC4"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proofErr w:type="gramStart"/>
            <w:r w:rsidRPr="00607CA7">
              <w:rPr>
                <w:rFonts w:ascii="Georgia" w:eastAsia="Times New Roman" w:hAnsi="Georgia" w:cs="Arial"/>
                <w:color w:val="000000"/>
                <w:sz w:val="20"/>
                <w:szCs w:val="20"/>
                <w:lang w:eastAsia="fr-ML"/>
              </w:rPr>
              <w:t>ml</w:t>
            </w:r>
            <w:proofErr w:type="gramEnd"/>
            <w:r w:rsidRPr="00607CA7">
              <w:rPr>
                <w:rFonts w:ascii="Georgia" w:eastAsia="Times New Roman" w:hAnsi="Georgia" w:cs="Arial"/>
                <w:color w:val="000000"/>
                <w:sz w:val="20"/>
                <w:szCs w:val="20"/>
                <w:lang w:eastAsia="fr-ML"/>
              </w:rPr>
              <w:t xml:space="preserve"> </w:t>
            </w:r>
          </w:p>
        </w:tc>
        <w:tc>
          <w:tcPr>
            <w:tcW w:w="2408" w:type="dxa"/>
            <w:shd w:val="clear" w:color="auto" w:fill="auto"/>
            <w:noWrap/>
            <w:vAlign w:val="center"/>
            <w:hideMark/>
          </w:tcPr>
          <w:p w14:paraId="1CE5524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24931AA2"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3552B99C" w14:textId="77777777" w:rsidTr="00607CA7">
        <w:trPr>
          <w:trHeight w:val="801"/>
        </w:trPr>
        <w:tc>
          <w:tcPr>
            <w:tcW w:w="562" w:type="dxa"/>
            <w:shd w:val="clear" w:color="auto" w:fill="auto"/>
            <w:noWrap/>
            <w:vAlign w:val="center"/>
            <w:hideMark/>
          </w:tcPr>
          <w:p w14:paraId="3EF76CC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2.7</w:t>
            </w:r>
          </w:p>
        </w:tc>
        <w:tc>
          <w:tcPr>
            <w:tcW w:w="3802" w:type="dxa"/>
            <w:shd w:val="clear" w:color="auto" w:fill="auto"/>
            <w:vAlign w:val="center"/>
            <w:hideMark/>
          </w:tcPr>
          <w:p w14:paraId="3514070C"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Aménagement tête de forage y compris fourniture et pose accessoires hydrauliques (compteur d'eau, </w:t>
            </w:r>
            <w:proofErr w:type="spellStart"/>
            <w:proofErr w:type="gramStart"/>
            <w:r w:rsidRPr="00607CA7">
              <w:rPr>
                <w:rFonts w:ascii="Georgia" w:eastAsia="Times New Roman" w:hAnsi="Georgia" w:cs="Arial"/>
                <w:color w:val="000000"/>
                <w:sz w:val="20"/>
                <w:szCs w:val="20"/>
                <w:lang w:eastAsia="fr-ML"/>
              </w:rPr>
              <w:t>filtre,clapet</w:t>
            </w:r>
            <w:proofErr w:type="spellEnd"/>
            <w:proofErr w:type="gramEnd"/>
            <w:r w:rsidRPr="00607CA7">
              <w:rPr>
                <w:rFonts w:ascii="Georgia" w:eastAsia="Times New Roman" w:hAnsi="Georgia" w:cs="Arial"/>
                <w:color w:val="000000"/>
                <w:sz w:val="20"/>
                <w:szCs w:val="20"/>
                <w:lang w:eastAsia="fr-ML"/>
              </w:rPr>
              <w:t>, ventouse, manomètre….) et clôture grillagée y compris toutes sujétions</w:t>
            </w:r>
          </w:p>
        </w:tc>
        <w:tc>
          <w:tcPr>
            <w:tcW w:w="1159" w:type="dxa"/>
            <w:shd w:val="clear" w:color="auto" w:fill="auto"/>
            <w:noWrap/>
            <w:vAlign w:val="center"/>
            <w:hideMark/>
          </w:tcPr>
          <w:p w14:paraId="5C5F3684"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4BBB5A04"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6D793327"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0AC9832D" w14:textId="77777777" w:rsidTr="00607CA7">
        <w:trPr>
          <w:trHeight w:val="999"/>
        </w:trPr>
        <w:tc>
          <w:tcPr>
            <w:tcW w:w="562" w:type="dxa"/>
            <w:shd w:val="clear" w:color="auto" w:fill="auto"/>
            <w:noWrap/>
            <w:vAlign w:val="center"/>
            <w:hideMark/>
          </w:tcPr>
          <w:p w14:paraId="41A7637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2.8</w:t>
            </w:r>
          </w:p>
        </w:tc>
        <w:tc>
          <w:tcPr>
            <w:tcW w:w="3802" w:type="dxa"/>
            <w:shd w:val="clear" w:color="auto" w:fill="auto"/>
            <w:vAlign w:val="center"/>
            <w:hideMark/>
          </w:tcPr>
          <w:p w14:paraId="4D9EFB15"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Construction et équipements d'un branchement particulier (BP) avec 2 robinets de puisage y compris le regard de compteur avec fermeture métallique avec cadenas et puisard (diamètre 1,00 m, </w:t>
            </w:r>
            <w:proofErr w:type="gramStart"/>
            <w:r w:rsidRPr="00607CA7">
              <w:rPr>
                <w:rFonts w:ascii="Georgia" w:eastAsia="Times New Roman" w:hAnsi="Georgia" w:cs="Arial"/>
                <w:color w:val="000000"/>
                <w:sz w:val="20"/>
                <w:szCs w:val="20"/>
                <w:lang w:eastAsia="fr-ML"/>
              </w:rPr>
              <w:t>prof:</w:t>
            </w:r>
            <w:proofErr w:type="gramEnd"/>
            <w:r w:rsidRPr="00607CA7">
              <w:rPr>
                <w:rFonts w:ascii="Georgia" w:eastAsia="Times New Roman" w:hAnsi="Georgia" w:cs="Arial"/>
                <w:color w:val="000000"/>
                <w:sz w:val="20"/>
                <w:szCs w:val="20"/>
                <w:lang w:eastAsia="fr-ML"/>
              </w:rPr>
              <w:t xml:space="preserve"> 2,00 m) y compris toutes sujétions de pose et de raccordement. </w:t>
            </w:r>
          </w:p>
        </w:tc>
        <w:tc>
          <w:tcPr>
            <w:tcW w:w="1159" w:type="dxa"/>
            <w:shd w:val="clear" w:color="auto" w:fill="auto"/>
            <w:noWrap/>
            <w:vAlign w:val="center"/>
            <w:hideMark/>
          </w:tcPr>
          <w:p w14:paraId="67133955"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Unité</w:t>
            </w:r>
          </w:p>
        </w:tc>
        <w:tc>
          <w:tcPr>
            <w:tcW w:w="2408" w:type="dxa"/>
            <w:shd w:val="clear" w:color="auto" w:fill="auto"/>
            <w:noWrap/>
            <w:vAlign w:val="center"/>
            <w:hideMark/>
          </w:tcPr>
          <w:p w14:paraId="678B5083"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669C9B3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64FFD04E" w14:textId="77777777" w:rsidTr="00607CA7">
        <w:trPr>
          <w:trHeight w:val="801"/>
        </w:trPr>
        <w:tc>
          <w:tcPr>
            <w:tcW w:w="562" w:type="dxa"/>
            <w:shd w:val="clear" w:color="auto" w:fill="auto"/>
            <w:noWrap/>
            <w:vAlign w:val="center"/>
            <w:hideMark/>
          </w:tcPr>
          <w:p w14:paraId="6FB9FF8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2.9</w:t>
            </w:r>
          </w:p>
        </w:tc>
        <w:tc>
          <w:tcPr>
            <w:tcW w:w="3802" w:type="dxa"/>
            <w:shd w:val="clear" w:color="auto" w:fill="auto"/>
            <w:vAlign w:val="center"/>
            <w:hideMark/>
          </w:tcPr>
          <w:p w14:paraId="4D8CE85C"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Fourniture et pose de conduite de distribution PEHD Ø 63 mm PN 10 bars, y compris fouille en terrain tendres et durs, lit de </w:t>
            </w:r>
            <w:proofErr w:type="gramStart"/>
            <w:r w:rsidRPr="00607CA7">
              <w:rPr>
                <w:rFonts w:ascii="Georgia" w:eastAsia="Times New Roman" w:hAnsi="Georgia" w:cs="Arial"/>
                <w:color w:val="000000"/>
                <w:sz w:val="20"/>
                <w:szCs w:val="20"/>
                <w:lang w:eastAsia="fr-ML"/>
              </w:rPr>
              <w:t>sable  et</w:t>
            </w:r>
            <w:proofErr w:type="gramEnd"/>
            <w:r w:rsidRPr="00607CA7">
              <w:rPr>
                <w:rFonts w:ascii="Georgia" w:eastAsia="Times New Roman" w:hAnsi="Georgia" w:cs="Arial"/>
                <w:color w:val="000000"/>
                <w:sz w:val="20"/>
                <w:szCs w:val="20"/>
                <w:lang w:eastAsia="fr-ML"/>
              </w:rPr>
              <w:t xml:space="preserve">  grillage avertisseur bleu y compris toutes sujétions</w:t>
            </w:r>
          </w:p>
        </w:tc>
        <w:tc>
          <w:tcPr>
            <w:tcW w:w="1159" w:type="dxa"/>
            <w:shd w:val="clear" w:color="auto" w:fill="auto"/>
            <w:noWrap/>
            <w:vAlign w:val="center"/>
            <w:hideMark/>
          </w:tcPr>
          <w:p w14:paraId="31BAF74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proofErr w:type="gramStart"/>
            <w:r w:rsidRPr="00607CA7">
              <w:rPr>
                <w:rFonts w:ascii="Georgia" w:eastAsia="Times New Roman" w:hAnsi="Georgia" w:cs="Arial"/>
                <w:color w:val="000000"/>
                <w:sz w:val="20"/>
                <w:szCs w:val="20"/>
                <w:lang w:eastAsia="fr-ML"/>
              </w:rPr>
              <w:t>ml</w:t>
            </w:r>
            <w:proofErr w:type="gramEnd"/>
            <w:r w:rsidRPr="00607CA7">
              <w:rPr>
                <w:rFonts w:ascii="Georgia" w:eastAsia="Times New Roman" w:hAnsi="Georgia" w:cs="Arial"/>
                <w:color w:val="000000"/>
                <w:sz w:val="20"/>
                <w:szCs w:val="20"/>
                <w:lang w:eastAsia="fr-ML"/>
              </w:rPr>
              <w:t xml:space="preserve"> </w:t>
            </w:r>
          </w:p>
        </w:tc>
        <w:tc>
          <w:tcPr>
            <w:tcW w:w="2408" w:type="dxa"/>
            <w:shd w:val="clear" w:color="auto" w:fill="auto"/>
            <w:noWrap/>
            <w:vAlign w:val="center"/>
            <w:hideMark/>
          </w:tcPr>
          <w:p w14:paraId="6CAC265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2346E9F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4CFAA5CC" w14:textId="77777777" w:rsidTr="00607CA7">
        <w:trPr>
          <w:trHeight w:val="801"/>
        </w:trPr>
        <w:tc>
          <w:tcPr>
            <w:tcW w:w="562" w:type="dxa"/>
            <w:shd w:val="clear" w:color="auto" w:fill="auto"/>
            <w:noWrap/>
            <w:vAlign w:val="center"/>
            <w:hideMark/>
          </w:tcPr>
          <w:p w14:paraId="44E730F4"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2.10</w:t>
            </w:r>
          </w:p>
        </w:tc>
        <w:tc>
          <w:tcPr>
            <w:tcW w:w="3802" w:type="dxa"/>
            <w:shd w:val="clear" w:color="auto" w:fill="auto"/>
            <w:vAlign w:val="center"/>
            <w:hideMark/>
          </w:tcPr>
          <w:p w14:paraId="744DDAB4"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Raccordement de la conduite de distribution aux deux réservoirs et pose de flotteur (y compris câble et raccordement) sur les réservoirs, y compris toutes sujétions de pose et de main d'œuvre</w:t>
            </w:r>
          </w:p>
        </w:tc>
        <w:tc>
          <w:tcPr>
            <w:tcW w:w="1159" w:type="dxa"/>
            <w:shd w:val="clear" w:color="auto" w:fill="auto"/>
            <w:noWrap/>
            <w:vAlign w:val="center"/>
            <w:hideMark/>
          </w:tcPr>
          <w:p w14:paraId="69CC11F7"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54DA2432"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4FAB687B"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1B8C9F22" w14:textId="77777777" w:rsidTr="00607CA7">
        <w:trPr>
          <w:trHeight w:val="300"/>
        </w:trPr>
        <w:tc>
          <w:tcPr>
            <w:tcW w:w="562" w:type="dxa"/>
            <w:shd w:val="clear" w:color="auto" w:fill="auto"/>
            <w:noWrap/>
            <w:vAlign w:val="center"/>
            <w:hideMark/>
          </w:tcPr>
          <w:p w14:paraId="46B7663D"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2.11</w:t>
            </w:r>
          </w:p>
        </w:tc>
        <w:tc>
          <w:tcPr>
            <w:tcW w:w="3802" w:type="dxa"/>
            <w:shd w:val="clear" w:color="auto" w:fill="auto"/>
            <w:noWrap/>
            <w:vAlign w:val="center"/>
            <w:hideMark/>
          </w:tcPr>
          <w:p w14:paraId="04DA17EB"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Essai de pression du réseau</w:t>
            </w:r>
          </w:p>
        </w:tc>
        <w:tc>
          <w:tcPr>
            <w:tcW w:w="1159" w:type="dxa"/>
            <w:shd w:val="clear" w:color="auto" w:fill="auto"/>
            <w:vAlign w:val="center"/>
            <w:hideMark/>
          </w:tcPr>
          <w:p w14:paraId="3DD4391C"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119FBD7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383547D7"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42CEB6EF" w14:textId="77777777" w:rsidTr="00607CA7">
        <w:trPr>
          <w:trHeight w:val="300"/>
        </w:trPr>
        <w:tc>
          <w:tcPr>
            <w:tcW w:w="562" w:type="dxa"/>
            <w:shd w:val="clear" w:color="auto" w:fill="auto"/>
            <w:noWrap/>
            <w:vAlign w:val="center"/>
            <w:hideMark/>
          </w:tcPr>
          <w:p w14:paraId="7CC18CE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2.12</w:t>
            </w:r>
          </w:p>
        </w:tc>
        <w:tc>
          <w:tcPr>
            <w:tcW w:w="3802" w:type="dxa"/>
            <w:shd w:val="clear" w:color="auto" w:fill="auto"/>
            <w:noWrap/>
            <w:vAlign w:val="center"/>
            <w:hideMark/>
          </w:tcPr>
          <w:p w14:paraId="2846700D"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xml:space="preserve">Désinfection et rinçage du réseau </w:t>
            </w:r>
          </w:p>
        </w:tc>
        <w:tc>
          <w:tcPr>
            <w:tcW w:w="1159" w:type="dxa"/>
            <w:shd w:val="clear" w:color="auto" w:fill="auto"/>
            <w:vAlign w:val="center"/>
            <w:hideMark/>
          </w:tcPr>
          <w:p w14:paraId="3145742C"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50868078"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52FB562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214311A2" w14:textId="77777777" w:rsidTr="00607CA7">
        <w:trPr>
          <w:trHeight w:val="396"/>
        </w:trPr>
        <w:tc>
          <w:tcPr>
            <w:tcW w:w="562" w:type="dxa"/>
            <w:shd w:val="clear" w:color="000000" w:fill="FCE4D6"/>
            <w:noWrap/>
            <w:vAlign w:val="center"/>
            <w:hideMark/>
          </w:tcPr>
          <w:p w14:paraId="0F4CC0CD"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3</w:t>
            </w:r>
          </w:p>
        </w:tc>
        <w:tc>
          <w:tcPr>
            <w:tcW w:w="9781" w:type="dxa"/>
            <w:gridSpan w:val="4"/>
            <w:shd w:val="clear" w:color="000000" w:fill="FCE4D6"/>
            <w:vAlign w:val="center"/>
            <w:hideMark/>
          </w:tcPr>
          <w:p w14:paraId="0E8D2103"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Travaux de réalisation d'une dalle de dépotage avec raccordement vers la lagune "toutes eaux"</w:t>
            </w:r>
          </w:p>
        </w:tc>
      </w:tr>
      <w:tr w:rsidR="00607CA7" w:rsidRPr="00607CA7" w14:paraId="1C7B74EC" w14:textId="77777777" w:rsidTr="00607CA7">
        <w:trPr>
          <w:trHeight w:val="900"/>
        </w:trPr>
        <w:tc>
          <w:tcPr>
            <w:tcW w:w="562" w:type="dxa"/>
            <w:shd w:val="clear" w:color="auto" w:fill="auto"/>
            <w:noWrap/>
            <w:vAlign w:val="center"/>
            <w:hideMark/>
          </w:tcPr>
          <w:p w14:paraId="250831BF"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3.1</w:t>
            </w:r>
          </w:p>
        </w:tc>
        <w:tc>
          <w:tcPr>
            <w:tcW w:w="3802" w:type="dxa"/>
            <w:shd w:val="clear" w:color="auto" w:fill="auto"/>
            <w:vAlign w:val="center"/>
            <w:hideMark/>
          </w:tcPr>
          <w:p w14:paraId="46692136" w14:textId="77777777" w:rsidR="00607CA7" w:rsidRPr="00607CA7" w:rsidRDefault="00607CA7" w:rsidP="00607CA7">
            <w:pPr>
              <w:spacing w:after="0" w:line="240" w:lineRule="auto"/>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Construction d'une dalle de dépotage avec un rebord qui sera adossée à la lagune "toutes eaux" de la STBV et raccordement via une chambre de visite à la lagune "toutes eaux" y compris toutes sujétions</w:t>
            </w:r>
          </w:p>
        </w:tc>
        <w:tc>
          <w:tcPr>
            <w:tcW w:w="1159" w:type="dxa"/>
            <w:shd w:val="clear" w:color="auto" w:fill="auto"/>
            <w:vAlign w:val="center"/>
            <w:hideMark/>
          </w:tcPr>
          <w:p w14:paraId="4A2BF0A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12BB2C6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31A42691"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18488A6D" w14:textId="77777777" w:rsidTr="00607CA7">
        <w:trPr>
          <w:trHeight w:val="540"/>
        </w:trPr>
        <w:tc>
          <w:tcPr>
            <w:tcW w:w="562" w:type="dxa"/>
            <w:shd w:val="clear" w:color="000000" w:fill="FCE4D6"/>
            <w:noWrap/>
            <w:vAlign w:val="center"/>
            <w:hideMark/>
          </w:tcPr>
          <w:p w14:paraId="4741379C"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4</w:t>
            </w:r>
          </w:p>
        </w:tc>
        <w:tc>
          <w:tcPr>
            <w:tcW w:w="9781" w:type="dxa"/>
            <w:gridSpan w:val="4"/>
            <w:shd w:val="clear" w:color="000000" w:fill="FCE4D6"/>
            <w:vAlign w:val="center"/>
            <w:hideMark/>
          </w:tcPr>
          <w:p w14:paraId="2BFF31A7"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 xml:space="preserve">Travaux d'aménagement </w:t>
            </w:r>
            <w:proofErr w:type="spellStart"/>
            <w:r w:rsidRPr="00607CA7">
              <w:rPr>
                <w:rFonts w:ascii="Georgia" w:eastAsia="Times New Roman" w:hAnsi="Georgia" w:cs="Arial"/>
                <w:b/>
                <w:bCs/>
                <w:color w:val="000000"/>
                <w:sz w:val="20"/>
                <w:szCs w:val="20"/>
                <w:lang w:eastAsia="fr-ML"/>
              </w:rPr>
              <w:t>anti-érosif</w:t>
            </w:r>
            <w:proofErr w:type="spellEnd"/>
          </w:p>
        </w:tc>
      </w:tr>
      <w:tr w:rsidR="00607CA7" w:rsidRPr="00607CA7" w14:paraId="45B8CF95" w14:textId="77777777" w:rsidTr="00607CA7">
        <w:trPr>
          <w:trHeight w:val="960"/>
        </w:trPr>
        <w:tc>
          <w:tcPr>
            <w:tcW w:w="562" w:type="dxa"/>
            <w:shd w:val="clear" w:color="auto" w:fill="auto"/>
            <w:vAlign w:val="center"/>
            <w:hideMark/>
          </w:tcPr>
          <w:p w14:paraId="31F347D9"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lastRenderedPageBreak/>
              <w:t>4.1</w:t>
            </w:r>
          </w:p>
        </w:tc>
        <w:tc>
          <w:tcPr>
            <w:tcW w:w="3802" w:type="dxa"/>
            <w:shd w:val="clear" w:color="auto" w:fill="auto"/>
            <w:vAlign w:val="center"/>
            <w:hideMark/>
          </w:tcPr>
          <w:p w14:paraId="5D1817E9"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Réparation des griffes d'érosion par des empierrements grossiers placés sur un géotextile filtrant et protection d'un talus par des enrochements ou moellonnages secs posés sur géotextile et ce y compris toutes sujétions de main d'œuvre</w:t>
            </w:r>
          </w:p>
        </w:tc>
        <w:tc>
          <w:tcPr>
            <w:tcW w:w="1159" w:type="dxa"/>
            <w:shd w:val="clear" w:color="auto" w:fill="auto"/>
            <w:vAlign w:val="center"/>
            <w:hideMark/>
          </w:tcPr>
          <w:p w14:paraId="005A3BD0"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Forfait</w:t>
            </w:r>
          </w:p>
        </w:tc>
        <w:tc>
          <w:tcPr>
            <w:tcW w:w="2408" w:type="dxa"/>
            <w:shd w:val="clear" w:color="auto" w:fill="auto"/>
            <w:noWrap/>
            <w:vAlign w:val="center"/>
            <w:hideMark/>
          </w:tcPr>
          <w:p w14:paraId="20B538D6"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63522BE7"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6D42AF06" w14:textId="77777777" w:rsidTr="00607CA7">
        <w:trPr>
          <w:trHeight w:val="540"/>
        </w:trPr>
        <w:tc>
          <w:tcPr>
            <w:tcW w:w="562" w:type="dxa"/>
            <w:shd w:val="clear" w:color="000000" w:fill="FCE4D6"/>
            <w:noWrap/>
            <w:vAlign w:val="center"/>
            <w:hideMark/>
          </w:tcPr>
          <w:p w14:paraId="5E006071" w14:textId="77777777" w:rsidR="00607CA7" w:rsidRPr="00607CA7" w:rsidRDefault="00607CA7" w:rsidP="00607CA7">
            <w:pPr>
              <w:spacing w:after="0" w:line="240" w:lineRule="auto"/>
              <w:jc w:val="center"/>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5</w:t>
            </w:r>
          </w:p>
        </w:tc>
        <w:tc>
          <w:tcPr>
            <w:tcW w:w="9781" w:type="dxa"/>
            <w:gridSpan w:val="4"/>
            <w:shd w:val="clear" w:color="000000" w:fill="FCE4D6"/>
            <w:vAlign w:val="center"/>
            <w:hideMark/>
          </w:tcPr>
          <w:p w14:paraId="4F80BCAC" w14:textId="77777777" w:rsidR="00607CA7" w:rsidRPr="00607CA7" w:rsidRDefault="00607CA7" w:rsidP="00607CA7">
            <w:pPr>
              <w:spacing w:after="0" w:line="240" w:lineRule="auto"/>
              <w:rPr>
                <w:rFonts w:ascii="Georgia" w:eastAsia="Times New Roman" w:hAnsi="Georgia" w:cs="Arial"/>
                <w:b/>
                <w:bCs/>
                <w:color w:val="000000"/>
                <w:sz w:val="20"/>
                <w:szCs w:val="20"/>
                <w:lang w:eastAsia="fr-ML"/>
              </w:rPr>
            </w:pPr>
            <w:r w:rsidRPr="00607CA7">
              <w:rPr>
                <w:rFonts w:ascii="Georgia" w:eastAsia="Times New Roman" w:hAnsi="Georgia" w:cs="Arial"/>
                <w:b/>
                <w:bCs/>
                <w:color w:val="000000"/>
                <w:sz w:val="20"/>
                <w:szCs w:val="20"/>
                <w:lang w:eastAsia="fr-ML"/>
              </w:rPr>
              <w:t>Travaux de réalisation de casse-vitesse</w:t>
            </w:r>
          </w:p>
        </w:tc>
      </w:tr>
      <w:tr w:rsidR="00607CA7" w:rsidRPr="00607CA7" w14:paraId="0FAF0997" w14:textId="77777777" w:rsidTr="00607CA7">
        <w:trPr>
          <w:trHeight w:val="801"/>
        </w:trPr>
        <w:tc>
          <w:tcPr>
            <w:tcW w:w="562" w:type="dxa"/>
            <w:shd w:val="clear" w:color="auto" w:fill="auto"/>
            <w:vAlign w:val="center"/>
            <w:hideMark/>
          </w:tcPr>
          <w:p w14:paraId="32415D96"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5.1</w:t>
            </w:r>
          </w:p>
        </w:tc>
        <w:tc>
          <w:tcPr>
            <w:tcW w:w="3802" w:type="dxa"/>
            <w:shd w:val="clear" w:color="auto" w:fill="auto"/>
            <w:noWrap/>
            <w:vAlign w:val="center"/>
            <w:hideMark/>
          </w:tcPr>
          <w:p w14:paraId="10B00642"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Casse-vitesse en voie interne à la STBV et ce y compris la tranchée et la protection de la conduite de distribution en PEHD y compris toutes sujétions</w:t>
            </w:r>
          </w:p>
        </w:tc>
        <w:tc>
          <w:tcPr>
            <w:tcW w:w="1159" w:type="dxa"/>
            <w:shd w:val="clear" w:color="auto" w:fill="auto"/>
            <w:vAlign w:val="center"/>
            <w:hideMark/>
          </w:tcPr>
          <w:p w14:paraId="4BECBF62"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Unité</w:t>
            </w:r>
          </w:p>
        </w:tc>
        <w:tc>
          <w:tcPr>
            <w:tcW w:w="2408" w:type="dxa"/>
            <w:shd w:val="clear" w:color="auto" w:fill="auto"/>
            <w:noWrap/>
            <w:vAlign w:val="center"/>
            <w:hideMark/>
          </w:tcPr>
          <w:p w14:paraId="5476EF49"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71C6B7CE"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r w:rsidR="00607CA7" w:rsidRPr="00607CA7" w14:paraId="29017BB3" w14:textId="77777777" w:rsidTr="00607CA7">
        <w:trPr>
          <w:trHeight w:val="300"/>
        </w:trPr>
        <w:tc>
          <w:tcPr>
            <w:tcW w:w="562" w:type="dxa"/>
            <w:shd w:val="clear" w:color="auto" w:fill="auto"/>
            <w:vAlign w:val="center"/>
            <w:hideMark/>
          </w:tcPr>
          <w:p w14:paraId="490FA5EB"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5.2</w:t>
            </w:r>
          </w:p>
        </w:tc>
        <w:tc>
          <w:tcPr>
            <w:tcW w:w="3802" w:type="dxa"/>
            <w:shd w:val="clear" w:color="auto" w:fill="auto"/>
            <w:noWrap/>
            <w:vAlign w:val="center"/>
            <w:hideMark/>
          </w:tcPr>
          <w:p w14:paraId="785D0DD2" w14:textId="77777777" w:rsidR="00607CA7" w:rsidRPr="00607CA7" w:rsidRDefault="00607CA7" w:rsidP="00607CA7">
            <w:pPr>
              <w:spacing w:after="0" w:line="240" w:lineRule="auto"/>
              <w:jc w:val="both"/>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Casse-vitesse en voie externe y compris toutes sujétions</w:t>
            </w:r>
          </w:p>
        </w:tc>
        <w:tc>
          <w:tcPr>
            <w:tcW w:w="1159" w:type="dxa"/>
            <w:shd w:val="clear" w:color="auto" w:fill="auto"/>
            <w:vAlign w:val="center"/>
            <w:hideMark/>
          </w:tcPr>
          <w:p w14:paraId="24E82F3F"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Unité</w:t>
            </w:r>
          </w:p>
        </w:tc>
        <w:tc>
          <w:tcPr>
            <w:tcW w:w="2408" w:type="dxa"/>
            <w:shd w:val="clear" w:color="auto" w:fill="auto"/>
            <w:noWrap/>
            <w:vAlign w:val="center"/>
            <w:hideMark/>
          </w:tcPr>
          <w:p w14:paraId="7A694466"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c>
          <w:tcPr>
            <w:tcW w:w="2412" w:type="dxa"/>
            <w:shd w:val="clear" w:color="auto" w:fill="auto"/>
            <w:noWrap/>
            <w:vAlign w:val="center"/>
            <w:hideMark/>
          </w:tcPr>
          <w:p w14:paraId="3371E5F5" w14:textId="77777777" w:rsidR="00607CA7" w:rsidRPr="00607CA7" w:rsidRDefault="00607CA7" w:rsidP="00607CA7">
            <w:pPr>
              <w:spacing w:after="0" w:line="240" w:lineRule="auto"/>
              <w:jc w:val="center"/>
              <w:rPr>
                <w:rFonts w:ascii="Georgia" w:eastAsia="Times New Roman" w:hAnsi="Georgia" w:cs="Arial"/>
                <w:color w:val="000000"/>
                <w:sz w:val="20"/>
                <w:szCs w:val="20"/>
                <w:lang w:eastAsia="fr-ML"/>
              </w:rPr>
            </w:pPr>
            <w:r w:rsidRPr="00607CA7">
              <w:rPr>
                <w:rFonts w:ascii="Georgia" w:eastAsia="Times New Roman" w:hAnsi="Georgia" w:cs="Arial"/>
                <w:color w:val="000000"/>
                <w:sz w:val="20"/>
                <w:szCs w:val="20"/>
                <w:lang w:eastAsia="fr-ML"/>
              </w:rPr>
              <w:t> </w:t>
            </w:r>
          </w:p>
        </w:tc>
      </w:tr>
    </w:tbl>
    <w:p w14:paraId="07C2CAC0" w14:textId="77777777" w:rsidR="000B1538" w:rsidRPr="000B1538" w:rsidRDefault="000B1538" w:rsidP="000B1538">
      <w:pPr>
        <w:spacing w:after="120" w:line="288" w:lineRule="auto"/>
        <w:jc w:val="both"/>
        <w:rPr>
          <w:rFonts w:ascii="Georgia" w:hAnsi="Georgia"/>
          <w:b/>
          <w:bCs/>
          <w:sz w:val="24"/>
          <w:szCs w:val="24"/>
        </w:rPr>
      </w:pPr>
    </w:p>
    <w:p w14:paraId="40FA9568" w14:textId="77777777" w:rsidR="00607CA7" w:rsidRPr="00C728DB" w:rsidRDefault="00607CA7" w:rsidP="00607CA7">
      <w:pPr>
        <w:rPr>
          <w:rFonts w:ascii="Georgia" w:hAnsi="Georgia"/>
          <w:sz w:val="20"/>
          <w:szCs w:val="20"/>
          <w:lang w:val="fr-BE"/>
        </w:rPr>
      </w:pPr>
      <w:r w:rsidRPr="00C728DB">
        <w:rPr>
          <w:rFonts w:ascii="Georgia" w:hAnsi="Georgia"/>
          <w:sz w:val="20"/>
          <w:szCs w:val="20"/>
          <w:lang w:val="fr-BE"/>
        </w:rPr>
        <w:t>Date :</w:t>
      </w:r>
    </w:p>
    <w:p w14:paraId="68428D06" w14:textId="77777777" w:rsidR="00607CA7" w:rsidRPr="00C728DB" w:rsidRDefault="00607CA7" w:rsidP="00607CA7">
      <w:pPr>
        <w:rPr>
          <w:rFonts w:ascii="Georgia" w:hAnsi="Georgia"/>
          <w:sz w:val="20"/>
          <w:szCs w:val="20"/>
          <w:lang w:val="fr-BE"/>
        </w:rPr>
      </w:pPr>
      <w:r w:rsidRPr="00C728DB">
        <w:rPr>
          <w:rFonts w:ascii="Georgia" w:hAnsi="Georgia"/>
          <w:sz w:val="20"/>
          <w:szCs w:val="20"/>
          <w:lang w:val="fr-BE"/>
        </w:rPr>
        <w:t>Le Soumissionnaire</w:t>
      </w:r>
    </w:p>
    <w:p w14:paraId="5C28FBA4" w14:textId="77777777" w:rsidR="00607CA7" w:rsidRPr="00C728DB" w:rsidRDefault="00607CA7" w:rsidP="00607CA7">
      <w:pPr>
        <w:rPr>
          <w:rFonts w:ascii="Georgia" w:hAnsi="Georgia"/>
          <w:sz w:val="20"/>
          <w:szCs w:val="20"/>
          <w:lang w:val="fr-BE"/>
        </w:rPr>
      </w:pPr>
    </w:p>
    <w:p w14:paraId="2EBC196B" w14:textId="68CA1880" w:rsidR="00F20AF6" w:rsidRDefault="00607CA7" w:rsidP="00607CA7">
      <w:r w:rsidRPr="00C728DB">
        <w:rPr>
          <w:rFonts w:ascii="Georgia" w:hAnsi="Georgia"/>
          <w:sz w:val="20"/>
          <w:szCs w:val="20"/>
          <w:lang w:val="fr-BE"/>
        </w:rPr>
        <w:t>Cachet et signature</w:t>
      </w:r>
    </w:p>
    <w:sectPr w:rsidR="00F20AF6" w:rsidSect="000B1538">
      <w:pgSz w:w="11906" w:h="16838"/>
      <w:pgMar w:top="1135"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5CE986"/>
    <w:lvl w:ilvl="0">
      <w:start w:val="1"/>
      <w:numFmt w:val="decimal"/>
      <w:lvlText w:val="%1"/>
      <w:lvlJc w:val="left"/>
      <w:pPr>
        <w:tabs>
          <w:tab w:val="num" w:pos="432"/>
        </w:tabs>
        <w:ind w:left="432" w:hanging="432"/>
      </w:pPr>
      <w:rPr>
        <w:color w:val="FFFFFF"/>
      </w:rPr>
    </w:lvl>
    <w:lvl w:ilvl="1">
      <w:start w:val="1"/>
      <w:numFmt w:val="decimal"/>
      <w:lvlText w:val="%1.%2"/>
      <w:lvlJc w:val="left"/>
      <w:pPr>
        <w:tabs>
          <w:tab w:val="num" w:pos="576"/>
        </w:tabs>
        <w:ind w:left="576" w:hanging="576"/>
      </w:pPr>
      <w:rPr>
        <w:color w:val="C00000"/>
      </w:rPr>
    </w:lvl>
    <w:lvl w:ilvl="2">
      <w:start w:val="1"/>
      <w:numFmt w:val="decimal"/>
      <w:lvlText w:val="%1.%2.%3"/>
      <w:lvlJc w:val="left"/>
      <w:pPr>
        <w:tabs>
          <w:tab w:val="num" w:pos="810"/>
        </w:tabs>
        <w:ind w:left="810" w:hanging="720"/>
      </w:pPr>
      <w:rPr>
        <w:color w:val="80808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5BC2C03"/>
    <w:multiLevelType w:val="multilevel"/>
    <w:tmpl w:val="9AC05A1A"/>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1979A3"/>
    <w:multiLevelType w:val="multilevel"/>
    <w:tmpl w:val="6ACC7CA0"/>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eastAsia="Arial Unicode MS" w:cs="Tahoma" w:hint="default"/>
        <w:b/>
        <w:color w:val="auto"/>
        <w:sz w:val="22"/>
      </w:rPr>
    </w:lvl>
    <w:lvl w:ilvl="2">
      <w:start w:val="7"/>
      <w:numFmt w:val="decimal"/>
      <w:isLgl/>
      <w:lvlText w:val="%1.%2.%3"/>
      <w:lvlJc w:val="left"/>
      <w:pPr>
        <w:ind w:left="1260" w:hanging="900"/>
      </w:pPr>
      <w:rPr>
        <w:rFonts w:eastAsia="Arial Unicode MS" w:cs="Tahoma" w:hint="default"/>
        <w:b/>
        <w:color w:val="auto"/>
        <w:sz w:val="22"/>
      </w:rPr>
    </w:lvl>
    <w:lvl w:ilvl="3">
      <w:start w:val="2"/>
      <w:numFmt w:val="decimal"/>
      <w:isLgl/>
      <w:lvlText w:val="%1.%2.%3.%4"/>
      <w:lvlJc w:val="left"/>
      <w:pPr>
        <w:ind w:left="1260" w:hanging="900"/>
      </w:pPr>
      <w:rPr>
        <w:rFonts w:eastAsia="Arial Unicode MS" w:cs="Tahoma" w:hint="default"/>
        <w:b/>
        <w:color w:val="auto"/>
        <w:sz w:val="22"/>
      </w:rPr>
    </w:lvl>
    <w:lvl w:ilvl="4">
      <w:start w:val="1"/>
      <w:numFmt w:val="decimal"/>
      <w:isLgl/>
      <w:lvlText w:val="%1.%2.%3.%4.%5"/>
      <w:lvlJc w:val="left"/>
      <w:pPr>
        <w:ind w:left="7601" w:hanging="1080"/>
      </w:pPr>
      <w:rPr>
        <w:rFonts w:eastAsia="Arial Unicode MS" w:cs="Tahoma" w:hint="default"/>
        <w:b/>
        <w:color w:val="auto"/>
        <w:sz w:val="21"/>
        <w:szCs w:val="21"/>
      </w:rPr>
    </w:lvl>
    <w:lvl w:ilvl="5">
      <w:start w:val="1"/>
      <w:numFmt w:val="decimal"/>
      <w:isLgl/>
      <w:lvlText w:val="%1.%2.%3.%4.%5.%6"/>
      <w:lvlJc w:val="left"/>
      <w:pPr>
        <w:ind w:left="1800" w:hanging="1440"/>
      </w:pPr>
      <w:rPr>
        <w:rFonts w:eastAsia="Arial Unicode MS" w:cs="Tahoma" w:hint="default"/>
        <w:b/>
        <w:color w:val="auto"/>
        <w:sz w:val="22"/>
      </w:rPr>
    </w:lvl>
    <w:lvl w:ilvl="6">
      <w:start w:val="1"/>
      <w:numFmt w:val="decimal"/>
      <w:isLgl/>
      <w:lvlText w:val="%1.%2.%3.%4.%5.%6.%7"/>
      <w:lvlJc w:val="left"/>
      <w:pPr>
        <w:ind w:left="1800" w:hanging="1440"/>
      </w:pPr>
      <w:rPr>
        <w:rFonts w:eastAsia="Arial Unicode MS" w:cs="Tahoma" w:hint="default"/>
        <w:b/>
        <w:color w:val="auto"/>
        <w:sz w:val="22"/>
      </w:rPr>
    </w:lvl>
    <w:lvl w:ilvl="7">
      <w:start w:val="1"/>
      <w:numFmt w:val="decimal"/>
      <w:isLgl/>
      <w:lvlText w:val="%1.%2.%3.%4.%5.%6.%7.%8"/>
      <w:lvlJc w:val="left"/>
      <w:pPr>
        <w:ind w:left="2160" w:hanging="1800"/>
      </w:pPr>
      <w:rPr>
        <w:rFonts w:eastAsia="Arial Unicode MS" w:cs="Tahoma" w:hint="default"/>
        <w:b/>
        <w:color w:val="auto"/>
        <w:sz w:val="22"/>
      </w:rPr>
    </w:lvl>
    <w:lvl w:ilvl="8">
      <w:start w:val="1"/>
      <w:numFmt w:val="decimal"/>
      <w:isLgl/>
      <w:lvlText w:val="%1.%2.%3.%4.%5.%6.%7.%8.%9"/>
      <w:lvlJc w:val="left"/>
      <w:pPr>
        <w:ind w:left="2160" w:hanging="1800"/>
      </w:pPr>
      <w:rPr>
        <w:rFonts w:eastAsia="Arial Unicode MS" w:cs="Tahoma" w:hint="default"/>
        <w:b/>
        <w:color w:val="auto"/>
        <w:sz w:val="22"/>
      </w:rPr>
    </w:lvl>
  </w:abstractNum>
  <w:abstractNum w:abstractNumId="3" w15:restartNumberingAfterBreak="0">
    <w:nsid w:val="08B546B5"/>
    <w:multiLevelType w:val="hybridMultilevel"/>
    <w:tmpl w:val="1C8682F4"/>
    <w:lvl w:ilvl="0" w:tplc="68341A58">
      <w:start w:val="1"/>
      <w:numFmt w:val="upperLetter"/>
      <w:lvlText w:val="%1."/>
      <w:lvlJc w:val="left"/>
      <w:pPr>
        <w:ind w:left="1080" w:hanging="360"/>
      </w:pPr>
      <w:rPr>
        <w:rFonts w:hint="default"/>
      </w:rPr>
    </w:lvl>
    <w:lvl w:ilvl="1" w:tplc="340C0019" w:tentative="1">
      <w:start w:val="1"/>
      <w:numFmt w:val="lowerLetter"/>
      <w:lvlText w:val="%2."/>
      <w:lvlJc w:val="left"/>
      <w:pPr>
        <w:ind w:left="1800" w:hanging="360"/>
      </w:pPr>
    </w:lvl>
    <w:lvl w:ilvl="2" w:tplc="340C001B" w:tentative="1">
      <w:start w:val="1"/>
      <w:numFmt w:val="lowerRoman"/>
      <w:lvlText w:val="%3."/>
      <w:lvlJc w:val="right"/>
      <w:pPr>
        <w:ind w:left="2520" w:hanging="180"/>
      </w:pPr>
    </w:lvl>
    <w:lvl w:ilvl="3" w:tplc="340C000F" w:tentative="1">
      <w:start w:val="1"/>
      <w:numFmt w:val="decimal"/>
      <w:lvlText w:val="%4."/>
      <w:lvlJc w:val="left"/>
      <w:pPr>
        <w:ind w:left="3240" w:hanging="360"/>
      </w:pPr>
    </w:lvl>
    <w:lvl w:ilvl="4" w:tplc="340C0019" w:tentative="1">
      <w:start w:val="1"/>
      <w:numFmt w:val="lowerLetter"/>
      <w:lvlText w:val="%5."/>
      <w:lvlJc w:val="left"/>
      <w:pPr>
        <w:ind w:left="3960" w:hanging="360"/>
      </w:pPr>
    </w:lvl>
    <w:lvl w:ilvl="5" w:tplc="340C001B" w:tentative="1">
      <w:start w:val="1"/>
      <w:numFmt w:val="lowerRoman"/>
      <w:lvlText w:val="%6."/>
      <w:lvlJc w:val="right"/>
      <w:pPr>
        <w:ind w:left="4680" w:hanging="180"/>
      </w:pPr>
    </w:lvl>
    <w:lvl w:ilvl="6" w:tplc="340C000F" w:tentative="1">
      <w:start w:val="1"/>
      <w:numFmt w:val="decimal"/>
      <w:lvlText w:val="%7."/>
      <w:lvlJc w:val="left"/>
      <w:pPr>
        <w:ind w:left="5400" w:hanging="360"/>
      </w:pPr>
    </w:lvl>
    <w:lvl w:ilvl="7" w:tplc="340C0019" w:tentative="1">
      <w:start w:val="1"/>
      <w:numFmt w:val="lowerLetter"/>
      <w:lvlText w:val="%8."/>
      <w:lvlJc w:val="left"/>
      <w:pPr>
        <w:ind w:left="6120" w:hanging="360"/>
      </w:pPr>
    </w:lvl>
    <w:lvl w:ilvl="8" w:tplc="340C001B" w:tentative="1">
      <w:start w:val="1"/>
      <w:numFmt w:val="lowerRoman"/>
      <w:lvlText w:val="%9."/>
      <w:lvlJc w:val="right"/>
      <w:pPr>
        <w:ind w:left="6840" w:hanging="180"/>
      </w:pPr>
    </w:lvl>
  </w:abstractNum>
  <w:abstractNum w:abstractNumId="4" w15:restartNumberingAfterBreak="0">
    <w:nsid w:val="188E31F6"/>
    <w:multiLevelType w:val="hybridMultilevel"/>
    <w:tmpl w:val="6BCA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033E"/>
    <w:multiLevelType w:val="hybridMultilevel"/>
    <w:tmpl w:val="3D10EB9C"/>
    <w:lvl w:ilvl="0" w:tplc="75AE042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6" w15:restartNumberingAfterBreak="0">
    <w:nsid w:val="221964B1"/>
    <w:multiLevelType w:val="multilevel"/>
    <w:tmpl w:val="A5DA28B0"/>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7"/>
      <w:numFmt w:val="decimal"/>
      <w:isLgl/>
      <w:lvlText w:val="%1.%2.%3"/>
      <w:lvlJc w:val="left"/>
      <w:pPr>
        <w:ind w:left="1155" w:hanging="795"/>
      </w:pPr>
      <w:rPr>
        <w:rFonts w:hint="default"/>
      </w:rPr>
    </w:lvl>
    <w:lvl w:ilvl="3">
      <w:start w:val="2"/>
      <w:numFmt w:val="decimal"/>
      <w:isLgl/>
      <w:lvlText w:val="%1.%2.%3.%4"/>
      <w:lvlJc w:val="left"/>
      <w:pPr>
        <w:ind w:left="1155" w:hanging="795"/>
      </w:pPr>
      <w:rPr>
        <w:rFonts w:hint="default"/>
      </w:rPr>
    </w:lvl>
    <w:lvl w:ilvl="4">
      <w:start w:val="2"/>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D36F1"/>
    <w:multiLevelType w:val="hybridMultilevel"/>
    <w:tmpl w:val="18446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54F773F"/>
    <w:multiLevelType w:val="hybridMultilevel"/>
    <w:tmpl w:val="189A2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50E0E3D"/>
    <w:multiLevelType w:val="hybridMultilevel"/>
    <w:tmpl w:val="E72E7914"/>
    <w:lvl w:ilvl="0" w:tplc="93BAF24C">
      <w:start w:val="1"/>
      <w:numFmt w:val="lowerLetter"/>
      <w:lvlText w:val="%1)"/>
      <w:lvlJc w:val="left"/>
      <w:pPr>
        <w:ind w:left="720" w:hanging="360"/>
      </w:pPr>
      <w:rPr>
        <w:rFonts w:hint="default"/>
        <w:b/>
        <w:bCs w:val="0"/>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67E43D5"/>
    <w:multiLevelType w:val="hybridMultilevel"/>
    <w:tmpl w:val="20360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0CF0949"/>
    <w:multiLevelType w:val="multilevel"/>
    <w:tmpl w:val="8C367266"/>
    <w:lvl w:ilvl="0">
      <w:start w:val="1"/>
      <w:numFmt w:val="decimal"/>
      <w:lvlText w:val="%1."/>
      <w:lvlJc w:val="left"/>
      <w:pPr>
        <w:ind w:left="720" w:hanging="360"/>
      </w:pPr>
      <w:rPr>
        <w:rFonts w:hint="default"/>
      </w:rPr>
    </w:lvl>
    <w:lvl w:ilvl="1">
      <w:start w:val="3"/>
      <w:numFmt w:val="decimal"/>
      <w:isLgl/>
      <w:lvlText w:val="%1.%2."/>
      <w:lvlJc w:val="left"/>
      <w:pPr>
        <w:ind w:left="1164" w:hanging="804"/>
      </w:pPr>
      <w:rPr>
        <w:rFonts w:hint="default"/>
      </w:rPr>
    </w:lvl>
    <w:lvl w:ilvl="2">
      <w:start w:val="8"/>
      <w:numFmt w:val="decimal"/>
      <w:isLgl/>
      <w:lvlText w:val="%1.%2.%3."/>
      <w:lvlJc w:val="left"/>
      <w:pPr>
        <w:ind w:left="1164" w:hanging="804"/>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FE433CD"/>
    <w:multiLevelType w:val="hybridMultilevel"/>
    <w:tmpl w:val="5A9C7DB2"/>
    <w:lvl w:ilvl="0" w:tplc="D0DE95C0">
      <w:start w:val="2"/>
      <w:numFmt w:val="bullet"/>
      <w:lvlText w:val="-"/>
      <w:lvlJc w:val="left"/>
      <w:pPr>
        <w:ind w:left="720" w:hanging="360"/>
      </w:pPr>
      <w:rPr>
        <w:rFonts w:ascii="Arial" w:eastAsia="DejaVu Sans" w:hAnsi="Arial" w:cs="Aria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3" w15:restartNumberingAfterBreak="0">
    <w:nsid w:val="58DB1D4F"/>
    <w:multiLevelType w:val="multilevel"/>
    <w:tmpl w:val="392E1F4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4" w15:restartNumberingAfterBreak="0">
    <w:nsid w:val="688C0990"/>
    <w:multiLevelType w:val="multilevel"/>
    <w:tmpl w:val="27FC4D3E"/>
    <w:lvl w:ilvl="0">
      <w:start w:val="2"/>
      <w:numFmt w:val="decimal"/>
      <w:lvlText w:val="%1."/>
      <w:lvlJc w:val="left"/>
      <w:pPr>
        <w:ind w:left="540" w:hanging="540"/>
      </w:pPr>
      <w:rPr>
        <w:rFonts w:hint="default"/>
      </w:rPr>
    </w:lvl>
    <w:lvl w:ilvl="1">
      <w:start w:val="15"/>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54A7625"/>
    <w:multiLevelType w:val="multilevel"/>
    <w:tmpl w:val="9408841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950477585">
    <w:abstractNumId w:val="5"/>
  </w:num>
  <w:num w:numId="2" w16cid:durableId="667950879">
    <w:abstractNumId w:val="0"/>
  </w:num>
  <w:num w:numId="3" w16cid:durableId="612133737">
    <w:abstractNumId w:val="2"/>
  </w:num>
  <w:num w:numId="4" w16cid:durableId="1595817405">
    <w:abstractNumId w:val="13"/>
  </w:num>
  <w:num w:numId="5" w16cid:durableId="854811298">
    <w:abstractNumId w:val="11"/>
  </w:num>
  <w:num w:numId="6" w16cid:durableId="1275748129">
    <w:abstractNumId w:val="6"/>
  </w:num>
  <w:num w:numId="7" w16cid:durableId="844705313">
    <w:abstractNumId w:val="1"/>
  </w:num>
  <w:num w:numId="8" w16cid:durableId="1673335634">
    <w:abstractNumId w:val="9"/>
  </w:num>
  <w:num w:numId="9" w16cid:durableId="230311197">
    <w:abstractNumId w:val="14"/>
  </w:num>
  <w:num w:numId="10" w16cid:durableId="1994406267">
    <w:abstractNumId w:val="4"/>
  </w:num>
  <w:num w:numId="11" w16cid:durableId="1547136554">
    <w:abstractNumId w:val="12"/>
  </w:num>
  <w:num w:numId="12" w16cid:durableId="866061318">
    <w:abstractNumId w:val="10"/>
  </w:num>
  <w:num w:numId="13" w16cid:durableId="1753811770">
    <w:abstractNumId w:val="7"/>
  </w:num>
  <w:num w:numId="14" w16cid:durableId="1581675506">
    <w:abstractNumId w:val="8"/>
  </w:num>
  <w:num w:numId="15" w16cid:durableId="1780680160">
    <w:abstractNumId w:val="15"/>
  </w:num>
  <w:num w:numId="16" w16cid:durableId="1830628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0"/>
    <w:rsid w:val="000B1538"/>
    <w:rsid w:val="001A1A70"/>
    <w:rsid w:val="00273900"/>
    <w:rsid w:val="00283909"/>
    <w:rsid w:val="002E2450"/>
    <w:rsid w:val="003B0C66"/>
    <w:rsid w:val="004773CB"/>
    <w:rsid w:val="004B1A71"/>
    <w:rsid w:val="005864FB"/>
    <w:rsid w:val="00607CA7"/>
    <w:rsid w:val="0062382C"/>
    <w:rsid w:val="00666136"/>
    <w:rsid w:val="006E29E0"/>
    <w:rsid w:val="0073424E"/>
    <w:rsid w:val="00751328"/>
    <w:rsid w:val="00826D51"/>
    <w:rsid w:val="008904F0"/>
    <w:rsid w:val="00897E00"/>
    <w:rsid w:val="008C50E9"/>
    <w:rsid w:val="00A82464"/>
    <w:rsid w:val="00B6232F"/>
    <w:rsid w:val="00BD2036"/>
    <w:rsid w:val="00C15D17"/>
    <w:rsid w:val="00C32BD2"/>
    <w:rsid w:val="00C54B14"/>
    <w:rsid w:val="00C7767B"/>
    <w:rsid w:val="00CD22D4"/>
    <w:rsid w:val="00CD5E7E"/>
    <w:rsid w:val="00CE7D66"/>
    <w:rsid w:val="00DE09F5"/>
    <w:rsid w:val="00E56994"/>
    <w:rsid w:val="00EB191F"/>
    <w:rsid w:val="00F20AF6"/>
    <w:rsid w:val="00FB5B8B"/>
    <w:rsid w:val="00FD2B4B"/>
    <w:rsid w:val="00FF24CF"/>
    <w:rsid w:val="00FF2A2F"/>
    <w:rsid w:val="00FF4F20"/>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543C"/>
  <w15:chartTrackingRefBased/>
  <w15:docId w15:val="{24286F2C-9935-4AE6-810D-2F9E7ECE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E00"/>
  </w:style>
  <w:style w:type="paragraph" w:styleId="Titre2">
    <w:name w:val="heading 2"/>
    <w:basedOn w:val="Normal"/>
    <w:next w:val="Normal"/>
    <w:link w:val="Titre2Car"/>
    <w:uiPriority w:val="9"/>
    <w:semiHidden/>
    <w:unhideWhenUsed/>
    <w:qFormat/>
    <w:rsid w:val="00DE09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20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aliases w:val="Sub-Clause Sub-paragraph,ClauseSubSub_No&amp;Name, Sub-Clause Sub-paragraph"/>
    <w:basedOn w:val="Normal"/>
    <w:next w:val="Corpsdetexte"/>
    <w:link w:val="Titre4Car"/>
    <w:qFormat/>
    <w:rsid w:val="00FF24CF"/>
    <w:pPr>
      <w:keepNext/>
      <w:widowControl w:val="0"/>
      <w:numPr>
        <w:ilvl w:val="3"/>
        <w:numId w:val="2"/>
      </w:numPr>
      <w:suppressAutoHyphens/>
      <w:spacing w:before="120" w:after="120" w:line="240" w:lineRule="auto"/>
      <w:outlineLvl w:val="3"/>
    </w:pPr>
    <w:rPr>
      <w:rFonts w:ascii="Arial" w:eastAsia="Arial Unicode MS" w:hAnsi="Arial" w:cs="Tahoma"/>
      <w:b/>
      <w:bCs/>
      <w:iCs/>
      <w:kern w:val="18"/>
      <w:szCs w:val="18"/>
      <w:lang w:val="fr-FR"/>
    </w:rPr>
  </w:style>
  <w:style w:type="paragraph" w:styleId="Titre5">
    <w:name w:val="heading 5"/>
    <w:aliases w:val="(1.1.1.1.1.),a, Car11"/>
    <w:basedOn w:val="Normal"/>
    <w:next w:val="Corpsdetexte"/>
    <w:link w:val="Titre5Car"/>
    <w:uiPriority w:val="9"/>
    <w:qFormat/>
    <w:rsid w:val="00FF24CF"/>
    <w:pPr>
      <w:keepNext/>
      <w:widowControl w:val="0"/>
      <w:numPr>
        <w:ilvl w:val="4"/>
        <w:numId w:val="2"/>
      </w:numPr>
      <w:suppressAutoHyphens/>
      <w:spacing w:before="120" w:after="60" w:line="240" w:lineRule="auto"/>
      <w:ind w:left="1009" w:hanging="1009"/>
      <w:outlineLvl w:val="4"/>
    </w:pPr>
    <w:rPr>
      <w:rFonts w:ascii="Arial" w:eastAsia="Arial Unicode MS" w:hAnsi="Arial" w:cs="Tahoma"/>
      <w:bCs/>
      <w:kern w:val="18"/>
      <w:sz w:val="20"/>
      <w:szCs w:val="18"/>
      <w:lang w:val="fr-FR"/>
    </w:rPr>
  </w:style>
  <w:style w:type="paragraph" w:styleId="Titre6">
    <w:name w:val="heading 6"/>
    <w:aliases w:val=" Car10"/>
    <w:basedOn w:val="Normal"/>
    <w:next w:val="Corpsdetexte"/>
    <w:link w:val="Titre6Car"/>
    <w:uiPriority w:val="9"/>
    <w:qFormat/>
    <w:rsid w:val="00FF24CF"/>
    <w:pPr>
      <w:keepNext/>
      <w:widowControl w:val="0"/>
      <w:numPr>
        <w:ilvl w:val="5"/>
        <w:numId w:val="2"/>
      </w:numPr>
      <w:suppressAutoHyphens/>
      <w:spacing w:before="240" w:after="120" w:line="240" w:lineRule="auto"/>
      <w:outlineLvl w:val="5"/>
    </w:pPr>
    <w:rPr>
      <w:rFonts w:ascii="Arial" w:eastAsia="Arial Unicode MS" w:hAnsi="Arial" w:cs="Tahoma"/>
      <w:b/>
      <w:bCs/>
      <w:kern w:val="1"/>
      <w:sz w:val="21"/>
      <w:szCs w:val="21"/>
      <w:lang w:val="fr-FR"/>
    </w:rPr>
  </w:style>
  <w:style w:type="paragraph" w:styleId="Titre7">
    <w:name w:val="heading 7"/>
    <w:aliases w:val="centré 12, Car9"/>
    <w:basedOn w:val="Normal"/>
    <w:next w:val="Corpsdetexte"/>
    <w:link w:val="Titre7Car"/>
    <w:uiPriority w:val="9"/>
    <w:qFormat/>
    <w:rsid w:val="00FF24CF"/>
    <w:pPr>
      <w:keepNext/>
      <w:widowControl w:val="0"/>
      <w:numPr>
        <w:ilvl w:val="6"/>
        <w:numId w:val="2"/>
      </w:numPr>
      <w:suppressAutoHyphens/>
      <w:spacing w:before="240" w:after="120" w:line="240" w:lineRule="auto"/>
      <w:outlineLvl w:val="6"/>
    </w:pPr>
    <w:rPr>
      <w:rFonts w:ascii="Arial" w:eastAsia="Arial Unicode MS" w:hAnsi="Arial" w:cs="Tahoma"/>
      <w:b/>
      <w:bCs/>
      <w:kern w:val="1"/>
      <w:sz w:val="21"/>
      <w:szCs w:val="21"/>
      <w:lang w:val="fr-FR"/>
    </w:rPr>
  </w:style>
  <w:style w:type="paragraph" w:styleId="Titre8">
    <w:name w:val="heading 8"/>
    <w:aliases w:val=" Car8"/>
    <w:basedOn w:val="Normal"/>
    <w:next w:val="Corpsdetexte"/>
    <w:link w:val="Titre8Car"/>
    <w:uiPriority w:val="9"/>
    <w:qFormat/>
    <w:rsid w:val="00FF24CF"/>
    <w:pPr>
      <w:keepNext/>
      <w:widowControl w:val="0"/>
      <w:numPr>
        <w:ilvl w:val="7"/>
        <w:numId w:val="2"/>
      </w:numPr>
      <w:suppressAutoHyphens/>
      <w:spacing w:before="240" w:after="120" w:line="240" w:lineRule="auto"/>
      <w:outlineLvl w:val="7"/>
    </w:pPr>
    <w:rPr>
      <w:rFonts w:ascii="Arial" w:eastAsia="Arial Unicode MS" w:hAnsi="Arial" w:cs="Tahoma"/>
      <w:b/>
      <w:bCs/>
      <w:kern w:val="1"/>
      <w:sz w:val="21"/>
      <w:szCs w:val="21"/>
      <w:lang w:val="fr-FR"/>
    </w:rPr>
  </w:style>
  <w:style w:type="paragraph" w:styleId="Titre9">
    <w:name w:val="heading 9"/>
    <w:aliases w:val="Heading 9-paranum, Car7"/>
    <w:basedOn w:val="Normal"/>
    <w:next w:val="Corpsdetexte"/>
    <w:link w:val="Titre9Car"/>
    <w:uiPriority w:val="9"/>
    <w:qFormat/>
    <w:rsid w:val="00FF24CF"/>
    <w:pPr>
      <w:keepNext/>
      <w:widowControl w:val="0"/>
      <w:numPr>
        <w:ilvl w:val="8"/>
        <w:numId w:val="2"/>
      </w:numPr>
      <w:suppressAutoHyphens/>
      <w:spacing w:before="240" w:after="120" w:line="240" w:lineRule="auto"/>
      <w:outlineLvl w:val="8"/>
    </w:pPr>
    <w:rPr>
      <w:rFonts w:ascii="Arial" w:eastAsia="Arial Unicode MS" w:hAnsi="Arial" w:cs="Tahoma"/>
      <w:b/>
      <w:bCs/>
      <w:kern w:val="1"/>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TBSoustitre">
    <w:name w:val="CTB_Sous titre"/>
    <w:basedOn w:val="Normal"/>
    <w:next w:val="Normal"/>
    <w:rsid w:val="00897E00"/>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Titrecouverture">
    <w:name w:val="Titre couverture"/>
    <w:basedOn w:val="Normal"/>
    <w:link w:val="TitrecouvertureCar"/>
    <w:qFormat/>
    <w:rsid w:val="00897E00"/>
    <w:pPr>
      <w:spacing w:line="276" w:lineRule="auto"/>
    </w:pPr>
    <w:rPr>
      <w:rFonts w:ascii="Calibri" w:eastAsia="Calibri" w:hAnsi="Calibri" w:cs="Times New Roman"/>
      <w:color w:val="585756"/>
      <w:sz w:val="32"/>
      <w:lang w:val="fr-BE"/>
    </w:rPr>
  </w:style>
  <w:style w:type="character" w:customStyle="1" w:styleId="TitrecouvertureCar">
    <w:name w:val="Titre couverture Car"/>
    <w:link w:val="Titrecouverture"/>
    <w:rsid w:val="00897E00"/>
    <w:rPr>
      <w:rFonts w:ascii="Calibri" w:eastAsia="Calibri" w:hAnsi="Calibri" w:cs="Times New Roman"/>
      <w:color w:val="585756"/>
      <w:sz w:val="32"/>
      <w:lang w:val="fr-BE"/>
    </w:r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 Car5,tx,gl"/>
    <w:basedOn w:val="Normal"/>
    <w:link w:val="CorpsdetexteCar"/>
    <w:uiPriority w:val="1"/>
    <w:qFormat/>
    <w:rsid w:val="00FD2B4B"/>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 Car5 Car"/>
    <w:basedOn w:val="Policepardfaut"/>
    <w:link w:val="Corpsdetexte"/>
    <w:uiPriority w:val="1"/>
    <w:rsid w:val="00FD2B4B"/>
    <w:rPr>
      <w:rFonts w:ascii="Arial" w:eastAsia="DejaVu Sans" w:hAnsi="Arial" w:cs="Tahoma"/>
      <w:kern w:val="18"/>
      <w:sz w:val="20"/>
      <w:szCs w:val="24"/>
      <w:lang w:val="fr-FR"/>
    </w:rPr>
  </w:style>
  <w:style w:type="character" w:customStyle="1" w:styleId="Titre4Car">
    <w:name w:val="Titre 4 Car"/>
    <w:aliases w:val="Sub-Clause Sub-paragraph Car,ClauseSubSub_No&amp;Name Car, Sub-Clause Sub-paragraph Car"/>
    <w:basedOn w:val="Policepardfaut"/>
    <w:link w:val="Titre4"/>
    <w:rsid w:val="00FF24CF"/>
    <w:rPr>
      <w:rFonts w:ascii="Arial" w:eastAsia="Arial Unicode MS" w:hAnsi="Arial" w:cs="Tahoma"/>
      <w:b/>
      <w:bCs/>
      <w:iCs/>
      <w:kern w:val="18"/>
      <w:szCs w:val="18"/>
      <w:lang w:val="fr-FR"/>
    </w:rPr>
  </w:style>
  <w:style w:type="character" w:customStyle="1" w:styleId="Titre5Car">
    <w:name w:val="Titre 5 Car"/>
    <w:aliases w:val="(1.1.1.1.1.) Car,a Car, Car11 Car"/>
    <w:basedOn w:val="Policepardfaut"/>
    <w:link w:val="Titre5"/>
    <w:uiPriority w:val="9"/>
    <w:rsid w:val="00FF24CF"/>
    <w:rPr>
      <w:rFonts w:ascii="Arial" w:eastAsia="Arial Unicode MS" w:hAnsi="Arial" w:cs="Tahoma"/>
      <w:bCs/>
      <w:kern w:val="18"/>
      <w:sz w:val="20"/>
      <w:szCs w:val="18"/>
      <w:lang w:val="fr-FR"/>
    </w:rPr>
  </w:style>
  <w:style w:type="character" w:customStyle="1" w:styleId="Titre6Car">
    <w:name w:val="Titre 6 Car"/>
    <w:aliases w:val=" Car10 Car"/>
    <w:basedOn w:val="Policepardfaut"/>
    <w:link w:val="Titre6"/>
    <w:uiPriority w:val="9"/>
    <w:rsid w:val="00FF24CF"/>
    <w:rPr>
      <w:rFonts w:ascii="Arial" w:eastAsia="Arial Unicode MS" w:hAnsi="Arial" w:cs="Tahoma"/>
      <w:b/>
      <w:bCs/>
      <w:kern w:val="1"/>
      <w:sz w:val="21"/>
      <w:szCs w:val="21"/>
      <w:lang w:val="fr-FR"/>
    </w:rPr>
  </w:style>
  <w:style w:type="character" w:customStyle="1" w:styleId="Titre7Car">
    <w:name w:val="Titre 7 Car"/>
    <w:aliases w:val="centré 12 Car, Car9 Car"/>
    <w:basedOn w:val="Policepardfaut"/>
    <w:link w:val="Titre7"/>
    <w:uiPriority w:val="9"/>
    <w:rsid w:val="00FF24CF"/>
    <w:rPr>
      <w:rFonts w:ascii="Arial" w:eastAsia="Arial Unicode MS" w:hAnsi="Arial" w:cs="Tahoma"/>
      <w:b/>
      <w:bCs/>
      <w:kern w:val="1"/>
      <w:sz w:val="21"/>
      <w:szCs w:val="21"/>
      <w:lang w:val="fr-FR"/>
    </w:rPr>
  </w:style>
  <w:style w:type="character" w:customStyle="1" w:styleId="Titre8Car">
    <w:name w:val="Titre 8 Car"/>
    <w:aliases w:val=" Car8 Car"/>
    <w:basedOn w:val="Policepardfaut"/>
    <w:link w:val="Titre8"/>
    <w:uiPriority w:val="9"/>
    <w:rsid w:val="00FF24CF"/>
    <w:rPr>
      <w:rFonts w:ascii="Arial" w:eastAsia="Arial Unicode MS" w:hAnsi="Arial" w:cs="Tahoma"/>
      <w:b/>
      <w:bCs/>
      <w:kern w:val="1"/>
      <w:sz w:val="21"/>
      <w:szCs w:val="21"/>
      <w:lang w:val="fr-FR"/>
    </w:rPr>
  </w:style>
  <w:style w:type="character" w:customStyle="1" w:styleId="Titre9Car">
    <w:name w:val="Titre 9 Car"/>
    <w:aliases w:val="Heading 9-paranum Car, Car7 Car"/>
    <w:basedOn w:val="Policepardfaut"/>
    <w:link w:val="Titre9"/>
    <w:uiPriority w:val="9"/>
    <w:rsid w:val="00FF24CF"/>
    <w:rPr>
      <w:rFonts w:ascii="Arial" w:eastAsia="Arial Unicode MS" w:hAnsi="Arial" w:cs="Tahoma"/>
      <w:b/>
      <w:bCs/>
      <w:kern w:val="1"/>
      <w:sz w:val="21"/>
      <w:szCs w:val="21"/>
      <w:lang w:val="fr-FR"/>
    </w:rPr>
  </w:style>
  <w:style w:type="paragraph" w:styleId="Paragraphedeliste">
    <w:name w:val="List Paragraph"/>
    <w:basedOn w:val="Normal"/>
    <w:uiPriority w:val="34"/>
    <w:qFormat/>
    <w:rsid w:val="00FF24CF"/>
    <w:pPr>
      <w:ind w:left="720"/>
      <w:contextualSpacing/>
    </w:pPr>
  </w:style>
  <w:style w:type="character" w:customStyle="1" w:styleId="Titre2Car">
    <w:name w:val="Titre 2 Car"/>
    <w:basedOn w:val="Policepardfaut"/>
    <w:link w:val="Titre2"/>
    <w:uiPriority w:val="9"/>
    <w:semiHidden/>
    <w:rsid w:val="00DE09F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F20AF6"/>
    <w:rPr>
      <w:rFonts w:asciiTheme="majorHAnsi" w:eastAsiaTheme="majorEastAsia" w:hAnsiTheme="majorHAnsi" w:cstheme="majorBidi"/>
      <w:color w:val="1F3763" w:themeColor="accent1" w:themeShade="7F"/>
      <w:sz w:val="24"/>
      <w:szCs w:val="24"/>
    </w:rPr>
  </w:style>
  <w:style w:type="character" w:styleId="Marquedecommentaire">
    <w:name w:val="annotation reference"/>
    <w:uiPriority w:val="99"/>
    <w:unhideWhenUsed/>
    <w:rsid w:val="00F20AF6"/>
    <w:rPr>
      <w:sz w:val="16"/>
      <w:szCs w:val="16"/>
    </w:rPr>
  </w:style>
  <w:style w:type="paragraph" w:styleId="Commentaire">
    <w:name w:val="annotation text"/>
    <w:basedOn w:val="Normal"/>
    <w:link w:val="CommentaireCar"/>
    <w:uiPriority w:val="99"/>
    <w:unhideWhenUsed/>
    <w:rsid w:val="00F20AF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F20AF6"/>
    <w:rPr>
      <w:rFonts w:ascii="Arial" w:eastAsia="DejaVu Sans" w:hAnsi="Arial" w:cs="Tahoma"/>
      <w:kern w:val="1"/>
      <w:sz w:val="20"/>
      <w:szCs w:val="20"/>
      <w:lang w:val="fr-FR"/>
    </w:rPr>
  </w:style>
  <w:style w:type="paragraph" w:customStyle="1" w:styleId="BTCtextCTB">
    <w:name w:val="BTC text CTB"/>
    <w:rsid w:val="00F20AF6"/>
    <w:pPr>
      <w:spacing w:before="120" w:after="120" w:line="240" w:lineRule="auto"/>
      <w:jc w:val="both"/>
    </w:pPr>
    <w:rPr>
      <w:rFonts w:ascii="Garamond" w:eastAsia="Times New Roman" w:hAnsi="Garamond" w:cs="Times New Roman"/>
      <w:sz w:val="24"/>
      <w:szCs w:val="20"/>
      <w:lang w:val="fr-BE"/>
    </w:rPr>
  </w:style>
  <w:style w:type="table" w:styleId="Grilledutableau">
    <w:name w:val="Table Grid"/>
    <w:basedOn w:val="TableauNormal"/>
    <w:uiPriority w:val="39"/>
    <w:rsid w:val="008C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81">
      <w:bodyDiv w:val="1"/>
      <w:marLeft w:val="0"/>
      <w:marRight w:val="0"/>
      <w:marTop w:val="0"/>
      <w:marBottom w:val="0"/>
      <w:divBdr>
        <w:top w:val="none" w:sz="0" w:space="0" w:color="auto"/>
        <w:left w:val="none" w:sz="0" w:space="0" w:color="auto"/>
        <w:bottom w:val="none" w:sz="0" w:space="0" w:color="auto"/>
        <w:right w:val="none" w:sz="0" w:space="0" w:color="auto"/>
      </w:divBdr>
    </w:div>
    <w:div w:id="407461928">
      <w:bodyDiv w:val="1"/>
      <w:marLeft w:val="0"/>
      <w:marRight w:val="0"/>
      <w:marTop w:val="0"/>
      <w:marBottom w:val="0"/>
      <w:divBdr>
        <w:top w:val="none" w:sz="0" w:space="0" w:color="auto"/>
        <w:left w:val="none" w:sz="0" w:space="0" w:color="auto"/>
        <w:bottom w:val="none" w:sz="0" w:space="0" w:color="auto"/>
        <w:right w:val="none" w:sz="0" w:space="0" w:color="auto"/>
      </w:divBdr>
    </w:div>
    <w:div w:id="674040953">
      <w:bodyDiv w:val="1"/>
      <w:marLeft w:val="0"/>
      <w:marRight w:val="0"/>
      <w:marTop w:val="0"/>
      <w:marBottom w:val="0"/>
      <w:divBdr>
        <w:top w:val="none" w:sz="0" w:space="0" w:color="auto"/>
        <w:left w:val="none" w:sz="0" w:space="0" w:color="auto"/>
        <w:bottom w:val="none" w:sz="0" w:space="0" w:color="auto"/>
        <w:right w:val="none" w:sz="0" w:space="0" w:color="auto"/>
      </w:divBdr>
    </w:div>
    <w:div w:id="1085684732">
      <w:bodyDiv w:val="1"/>
      <w:marLeft w:val="0"/>
      <w:marRight w:val="0"/>
      <w:marTop w:val="0"/>
      <w:marBottom w:val="0"/>
      <w:divBdr>
        <w:top w:val="none" w:sz="0" w:space="0" w:color="auto"/>
        <w:left w:val="none" w:sz="0" w:space="0" w:color="auto"/>
        <w:bottom w:val="none" w:sz="0" w:space="0" w:color="auto"/>
        <w:right w:val="none" w:sz="0" w:space="0" w:color="auto"/>
      </w:divBdr>
    </w:div>
    <w:div w:id="1263417751">
      <w:bodyDiv w:val="1"/>
      <w:marLeft w:val="0"/>
      <w:marRight w:val="0"/>
      <w:marTop w:val="0"/>
      <w:marBottom w:val="0"/>
      <w:divBdr>
        <w:top w:val="none" w:sz="0" w:space="0" w:color="auto"/>
        <w:left w:val="none" w:sz="0" w:space="0" w:color="auto"/>
        <w:bottom w:val="none" w:sz="0" w:space="0" w:color="auto"/>
        <w:right w:val="none" w:sz="0" w:space="0" w:color="auto"/>
      </w:divBdr>
    </w:div>
    <w:div w:id="1330257160">
      <w:bodyDiv w:val="1"/>
      <w:marLeft w:val="0"/>
      <w:marRight w:val="0"/>
      <w:marTop w:val="0"/>
      <w:marBottom w:val="0"/>
      <w:divBdr>
        <w:top w:val="none" w:sz="0" w:space="0" w:color="auto"/>
        <w:left w:val="none" w:sz="0" w:space="0" w:color="auto"/>
        <w:bottom w:val="none" w:sz="0" w:space="0" w:color="auto"/>
        <w:right w:val="none" w:sz="0" w:space="0" w:color="auto"/>
      </w:divBdr>
    </w:div>
    <w:div w:id="17835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2507</Words>
  <Characters>13789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Pierre-yves</dc:creator>
  <cp:keywords/>
  <dc:description/>
  <cp:lastModifiedBy>KONATE, Oumar</cp:lastModifiedBy>
  <cp:revision>21</cp:revision>
  <dcterms:created xsi:type="dcterms:W3CDTF">2023-06-10T07:27:00Z</dcterms:created>
  <dcterms:modified xsi:type="dcterms:W3CDTF">2023-06-21T10:50:00Z</dcterms:modified>
</cp:coreProperties>
</file>