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Pr="006E6928" w:rsidRDefault="00C06A66" w:rsidP="00C06A66"/>
    <w:p w14:paraId="34F2A920" w14:textId="77777777" w:rsidR="00C06A66" w:rsidRPr="006E6928" w:rsidRDefault="00C06A66" w:rsidP="00C06A66">
      <w:bookmarkStart w:id="0" w:name="Insert_img_Signet"/>
      <w:bookmarkEnd w:id="0"/>
    </w:p>
    <w:p w14:paraId="5C4F07D7" w14:textId="77777777" w:rsidR="00C06A66" w:rsidRPr="006E6928" w:rsidRDefault="00C06A66" w:rsidP="00C06A66"/>
    <w:p w14:paraId="5EECAD6D" w14:textId="77777777" w:rsidR="00C06A66" w:rsidRPr="006E6928" w:rsidRDefault="00C06A66" w:rsidP="00C06A66"/>
    <w:p w14:paraId="38C62523" w14:textId="77777777" w:rsidR="00C06A66" w:rsidRPr="006E6928" w:rsidRDefault="00C06A66" w:rsidP="00C06A66"/>
    <w:p w14:paraId="5FBD90EB" w14:textId="77777777" w:rsidR="00C06A66" w:rsidRPr="006E6928" w:rsidRDefault="00C06A66" w:rsidP="00C06A66">
      <w:r w:rsidRPr="006E6928">
        <w:rPr>
          <w:noProof/>
        </w:rPr>
        <mc:AlternateContent>
          <mc:Choice Requires="wps">
            <w:drawing>
              <wp:anchor distT="0" distB="0" distL="114300" distR="114300" simplePos="0" relativeHeight="251658240" behindDoc="0" locked="1" layoutInCell="1" allowOverlap="1" wp14:anchorId="61828B1F" wp14:editId="62881E99">
                <wp:simplePos x="0" y="0"/>
                <wp:positionH relativeFrom="column">
                  <wp:posOffset>-280035</wp:posOffset>
                </wp:positionH>
                <wp:positionV relativeFrom="page">
                  <wp:posOffset>3079750</wp:posOffset>
                </wp:positionV>
                <wp:extent cx="3867150" cy="35306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0" cy="3530600"/>
                        </a:xfrm>
                        <a:prstGeom prst="rect">
                          <a:avLst/>
                        </a:prstGeom>
                        <a:solidFill>
                          <a:sysClr val="window" lastClr="FFFFFF"/>
                        </a:solidFill>
                        <a:ln w="6350">
                          <a:noFill/>
                        </a:ln>
                        <a:effectLst/>
                      </wps:spPr>
                      <wps:txbx>
                        <w:txbxContent>
                          <w:p w14:paraId="6207ECC9" w14:textId="73F0721A" w:rsidR="006E6928" w:rsidRPr="00F20C4D" w:rsidRDefault="008F2A41" w:rsidP="00770171">
                            <w:pPr>
                              <w:pStyle w:val="Titrecouverture"/>
                              <w:jc w:val="both"/>
                              <w:rPr>
                                <w:rFonts w:ascii="Georgia" w:hAnsi="Georgia"/>
                                <w:color w:val="auto"/>
                              </w:rPr>
                            </w:pPr>
                            <w:r w:rsidRPr="008F2A41">
                              <w:rPr>
                                <w:rFonts w:ascii="Georgia" w:hAnsi="Georgia"/>
                                <w:b/>
                                <w:bCs/>
                                <w:color w:val="auto"/>
                                <w:u w:val="single"/>
                              </w:rPr>
                              <w:t>Liste de Questions – Réponses</w:t>
                            </w:r>
                            <w:r w:rsidRPr="00CA1A16">
                              <w:rPr>
                                <w:rFonts w:ascii="Georgia" w:hAnsi="Georgia"/>
                                <w:sz w:val="21"/>
                                <w:szCs w:val="21"/>
                              </w:rPr>
                              <w:t xml:space="preserve"> </w:t>
                            </w:r>
                            <w:r w:rsidR="008F14C2" w:rsidRPr="00F20C4D">
                              <w:rPr>
                                <w:rFonts w:ascii="Georgia" w:hAnsi="Georgia"/>
                                <w:color w:val="auto"/>
                              </w:rPr>
                              <w:t>CAHIER SPECIAL DES CHARGES ENABEL</w:t>
                            </w:r>
                            <w:r w:rsidR="00195DB0" w:rsidRPr="00F20C4D">
                              <w:rPr>
                                <w:rFonts w:ascii="Georgia" w:hAnsi="Georgia"/>
                                <w:color w:val="auto"/>
                              </w:rPr>
                              <w:t xml:space="preserve"> </w:t>
                            </w:r>
                            <w:r w:rsidR="00E451A1" w:rsidRPr="00F20C4D">
                              <w:rPr>
                                <w:rFonts w:ascii="Georgia" w:hAnsi="Georgia"/>
                                <w:color w:val="auto"/>
                              </w:rPr>
                              <w:t>COD22013-10013</w:t>
                            </w:r>
                            <w:r w:rsidR="00AF2CF3" w:rsidRPr="00F20C4D">
                              <w:rPr>
                                <w:rFonts w:ascii="Georgia" w:hAnsi="Georgia"/>
                                <w:color w:val="auto"/>
                              </w:rPr>
                              <w:t xml:space="preserve"> </w:t>
                            </w:r>
                            <w:r w:rsidR="008F14C2" w:rsidRPr="00F20C4D">
                              <w:rPr>
                                <w:rFonts w:ascii="Georgia" w:hAnsi="Georgia"/>
                                <w:color w:val="auto"/>
                              </w:rPr>
                              <w:t xml:space="preserve">DU </w:t>
                            </w:r>
                            <w:r w:rsidR="00E451A1" w:rsidRPr="00F20C4D">
                              <w:rPr>
                                <w:rFonts w:ascii="Georgia" w:hAnsi="Georgia"/>
                                <w:color w:val="auto"/>
                              </w:rPr>
                              <w:t xml:space="preserve">01/09/2023 </w:t>
                            </w:r>
                            <w:r w:rsidR="008F14C2" w:rsidRPr="00F20C4D">
                              <w:rPr>
                                <w:rFonts w:ascii="Georgia" w:hAnsi="Georgia"/>
                                <w:color w:val="auto"/>
                              </w:rPr>
                              <w:t>RELATIF AU</w:t>
                            </w:r>
                            <w:r w:rsidR="004078B0" w:rsidRPr="00F20C4D">
                              <w:rPr>
                                <w:rFonts w:ascii="Georgia" w:hAnsi="Georgia"/>
                                <w:color w:val="auto"/>
                              </w:rPr>
                              <w:t> :</w:t>
                            </w:r>
                          </w:p>
                          <w:p w14:paraId="196E28D0" w14:textId="2B2A6257" w:rsidR="00195DB0" w:rsidRPr="00F20C4D" w:rsidRDefault="00B10D20" w:rsidP="00770171">
                            <w:pPr>
                              <w:pStyle w:val="Titrecouverture"/>
                              <w:jc w:val="both"/>
                              <w:rPr>
                                <w:rFonts w:ascii="Georgia" w:hAnsi="Georgia"/>
                                <w:color w:val="auto"/>
                              </w:rPr>
                            </w:pPr>
                            <w:r w:rsidRPr="00F20C4D">
                              <w:rPr>
                                <w:rFonts w:ascii="Georgia" w:hAnsi="Georgia"/>
                                <w:color w:val="auto"/>
                              </w:rPr>
                              <w:t>Marché de fourniture</w:t>
                            </w:r>
                            <w:r w:rsidR="0031497B" w:rsidRPr="00F20C4D">
                              <w:rPr>
                                <w:rFonts w:ascii="Georgia" w:hAnsi="Georgia"/>
                                <w:color w:val="auto"/>
                              </w:rPr>
                              <w:t xml:space="preserve"> portant sur la</w:t>
                            </w:r>
                            <w:r w:rsidR="00770171" w:rsidRPr="00F20C4D">
                              <w:rPr>
                                <w:rFonts w:ascii="Georgia" w:hAnsi="Georgia"/>
                                <w:color w:val="auto"/>
                              </w:rPr>
                              <w:t xml:space="preserve"> « fourniture</w:t>
                            </w:r>
                            <w:r w:rsidRPr="00F20C4D">
                              <w:rPr>
                                <w:rFonts w:ascii="Georgia" w:hAnsi="Georgia"/>
                                <w:color w:val="auto"/>
                              </w:rPr>
                              <w:t xml:space="preserve"> et installation photovoltaïque des</w:t>
                            </w:r>
                            <w:r w:rsidR="00770171" w:rsidRPr="00F20C4D">
                              <w:rPr>
                                <w:rFonts w:ascii="Georgia" w:hAnsi="Georgia"/>
                                <w:color w:val="auto"/>
                              </w:rPr>
                              <w:t xml:space="preserve"> </w:t>
                            </w:r>
                            <w:r w:rsidRPr="00F20C4D">
                              <w:rPr>
                                <w:rFonts w:ascii="Georgia" w:hAnsi="Georgia"/>
                                <w:color w:val="auto"/>
                              </w:rPr>
                              <w:t>bâtiments de SECOPE, PROVED et IPP à Mbujimayi, au Kasaï-</w:t>
                            </w:r>
                            <w:r w:rsidR="00770171" w:rsidRPr="00F20C4D">
                              <w:rPr>
                                <w:rFonts w:ascii="Georgia" w:hAnsi="Georgia"/>
                                <w:color w:val="auto"/>
                              </w:rPr>
                              <w:t xml:space="preserve"> </w:t>
                            </w:r>
                            <w:r w:rsidRPr="00F20C4D">
                              <w:rPr>
                                <w:rFonts w:ascii="Georgia" w:hAnsi="Georgia"/>
                                <w:color w:val="auto"/>
                              </w:rPr>
                              <w:t xml:space="preserve">Oriental &amp; </w:t>
                            </w:r>
                            <w:proofErr w:type="spellStart"/>
                            <w:r w:rsidRPr="00F20C4D">
                              <w:rPr>
                                <w:rFonts w:ascii="Georgia" w:hAnsi="Georgia"/>
                                <w:color w:val="auto"/>
                              </w:rPr>
                              <w:t>Lomami</w:t>
                            </w:r>
                            <w:proofErr w:type="spellEnd"/>
                            <w:r w:rsidRPr="00F20C4D">
                              <w:rPr>
                                <w:rFonts w:ascii="Georgia" w:hAnsi="Georgia"/>
                                <w:color w:val="auto"/>
                              </w:rPr>
                              <w:t xml:space="preserve"> _ COD22013-</w:t>
                            </w:r>
                            <w:r w:rsidR="00F20C4D" w:rsidRPr="00F20C4D">
                              <w:rPr>
                                <w:rFonts w:ascii="Georgia" w:hAnsi="Georgia"/>
                                <w:color w:val="auto"/>
                              </w:rPr>
                              <w:t>10013 »</w:t>
                            </w:r>
                          </w:p>
                          <w:p w14:paraId="08ADE03B" w14:textId="77777777" w:rsidR="00F20C4D" w:rsidRPr="00F20C4D" w:rsidRDefault="00F20C4D" w:rsidP="00770171">
                            <w:pPr>
                              <w:pStyle w:val="Titrecouverture"/>
                              <w:jc w:val="both"/>
                              <w:rPr>
                                <w:rFonts w:ascii="Georgia" w:hAnsi="Georgia"/>
                                <w:color w:val="auto"/>
                                <w:szCs w:val="32"/>
                              </w:rPr>
                            </w:pPr>
                          </w:p>
                          <w:p w14:paraId="4470A9AC" w14:textId="09E798E2" w:rsidR="00195DB0" w:rsidRPr="00F20C4D" w:rsidRDefault="008E3032" w:rsidP="00F20C4D">
                            <w:pPr>
                              <w:pStyle w:val="Titrecouverture"/>
                              <w:jc w:val="both"/>
                              <w:rPr>
                                <w:rFonts w:ascii="Georgia" w:hAnsi="Georgia"/>
                                <w:szCs w:val="32"/>
                              </w:rPr>
                            </w:pPr>
                            <w:r w:rsidRPr="00F20C4D">
                              <w:rPr>
                                <w:rFonts w:ascii="Georgia" w:hAnsi="Georgia"/>
                                <w:b/>
                                <w:bCs/>
                                <w:color w:val="auto"/>
                                <w:szCs w:val="32"/>
                              </w:rPr>
                              <w:t>C</w:t>
                            </w:r>
                            <w:r w:rsidR="00195DB0" w:rsidRPr="00F20C4D">
                              <w:rPr>
                                <w:rFonts w:ascii="Georgia" w:hAnsi="Georgia"/>
                                <w:b/>
                                <w:bCs/>
                                <w:color w:val="auto"/>
                                <w:szCs w:val="32"/>
                              </w:rPr>
                              <w:t xml:space="preserve">ode Navision : </w:t>
                            </w:r>
                            <w:r w:rsidR="00E451A1" w:rsidRPr="00F20C4D">
                              <w:rPr>
                                <w:rFonts w:ascii="Georgia" w:hAnsi="Georgia" w:cs="Calibri-Bold"/>
                                <w:b/>
                                <w:bCs/>
                                <w:color w:val="C10000"/>
                                <w:szCs w:val="32"/>
                                <w:lang w:val="fr-FR"/>
                              </w:rPr>
                              <w:t>COD22013</w:t>
                            </w:r>
                            <w:r w:rsidR="00AF2CF3" w:rsidRPr="00F20C4D">
                              <w:rPr>
                                <w:rFonts w:ascii="Georgia" w:hAnsi="Georgia" w:cs="Calibri-Bold"/>
                                <w:b/>
                                <w:bCs/>
                                <w:color w:val="C10000"/>
                                <w:szCs w:val="32"/>
                                <w:lang w:val="fr-FR"/>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Zone de texte 1" o:spid="_x0000_s1026" type="#_x0000_t202" style="position:absolute;margin-left:-22.05pt;margin-top:242.5pt;width:304.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" fillcolor="window" stroked="f" strokeweight=".5pt">
                <v:textbox>
                  <w:txbxContent>
                    <w:p w14:paraId="6207ECC9" w14:textId="73F0721A" w:rsidR="006E6928" w:rsidRPr="00F20C4D" w:rsidRDefault="008F2A41" w:rsidP="00770171">
                      <w:pPr>
                        <w:pStyle w:val="Titrecouverture"/>
                        <w:jc w:val="both"/>
                        <w:rPr>
                          <w:rFonts w:ascii="Georgia" w:hAnsi="Georgia"/>
                          <w:color w:val="auto"/>
                        </w:rPr>
                      </w:pPr>
                      <w:r w:rsidRPr="008F2A41">
                        <w:rPr>
                          <w:rFonts w:ascii="Georgia" w:hAnsi="Georgia"/>
                          <w:b/>
                          <w:bCs/>
                          <w:color w:val="auto"/>
                          <w:u w:val="single"/>
                        </w:rPr>
                        <w:t>Liste de Questions – Réponses</w:t>
                      </w:r>
                      <w:r w:rsidRPr="00CA1A16">
                        <w:rPr>
                          <w:rFonts w:ascii="Georgia" w:hAnsi="Georgia"/>
                          <w:sz w:val="21"/>
                          <w:szCs w:val="21"/>
                        </w:rPr>
                        <w:t xml:space="preserve"> </w:t>
                      </w:r>
                      <w:r w:rsidR="008F14C2" w:rsidRPr="00F20C4D">
                        <w:rPr>
                          <w:rFonts w:ascii="Georgia" w:hAnsi="Georgia"/>
                          <w:color w:val="auto"/>
                        </w:rPr>
                        <w:t>CAHIER SPECIAL DES CHARGES ENABEL</w:t>
                      </w:r>
                      <w:r w:rsidR="00195DB0" w:rsidRPr="00F20C4D">
                        <w:rPr>
                          <w:rFonts w:ascii="Georgia" w:hAnsi="Georgia"/>
                          <w:color w:val="auto"/>
                        </w:rPr>
                        <w:t xml:space="preserve"> </w:t>
                      </w:r>
                      <w:r w:rsidR="00E451A1" w:rsidRPr="00F20C4D">
                        <w:rPr>
                          <w:rFonts w:ascii="Georgia" w:hAnsi="Georgia"/>
                          <w:color w:val="auto"/>
                        </w:rPr>
                        <w:t>COD22013-10013</w:t>
                      </w:r>
                      <w:r w:rsidR="00AF2CF3" w:rsidRPr="00F20C4D">
                        <w:rPr>
                          <w:rFonts w:ascii="Georgia" w:hAnsi="Georgia"/>
                          <w:color w:val="auto"/>
                        </w:rPr>
                        <w:t xml:space="preserve"> </w:t>
                      </w:r>
                      <w:r w:rsidR="008F14C2" w:rsidRPr="00F20C4D">
                        <w:rPr>
                          <w:rFonts w:ascii="Georgia" w:hAnsi="Georgia"/>
                          <w:color w:val="auto"/>
                        </w:rPr>
                        <w:t xml:space="preserve">DU </w:t>
                      </w:r>
                      <w:r w:rsidR="00E451A1" w:rsidRPr="00F20C4D">
                        <w:rPr>
                          <w:rFonts w:ascii="Georgia" w:hAnsi="Georgia"/>
                          <w:color w:val="auto"/>
                        </w:rPr>
                        <w:t xml:space="preserve">01/09/2023 </w:t>
                      </w:r>
                      <w:r w:rsidR="008F14C2" w:rsidRPr="00F20C4D">
                        <w:rPr>
                          <w:rFonts w:ascii="Georgia" w:hAnsi="Georgia"/>
                          <w:color w:val="auto"/>
                        </w:rPr>
                        <w:t>RELATIF AU</w:t>
                      </w:r>
                      <w:r w:rsidR="004078B0" w:rsidRPr="00F20C4D">
                        <w:rPr>
                          <w:rFonts w:ascii="Georgia" w:hAnsi="Georgia"/>
                          <w:color w:val="auto"/>
                        </w:rPr>
                        <w:t> :</w:t>
                      </w:r>
                    </w:p>
                    <w:p w14:paraId="196E28D0" w14:textId="2B2A6257" w:rsidR="00195DB0" w:rsidRPr="00F20C4D" w:rsidRDefault="00B10D20" w:rsidP="00770171">
                      <w:pPr>
                        <w:pStyle w:val="Titrecouverture"/>
                        <w:jc w:val="both"/>
                        <w:rPr>
                          <w:rFonts w:ascii="Georgia" w:hAnsi="Georgia"/>
                          <w:color w:val="auto"/>
                        </w:rPr>
                      </w:pPr>
                      <w:r w:rsidRPr="00F20C4D">
                        <w:rPr>
                          <w:rFonts w:ascii="Georgia" w:hAnsi="Georgia"/>
                          <w:color w:val="auto"/>
                        </w:rPr>
                        <w:t>Marché de fourniture</w:t>
                      </w:r>
                      <w:r w:rsidR="0031497B" w:rsidRPr="00F20C4D">
                        <w:rPr>
                          <w:rFonts w:ascii="Georgia" w:hAnsi="Georgia"/>
                          <w:color w:val="auto"/>
                        </w:rPr>
                        <w:t xml:space="preserve"> portant sur la</w:t>
                      </w:r>
                      <w:r w:rsidR="00770171" w:rsidRPr="00F20C4D">
                        <w:rPr>
                          <w:rFonts w:ascii="Georgia" w:hAnsi="Georgia"/>
                          <w:color w:val="auto"/>
                        </w:rPr>
                        <w:t xml:space="preserve"> « fourniture</w:t>
                      </w:r>
                      <w:r w:rsidRPr="00F20C4D">
                        <w:rPr>
                          <w:rFonts w:ascii="Georgia" w:hAnsi="Georgia"/>
                          <w:color w:val="auto"/>
                        </w:rPr>
                        <w:t xml:space="preserve"> et installation photovoltaïque des</w:t>
                      </w:r>
                      <w:r w:rsidR="00770171" w:rsidRPr="00F20C4D">
                        <w:rPr>
                          <w:rFonts w:ascii="Georgia" w:hAnsi="Georgia"/>
                          <w:color w:val="auto"/>
                        </w:rPr>
                        <w:t xml:space="preserve"> </w:t>
                      </w:r>
                      <w:r w:rsidRPr="00F20C4D">
                        <w:rPr>
                          <w:rFonts w:ascii="Georgia" w:hAnsi="Georgia"/>
                          <w:color w:val="auto"/>
                        </w:rPr>
                        <w:t>bâtiments de SECOPE, PROVED et IPP à Mbujimayi, au Kasaï-</w:t>
                      </w:r>
                      <w:r w:rsidR="00770171" w:rsidRPr="00F20C4D">
                        <w:rPr>
                          <w:rFonts w:ascii="Georgia" w:hAnsi="Georgia"/>
                          <w:color w:val="auto"/>
                        </w:rPr>
                        <w:t xml:space="preserve"> </w:t>
                      </w:r>
                      <w:r w:rsidRPr="00F20C4D">
                        <w:rPr>
                          <w:rFonts w:ascii="Georgia" w:hAnsi="Georgia"/>
                          <w:color w:val="auto"/>
                        </w:rPr>
                        <w:t xml:space="preserve">Oriental &amp; </w:t>
                      </w:r>
                      <w:proofErr w:type="spellStart"/>
                      <w:r w:rsidRPr="00F20C4D">
                        <w:rPr>
                          <w:rFonts w:ascii="Georgia" w:hAnsi="Georgia"/>
                          <w:color w:val="auto"/>
                        </w:rPr>
                        <w:t>Lomami</w:t>
                      </w:r>
                      <w:proofErr w:type="spellEnd"/>
                      <w:r w:rsidRPr="00F20C4D">
                        <w:rPr>
                          <w:rFonts w:ascii="Georgia" w:hAnsi="Georgia"/>
                          <w:color w:val="auto"/>
                        </w:rPr>
                        <w:t xml:space="preserve"> _ COD22013-</w:t>
                      </w:r>
                      <w:r w:rsidR="00F20C4D" w:rsidRPr="00F20C4D">
                        <w:rPr>
                          <w:rFonts w:ascii="Georgia" w:hAnsi="Georgia"/>
                          <w:color w:val="auto"/>
                        </w:rPr>
                        <w:t>10013 »</w:t>
                      </w:r>
                    </w:p>
                    <w:p w14:paraId="08ADE03B" w14:textId="77777777" w:rsidR="00F20C4D" w:rsidRPr="00F20C4D" w:rsidRDefault="00F20C4D" w:rsidP="00770171">
                      <w:pPr>
                        <w:pStyle w:val="Titrecouverture"/>
                        <w:jc w:val="both"/>
                        <w:rPr>
                          <w:rFonts w:ascii="Georgia" w:hAnsi="Georgia"/>
                          <w:color w:val="auto"/>
                          <w:szCs w:val="32"/>
                        </w:rPr>
                      </w:pPr>
                    </w:p>
                    <w:p w14:paraId="4470A9AC" w14:textId="09E798E2" w:rsidR="00195DB0" w:rsidRPr="00F20C4D" w:rsidRDefault="008E3032" w:rsidP="00F20C4D">
                      <w:pPr>
                        <w:pStyle w:val="Titrecouverture"/>
                        <w:jc w:val="both"/>
                        <w:rPr>
                          <w:rFonts w:ascii="Georgia" w:hAnsi="Georgia"/>
                          <w:szCs w:val="32"/>
                        </w:rPr>
                      </w:pPr>
                      <w:r w:rsidRPr="00F20C4D">
                        <w:rPr>
                          <w:rFonts w:ascii="Georgia" w:hAnsi="Georgia"/>
                          <w:b/>
                          <w:bCs/>
                          <w:color w:val="auto"/>
                          <w:szCs w:val="32"/>
                        </w:rPr>
                        <w:t>C</w:t>
                      </w:r>
                      <w:r w:rsidR="00195DB0" w:rsidRPr="00F20C4D">
                        <w:rPr>
                          <w:rFonts w:ascii="Georgia" w:hAnsi="Georgia"/>
                          <w:b/>
                          <w:bCs/>
                          <w:color w:val="auto"/>
                          <w:szCs w:val="32"/>
                        </w:rPr>
                        <w:t xml:space="preserve">ode Navision : </w:t>
                      </w:r>
                      <w:r w:rsidR="00E451A1" w:rsidRPr="00F20C4D">
                        <w:rPr>
                          <w:rFonts w:ascii="Georgia" w:hAnsi="Georgia" w:cs="Calibri-Bold"/>
                          <w:b/>
                          <w:bCs/>
                          <w:color w:val="C10000"/>
                          <w:szCs w:val="32"/>
                          <w:lang w:val="fr-FR"/>
                        </w:rPr>
                        <w:t>COD22013</w:t>
                      </w:r>
                      <w:r w:rsidR="00AF2CF3" w:rsidRPr="00F20C4D">
                        <w:rPr>
                          <w:rFonts w:ascii="Georgia" w:hAnsi="Georgia" w:cs="Calibri-Bold"/>
                          <w:b/>
                          <w:bCs/>
                          <w:color w:val="C10000"/>
                          <w:szCs w:val="32"/>
                          <w:lang w:val="fr-FR"/>
                        </w:rPr>
                        <w:t>11</w:t>
                      </w:r>
                    </w:p>
                  </w:txbxContent>
                </v:textbox>
                <w10:wrap anchory="page"/>
                <w10:anchorlock/>
              </v:shape>
            </w:pict>
          </mc:Fallback>
        </mc:AlternateContent>
      </w:r>
    </w:p>
    <w:p w14:paraId="3F2543EC" w14:textId="77777777" w:rsidR="008F14C2" w:rsidRPr="006E6928" w:rsidRDefault="008F14C2" w:rsidP="008F14C2"/>
    <w:p w14:paraId="3838C730" w14:textId="77777777" w:rsidR="008F14C2" w:rsidRPr="006E6928" w:rsidRDefault="008F14C2" w:rsidP="008F14C2"/>
    <w:p w14:paraId="7041F8D6" w14:textId="77777777" w:rsidR="008F14C2" w:rsidRPr="006E6928" w:rsidRDefault="008F14C2" w:rsidP="008F14C2"/>
    <w:p w14:paraId="0B2DB856" w14:textId="77777777" w:rsidR="008F14C2" w:rsidRPr="006E6928" w:rsidRDefault="008F14C2" w:rsidP="008F14C2"/>
    <w:p w14:paraId="10D12ADF" w14:textId="77777777" w:rsidR="008F14C2" w:rsidRPr="006E6928" w:rsidRDefault="008F14C2" w:rsidP="008F14C2"/>
    <w:p w14:paraId="4984ED99" w14:textId="77777777" w:rsidR="008F14C2" w:rsidRPr="006E6928" w:rsidRDefault="008F14C2" w:rsidP="008F14C2"/>
    <w:p w14:paraId="7864853A" w14:textId="77777777" w:rsidR="008F14C2" w:rsidRPr="006E6928" w:rsidRDefault="008F14C2" w:rsidP="008F14C2"/>
    <w:p w14:paraId="225C092E" w14:textId="77777777" w:rsidR="008F14C2" w:rsidRPr="006E6928" w:rsidRDefault="008F14C2" w:rsidP="008F14C2"/>
    <w:p w14:paraId="7EA460DB" w14:textId="77777777" w:rsidR="008F14C2" w:rsidRPr="006E6928" w:rsidRDefault="008F14C2" w:rsidP="008F14C2"/>
    <w:p w14:paraId="2FB64F2E" w14:textId="1D2767AC" w:rsidR="008F14C2" w:rsidRPr="006E6928" w:rsidRDefault="008F14C2" w:rsidP="008F14C2">
      <w:pPr>
        <w:ind w:firstLine="708"/>
      </w:pPr>
    </w:p>
    <w:p w14:paraId="0BC0F0BA" w14:textId="77777777" w:rsidR="008F14C2" w:rsidRPr="006E6928" w:rsidRDefault="008F14C2" w:rsidP="008F14C2">
      <w:pPr>
        <w:ind w:firstLine="708"/>
      </w:pPr>
    </w:p>
    <w:p w14:paraId="662F050A" w14:textId="77777777" w:rsidR="00312D19" w:rsidRPr="006E6928" w:rsidRDefault="00312D19" w:rsidP="008F14C2">
      <w:pPr>
        <w:ind w:firstLine="708"/>
      </w:pPr>
    </w:p>
    <w:p w14:paraId="4268791B" w14:textId="77777777" w:rsidR="00312D19" w:rsidRPr="006E6928" w:rsidRDefault="00312D19" w:rsidP="008F14C2">
      <w:pPr>
        <w:ind w:firstLine="708"/>
      </w:pPr>
    </w:p>
    <w:p w14:paraId="5CF0CE4E" w14:textId="77777777" w:rsidR="008F14C2" w:rsidRPr="006E6928" w:rsidRDefault="008F14C2" w:rsidP="008F14C2"/>
    <w:p w14:paraId="248B70D4" w14:textId="000863FF" w:rsidR="008F14C2" w:rsidRPr="006E6928" w:rsidRDefault="008F14C2" w:rsidP="008F14C2">
      <w:pPr>
        <w:sectPr w:rsidR="008F14C2" w:rsidRPr="006E6928"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3B834598" w14:textId="77777777" w:rsidR="00511B1E" w:rsidRPr="00CA1A16" w:rsidRDefault="00511B1E" w:rsidP="00511B1E">
      <w:pPr>
        <w:pStyle w:val="Titre1"/>
        <w:numPr>
          <w:ilvl w:val="0"/>
          <w:numId w:val="0"/>
        </w:numPr>
        <w:ind w:left="432"/>
        <w:jc w:val="both"/>
        <w:rPr>
          <w:rFonts w:ascii="Georgia" w:hAnsi="Georgia"/>
          <w:sz w:val="21"/>
          <w:szCs w:val="21"/>
        </w:rPr>
      </w:pPr>
      <w:bookmarkStart w:id="1" w:name="Index_Signet"/>
      <w:bookmarkEnd w:id="1"/>
      <w:r w:rsidRPr="00CA1A16">
        <w:rPr>
          <w:rFonts w:ascii="Georgia" w:hAnsi="Georgia"/>
          <w:sz w:val="21"/>
          <w:szCs w:val="21"/>
        </w:rPr>
        <w:lastRenderedPageBreak/>
        <w:t>Liste de Questions – Réponses CSC COD22013-10013</w:t>
      </w:r>
    </w:p>
    <w:p w14:paraId="3611B02F" w14:textId="77777777" w:rsidR="00511B1E" w:rsidRPr="00CA1A16" w:rsidRDefault="00511B1E" w:rsidP="00511B1E">
      <w:pPr>
        <w:pStyle w:val="Titre1"/>
        <w:numPr>
          <w:ilvl w:val="0"/>
          <w:numId w:val="0"/>
        </w:numPr>
        <w:ind w:left="432"/>
        <w:jc w:val="both"/>
        <w:rPr>
          <w:rFonts w:ascii="Georgia" w:hAnsi="Georgia"/>
          <w:sz w:val="21"/>
          <w:szCs w:val="21"/>
        </w:rPr>
      </w:pPr>
      <w:r w:rsidRPr="00CA1A16">
        <w:rPr>
          <w:rFonts w:ascii="Georgia" w:hAnsi="Georgia"/>
          <w:sz w:val="21"/>
          <w:szCs w:val="21"/>
        </w:rPr>
        <w:t xml:space="preserve">Relatif au Marché de fourniture et installation photovoltaïque des bâtiments de SECOPE, PROVED et IPP à Mbujimayi, au Kasaï-Oriental &amp; </w:t>
      </w:r>
      <w:proofErr w:type="spellStart"/>
      <w:r w:rsidRPr="00CA1A16">
        <w:rPr>
          <w:rFonts w:ascii="Georgia" w:hAnsi="Georgia"/>
          <w:sz w:val="21"/>
          <w:szCs w:val="21"/>
        </w:rPr>
        <w:t>Lomami</w:t>
      </w:r>
      <w:proofErr w:type="spellEnd"/>
    </w:p>
    <w:p w14:paraId="5B8A98D3" w14:textId="0FCE6E74" w:rsidR="00511B1E" w:rsidRPr="00CA1A16" w:rsidRDefault="00511B1E" w:rsidP="00511B1E">
      <w:pPr>
        <w:jc w:val="both"/>
        <w:rPr>
          <w:szCs w:val="21"/>
        </w:rPr>
      </w:pPr>
      <w:r w:rsidRPr="00CA1A16">
        <w:rPr>
          <w:b/>
          <w:bCs/>
          <w:szCs w:val="21"/>
        </w:rPr>
        <w:t>Question(s) d’ordre administratif et financier :</w:t>
      </w:r>
      <w:r w:rsidRPr="00CA1A16">
        <w:rPr>
          <w:szCs w:val="21"/>
        </w:rPr>
        <w:t xml:space="preserve"> </w:t>
      </w:r>
    </w:p>
    <w:p w14:paraId="6F15ADB7" w14:textId="77777777" w:rsidR="00511B1E" w:rsidRPr="00511B1E" w:rsidRDefault="00511B1E" w:rsidP="00511B1E">
      <w:pPr>
        <w:spacing w:after="0" w:line="240" w:lineRule="auto"/>
        <w:jc w:val="both"/>
        <w:rPr>
          <w:szCs w:val="21"/>
        </w:rPr>
      </w:pPr>
      <w:r w:rsidRPr="00511B1E">
        <w:rPr>
          <w:szCs w:val="21"/>
        </w:rPr>
        <w:t xml:space="preserve">Il existe une contradiction entre ce qui est précisé à la page 22 et ce qui est précisé en page 30 du CSC concernant la libération du cautionnement : </w:t>
      </w:r>
    </w:p>
    <w:p w14:paraId="2DB6483B" w14:textId="77777777" w:rsidR="00511B1E" w:rsidRPr="00CA1A16" w:rsidRDefault="00511B1E" w:rsidP="00511B1E">
      <w:pPr>
        <w:pStyle w:val="Paragraphedeliste"/>
        <w:ind w:left="1068"/>
        <w:jc w:val="both"/>
        <w:rPr>
          <w:szCs w:val="21"/>
        </w:rPr>
      </w:pPr>
      <w:r w:rsidRPr="00CA1A16">
        <w:rPr>
          <w:szCs w:val="21"/>
        </w:rPr>
        <w:t xml:space="preserve">Q 1 : Libération de 50% à la réception provisoire et 50% à la réception définitive (p.22) </w:t>
      </w:r>
      <w:proofErr w:type="gramStart"/>
      <w:r w:rsidRPr="00CA1A16">
        <w:rPr>
          <w:szCs w:val="21"/>
        </w:rPr>
        <w:t>Ou</w:t>
      </w:r>
      <w:proofErr w:type="gramEnd"/>
    </w:p>
    <w:p w14:paraId="44FDD7ED" w14:textId="77777777" w:rsidR="00511B1E" w:rsidRPr="00CA1A16" w:rsidRDefault="00511B1E" w:rsidP="00511B1E">
      <w:pPr>
        <w:pStyle w:val="Paragraphedeliste"/>
        <w:numPr>
          <w:ilvl w:val="0"/>
          <w:numId w:val="20"/>
        </w:numPr>
        <w:spacing w:after="0" w:line="240" w:lineRule="auto"/>
        <w:ind w:left="1068"/>
        <w:contextualSpacing w:val="0"/>
        <w:jc w:val="both"/>
        <w:rPr>
          <w:szCs w:val="21"/>
        </w:rPr>
      </w:pPr>
      <w:r w:rsidRPr="00CA1A16">
        <w:rPr>
          <w:szCs w:val="21"/>
        </w:rPr>
        <w:t>Libération en une fois après réception définitive du marché (p.30)</w:t>
      </w:r>
    </w:p>
    <w:p w14:paraId="22D360CE" w14:textId="72BDEC56" w:rsidR="00511B1E" w:rsidRPr="00FC2C32" w:rsidRDefault="00511B1E" w:rsidP="00511B1E">
      <w:pPr>
        <w:pStyle w:val="Paragraphedeliste"/>
        <w:numPr>
          <w:ilvl w:val="0"/>
          <w:numId w:val="20"/>
        </w:numPr>
        <w:spacing w:after="0" w:line="240" w:lineRule="auto"/>
        <w:ind w:left="1068"/>
        <w:contextualSpacing w:val="0"/>
        <w:jc w:val="both"/>
        <w:rPr>
          <w:szCs w:val="21"/>
          <w:highlight w:val="green"/>
        </w:rPr>
      </w:pPr>
      <w:r w:rsidRPr="00CA1A16">
        <w:rPr>
          <w:szCs w:val="21"/>
          <w:highlight w:val="green"/>
        </w:rPr>
        <w:t>R 1 : Nous confirmons que la moitié du cautionnement sera libéré à la réception provisoire et l’autre moitié à la réception définitive.</w:t>
      </w:r>
    </w:p>
    <w:p w14:paraId="7A6EB633" w14:textId="21907CDE" w:rsidR="00511B1E" w:rsidRPr="00CA1A16" w:rsidRDefault="00511B1E" w:rsidP="00FC2C32">
      <w:pPr>
        <w:ind w:left="708"/>
        <w:jc w:val="both"/>
        <w:rPr>
          <w:szCs w:val="21"/>
        </w:rPr>
      </w:pPr>
      <w:r w:rsidRPr="00CA1A16">
        <w:rPr>
          <w:szCs w:val="21"/>
        </w:rPr>
        <w:t>Q 2 :</w:t>
      </w:r>
      <w:r w:rsidR="008F2A41">
        <w:rPr>
          <w:szCs w:val="21"/>
        </w:rPr>
        <w:t xml:space="preserve"> </w:t>
      </w:r>
      <w:r w:rsidRPr="00CA1A16">
        <w:rPr>
          <w:szCs w:val="21"/>
        </w:rPr>
        <w:t>Le CSC indique qu’une réception provisoire est prévue, elle détermine la date à laquelle prend cours le délai de garantie d’un an.</w:t>
      </w:r>
    </w:p>
    <w:p w14:paraId="0450CE7F" w14:textId="77777777" w:rsidR="00511B1E" w:rsidRPr="00CA1A16" w:rsidRDefault="00511B1E" w:rsidP="00511B1E">
      <w:pPr>
        <w:ind w:left="708"/>
        <w:jc w:val="both"/>
        <w:rPr>
          <w:szCs w:val="21"/>
        </w:rPr>
      </w:pPr>
      <w:r w:rsidRPr="00CA1A16">
        <w:rPr>
          <w:szCs w:val="21"/>
        </w:rPr>
        <w:t>Pourriez-vous préciser si cette réception provisoire donnera lieu à la demande de libération de 50% ?</w:t>
      </w:r>
    </w:p>
    <w:p w14:paraId="6AB57188" w14:textId="12BAEC82" w:rsidR="00511B1E" w:rsidRPr="008F2A41" w:rsidRDefault="00511B1E" w:rsidP="008F2A41">
      <w:pPr>
        <w:ind w:left="708"/>
        <w:jc w:val="both"/>
        <w:rPr>
          <w:szCs w:val="21"/>
          <w:highlight w:val="green"/>
        </w:rPr>
      </w:pPr>
      <w:r w:rsidRPr="00CA1A16">
        <w:rPr>
          <w:szCs w:val="21"/>
          <w:highlight w:val="green"/>
        </w:rPr>
        <w:t>R 2 : Oui, nous confirmons que la demande de réception provisoire vaut la demande de libération de la moitié de la caution.</w:t>
      </w:r>
    </w:p>
    <w:p w14:paraId="4DD15116" w14:textId="77777777" w:rsidR="00511B1E" w:rsidRPr="00CA1A16" w:rsidRDefault="00511B1E" w:rsidP="00511B1E">
      <w:pPr>
        <w:pStyle w:val="Paragraphedeliste"/>
        <w:spacing w:after="0" w:line="240" w:lineRule="auto"/>
        <w:contextualSpacing w:val="0"/>
        <w:jc w:val="both"/>
        <w:rPr>
          <w:szCs w:val="21"/>
        </w:rPr>
      </w:pPr>
      <w:r w:rsidRPr="00CA1A16">
        <w:rPr>
          <w:szCs w:val="21"/>
        </w:rPr>
        <w:t>Q 3 : Pourriez-vous clarifier le délai d’exécution du marché ? (Entre la conclusion et la date de fin de chantier/de demande réception provisoire)</w:t>
      </w:r>
    </w:p>
    <w:p w14:paraId="72209B4C" w14:textId="77777777" w:rsidR="00511B1E" w:rsidRPr="00CA1A16" w:rsidRDefault="00511B1E" w:rsidP="00511B1E">
      <w:pPr>
        <w:pStyle w:val="Paragraphedeliste"/>
        <w:jc w:val="both"/>
        <w:rPr>
          <w:szCs w:val="21"/>
        </w:rPr>
      </w:pPr>
      <w:r w:rsidRPr="00CA1A16">
        <w:rPr>
          <w:szCs w:val="21"/>
        </w:rPr>
        <w:t>D’une part, les informations en page 11 suggèrent un délai de 210 jours entre la notification de</w:t>
      </w:r>
      <w:r w:rsidRPr="00CA1A16">
        <w:rPr>
          <w:b/>
          <w:bCs/>
          <w:szCs w:val="21"/>
        </w:rPr>
        <w:t xml:space="preserve"> l’attribution</w:t>
      </w:r>
      <w:r w:rsidRPr="00CA1A16">
        <w:rPr>
          <w:szCs w:val="21"/>
        </w:rPr>
        <w:t xml:space="preserve"> et la réception définitive. Or le délai de garantie entre la réception provisoire et la réception définitive est de 1 an, soit 365 jours. Ce qui ne colle pas avec les 210 jours annoncés. </w:t>
      </w:r>
    </w:p>
    <w:p w14:paraId="67F2986F" w14:textId="77777777" w:rsidR="00511B1E" w:rsidRPr="00CA1A16" w:rsidRDefault="00511B1E" w:rsidP="00511B1E">
      <w:pPr>
        <w:pStyle w:val="Paragraphedeliste"/>
        <w:jc w:val="both"/>
        <w:rPr>
          <w:szCs w:val="21"/>
        </w:rPr>
      </w:pPr>
      <w:r w:rsidRPr="00CA1A16">
        <w:rPr>
          <w:szCs w:val="21"/>
        </w:rPr>
        <w:t xml:space="preserve">D’autre part, les informations en page 24, section 4.10.2, précisent 150 jours à compter du jour qui suit la notification de la </w:t>
      </w:r>
      <w:r w:rsidRPr="00CA1A16">
        <w:rPr>
          <w:b/>
          <w:bCs/>
          <w:szCs w:val="21"/>
        </w:rPr>
        <w:t xml:space="preserve">conclusion </w:t>
      </w:r>
      <w:r w:rsidRPr="00CA1A16">
        <w:rPr>
          <w:szCs w:val="21"/>
        </w:rPr>
        <w:t>du marché.</w:t>
      </w:r>
    </w:p>
    <w:p w14:paraId="60CED4D5" w14:textId="77777777" w:rsidR="00511B1E" w:rsidRPr="00CA1A16" w:rsidRDefault="00511B1E" w:rsidP="00511B1E">
      <w:pPr>
        <w:pStyle w:val="Paragraphedeliste"/>
        <w:jc w:val="both"/>
        <w:rPr>
          <w:szCs w:val="21"/>
        </w:rPr>
      </w:pPr>
    </w:p>
    <w:p w14:paraId="79C7C88A" w14:textId="002188FA" w:rsidR="00511B1E" w:rsidRPr="00CA1A16" w:rsidRDefault="00511B1E" w:rsidP="00511B1E">
      <w:pPr>
        <w:pStyle w:val="Paragraphedeliste"/>
        <w:jc w:val="both"/>
        <w:rPr>
          <w:szCs w:val="21"/>
        </w:rPr>
      </w:pPr>
      <w:r w:rsidRPr="00CA1A16">
        <w:rPr>
          <w:szCs w:val="21"/>
        </w:rPr>
        <w:t xml:space="preserve">Devons-nous comprendre 210 jours entre la notification d’attribution et la réception provisoire ? Ce délai laisserait place à la période de </w:t>
      </w:r>
      <w:proofErr w:type="spellStart"/>
      <w:r w:rsidRPr="00CA1A16">
        <w:rPr>
          <w:szCs w:val="21"/>
        </w:rPr>
        <w:t>standstill</w:t>
      </w:r>
      <w:proofErr w:type="spellEnd"/>
      <w:r w:rsidRPr="00CA1A16">
        <w:rPr>
          <w:szCs w:val="21"/>
        </w:rPr>
        <w:t xml:space="preserve"> pour les soumissionnaires désirant introduire un recours, un temps de gestions de ces éventuels recourt, et enfin le temps d’exécution de 150 jours annoncé en section 4.10.2</w:t>
      </w:r>
      <w:r w:rsidR="00FC2C32">
        <w:rPr>
          <w:szCs w:val="21"/>
        </w:rPr>
        <w:t xml:space="preserve"> </w:t>
      </w:r>
    </w:p>
    <w:p w14:paraId="00655C2F" w14:textId="77777777" w:rsidR="00511B1E" w:rsidRPr="00CA1A16" w:rsidRDefault="00511B1E" w:rsidP="00511B1E">
      <w:pPr>
        <w:pStyle w:val="Paragraphedeliste"/>
        <w:jc w:val="both"/>
        <w:rPr>
          <w:szCs w:val="21"/>
          <w:highlight w:val="green"/>
        </w:rPr>
      </w:pPr>
      <w:r w:rsidRPr="00CA1A16">
        <w:rPr>
          <w:szCs w:val="21"/>
          <w:highlight w:val="green"/>
        </w:rPr>
        <w:t xml:space="preserve">R 3 : à la page 11, « Le marché débute à la notification de l’attribution jusqu’à la réception définitive. </w:t>
      </w:r>
      <w:proofErr w:type="gramStart"/>
      <w:r w:rsidRPr="00CA1A16">
        <w:rPr>
          <w:szCs w:val="21"/>
          <w:highlight w:val="green"/>
        </w:rPr>
        <w:t>pour</w:t>
      </w:r>
      <w:proofErr w:type="gramEnd"/>
      <w:r w:rsidRPr="00CA1A16">
        <w:rPr>
          <w:szCs w:val="21"/>
          <w:highlight w:val="green"/>
        </w:rPr>
        <w:t xml:space="preserve"> une durée estimée de 210 jours (7 mois de calendrier) ».  Comprenez la durée estimé à 210 jours comme délai d’exécution estimé à 210 jours.</w:t>
      </w:r>
    </w:p>
    <w:p w14:paraId="4B8E28E7" w14:textId="77777777" w:rsidR="00511B1E" w:rsidRPr="00CA1A16" w:rsidRDefault="00511B1E" w:rsidP="00511B1E">
      <w:pPr>
        <w:pStyle w:val="Paragraphedeliste"/>
        <w:jc w:val="both"/>
        <w:rPr>
          <w:szCs w:val="21"/>
          <w:highlight w:val="green"/>
        </w:rPr>
      </w:pPr>
    </w:p>
    <w:p w14:paraId="27C3F7BE" w14:textId="77777777" w:rsidR="00511B1E" w:rsidRPr="00CA1A16" w:rsidRDefault="00511B1E" w:rsidP="00511B1E">
      <w:pPr>
        <w:pStyle w:val="Paragraphedeliste"/>
        <w:jc w:val="both"/>
        <w:rPr>
          <w:szCs w:val="21"/>
          <w:highlight w:val="green"/>
        </w:rPr>
      </w:pPr>
      <w:r w:rsidRPr="00CA1A16">
        <w:rPr>
          <w:szCs w:val="21"/>
          <w:highlight w:val="green"/>
        </w:rPr>
        <w:t>La durée du marché n’est pas forcément égale au délai d’exécution. Donc la durée du marché est de 210 jours pour l’exécution du marché plus 365 jours pour la garantie.</w:t>
      </w:r>
    </w:p>
    <w:p w14:paraId="24040360" w14:textId="77777777" w:rsidR="00511B1E" w:rsidRPr="00CA1A16" w:rsidRDefault="00511B1E" w:rsidP="00511B1E">
      <w:pPr>
        <w:pStyle w:val="Paragraphedeliste"/>
        <w:jc w:val="both"/>
        <w:rPr>
          <w:szCs w:val="21"/>
          <w:highlight w:val="green"/>
        </w:rPr>
      </w:pPr>
      <w:r w:rsidRPr="00CA1A16">
        <w:rPr>
          <w:szCs w:val="21"/>
          <w:highlight w:val="green"/>
        </w:rPr>
        <w:t>Les 150 jours des fournitures sont inclus dans les 210 jours de délai d’exécution du marché.</w:t>
      </w:r>
    </w:p>
    <w:p w14:paraId="49023B10" w14:textId="77777777" w:rsidR="00511B1E" w:rsidRPr="00CA1A16" w:rsidRDefault="00511B1E" w:rsidP="00511B1E">
      <w:pPr>
        <w:pStyle w:val="Paragraphedeliste"/>
        <w:jc w:val="both"/>
        <w:rPr>
          <w:szCs w:val="21"/>
        </w:rPr>
      </w:pPr>
    </w:p>
    <w:p w14:paraId="75A0AFB3" w14:textId="77777777" w:rsidR="00511B1E" w:rsidRPr="00CA1A16" w:rsidRDefault="00511B1E" w:rsidP="00511B1E">
      <w:pPr>
        <w:pStyle w:val="Paragraphedeliste"/>
        <w:spacing w:after="0" w:line="240" w:lineRule="auto"/>
        <w:contextualSpacing w:val="0"/>
        <w:jc w:val="both"/>
        <w:rPr>
          <w:szCs w:val="21"/>
        </w:rPr>
      </w:pPr>
      <w:r w:rsidRPr="00CA1A16">
        <w:rPr>
          <w:szCs w:val="21"/>
        </w:rPr>
        <w:t xml:space="preserve">Q 4 : Bordereau des prix : plusieurs questions </w:t>
      </w:r>
    </w:p>
    <w:p w14:paraId="30814C88" w14:textId="77777777" w:rsidR="00511B1E" w:rsidRPr="00CA1A16" w:rsidRDefault="00511B1E" w:rsidP="00511B1E">
      <w:pPr>
        <w:pStyle w:val="Paragraphedeliste"/>
        <w:numPr>
          <w:ilvl w:val="0"/>
          <w:numId w:val="20"/>
        </w:numPr>
        <w:spacing w:after="0" w:line="240" w:lineRule="auto"/>
        <w:contextualSpacing w:val="0"/>
        <w:jc w:val="both"/>
        <w:rPr>
          <w:szCs w:val="21"/>
        </w:rPr>
      </w:pPr>
      <w:r w:rsidRPr="00CA1A16">
        <w:rPr>
          <w:szCs w:val="21"/>
        </w:rPr>
        <w:t xml:space="preserve">Pourquoi les postes 1, 2, 3 incluent-ils une ligne dédiée au prix des transports </w:t>
      </w:r>
      <w:r w:rsidRPr="00CA1A16">
        <w:rPr>
          <w:b/>
          <w:bCs/>
          <w:szCs w:val="21"/>
        </w:rPr>
        <w:t>internationaux et locaux</w:t>
      </w:r>
      <w:r w:rsidRPr="00CA1A16">
        <w:rPr>
          <w:szCs w:val="21"/>
        </w:rPr>
        <w:t xml:space="preserve"> à destination alors que le poste 4 n’inclut </w:t>
      </w:r>
      <w:r w:rsidRPr="00CA1A16">
        <w:rPr>
          <w:b/>
          <w:bCs/>
          <w:szCs w:val="21"/>
        </w:rPr>
        <w:t>que le transport local</w:t>
      </w:r>
      <w:r w:rsidRPr="00CA1A16">
        <w:rPr>
          <w:szCs w:val="21"/>
        </w:rPr>
        <w:t xml:space="preserve"> ? </w:t>
      </w:r>
    </w:p>
    <w:p w14:paraId="6B61C376" w14:textId="77777777" w:rsidR="00511B1E" w:rsidRPr="00CA1A16" w:rsidRDefault="00511B1E" w:rsidP="00511B1E">
      <w:pPr>
        <w:pStyle w:val="Paragraphedeliste"/>
        <w:spacing w:after="0" w:line="240" w:lineRule="auto"/>
        <w:contextualSpacing w:val="0"/>
        <w:jc w:val="both"/>
        <w:rPr>
          <w:szCs w:val="21"/>
        </w:rPr>
      </w:pPr>
    </w:p>
    <w:p w14:paraId="20947FB4" w14:textId="77777777" w:rsidR="00511B1E" w:rsidRPr="00CA1A16" w:rsidRDefault="00511B1E" w:rsidP="00511B1E">
      <w:pPr>
        <w:pStyle w:val="Paragraphedeliste"/>
        <w:numPr>
          <w:ilvl w:val="0"/>
          <w:numId w:val="20"/>
        </w:numPr>
        <w:spacing w:after="0" w:line="240" w:lineRule="auto"/>
        <w:contextualSpacing w:val="0"/>
        <w:jc w:val="both"/>
        <w:rPr>
          <w:szCs w:val="21"/>
          <w:highlight w:val="green"/>
        </w:rPr>
      </w:pPr>
      <w:r w:rsidRPr="00CA1A16">
        <w:rPr>
          <w:szCs w:val="21"/>
          <w:highlight w:val="green"/>
        </w:rPr>
        <w:t>R 4 : (les équipements du poste 1, 2 et 3 pourront faire l’objet d’une importation. Les produits en importation ont 1 lieu d’arrivage : Matadi (Transport en international). La destination finale est Mbujimayi d’où transport locaux (soit Matadi- Kinshasa et Kinshasa-Mbujimayi), Le</w:t>
      </w:r>
      <w:r w:rsidRPr="00CA1A16">
        <w:rPr>
          <w:szCs w:val="21"/>
        </w:rPr>
        <w:t xml:space="preserve"> </w:t>
      </w:r>
      <w:r w:rsidRPr="00CA1A16">
        <w:rPr>
          <w:szCs w:val="21"/>
          <w:highlight w:val="green"/>
        </w:rPr>
        <w:t xml:space="preserve">groupe peut être trouvé chez le représentant agrée de la marque installée en RDC et ensuite le transport sera local vers </w:t>
      </w:r>
      <w:proofErr w:type="gramStart"/>
      <w:r w:rsidRPr="00CA1A16">
        <w:rPr>
          <w:szCs w:val="21"/>
          <w:highlight w:val="green"/>
        </w:rPr>
        <w:t>Mbujimayi .</w:t>
      </w:r>
      <w:proofErr w:type="gramEnd"/>
    </w:p>
    <w:p w14:paraId="7BF3DD5A" w14:textId="77777777" w:rsidR="00511B1E" w:rsidRPr="00CA1A16" w:rsidRDefault="00511B1E" w:rsidP="00511B1E">
      <w:pPr>
        <w:ind w:firstLine="360"/>
        <w:jc w:val="both"/>
        <w:rPr>
          <w:szCs w:val="21"/>
        </w:rPr>
      </w:pPr>
      <w:r w:rsidRPr="00CA1A16">
        <w:rPr>
          <w:szCs w:val="21"/>
        </w:rPr>
        <w:t xml:space="preserve">Q 5 : Le poste 4 consiste-t ’il en la </w:t>
      </w:r>
      <w:r w:rsidRPr="00CA1A16">
        <w:rPr>
          <w:b/>
          <w:bCs/>
          <w:szCs w:val="21"/>
        </w:rPr>
        <w:t>fourniture</w:t>
      </w:r>
      <w:r w:rsidRPr="00CA1A16">
        <w:rPr>
          <w:szCs w:val="21"/>
        </w:rPr>
        <w:t xml:space="preserve"> et installation d’un générateur </w:t>
      </w:r>
    </w:p>
    <w:p w14:paraId="557FB20A" w14:textId="77777777" w:rsidR="00511B1E" w:rsidRPr="00CA1A16" w:rsidRDefault="00511B1E" w:rsidP="00511B1E">
      <w:pPr>
        <w:ind w:firstLine="360"/>
        <w:jc w:val="both"/>
        <w:rPr>
          <w:szCs w:val="21"/>
          <w:highlight w:val="green"/>
        </w:rPr>
      </w:pPr>
      <w:r w:rsidRPr="00CA1A16">
        <w:rPr>
          <w:szCs w:val="21"/>
          <w:highlight w:val="green"/>
        </w:rPr>
        <w:t> </w:t>
      </w:r>
      <w:proofErr w:type="gramStart"/>
      <w:r w:rsidRPr="00CA1A16">
        <w:rPr>
          <w:szCs w:val="21"/>
          <w:highlight w:val="green"/>
        </w:rPr>
        <w:t>R:</w:t>
      </w:r>
      <w:proofErr w:type="gramEnd"/>
      <w:r w:rsidRPr="00CA1A16">
        <w:rPr>
          <w:szCs w:val="21"/>
          <w:highlight w:val="green"/>
        </w:rPr>
        <w:t xml:space="preserve"> Oui</w:t>
      </w:r>
    </w:p>
    <w:p w14:paraId="1EDE1CA6" w14:textId="00092A16" w:rsidR="00511B1E" w:rsidRPr="00CA1A16" w:rsidRDefault="00511B1E" w:rsidP="00511B1E">
      <w:pPr>
        <w:ind w:firstLine="360"/>
        <w:jc w:val="both"/>
        <w:rPr>
          <w:szCs w:val="21"/>
        </w:rPr>
      </w:pPr>
      <w:r w:rsidRPr="00CA1A16">
        <w:rPr>
          <w:szCs w:val="21"/>
        </w:rPr>
        <w:t>Ou seulement l’installation et connexion à un générateur existant ?</w:t>
      </w:r>
    </w:p>
    <w:p w14:paraId="49FDDF2D" w14:textId="77777777" w:rsidR="00511B1E" w:rsidRPr="00CA1A16" w:rsidRDefault="00511B1E" w:rsidP="00511B1E">
      <w:pPr>
        <w:ind w:firstLine="360"/>
        <w:jc w:val="both"/>
        <w:rPr>
          <w:szCs w:val="21"/>
        </w:rPr>
      </w:pPr>
      <w:r w:rsidRPr="00CA1A16">
        <w:rPr>
          <w:szCs w:val="21"/>
        </w:rPr>
        <w:t xml:space="preserve">Non pas de générateur existantQ6 : Que signifient les « ??? » dans la ligne du poste 4 ? </w:t>
      </w:r>
    </w:p>
    <w:p w14:paraId="2B679724" w14:textId="77777777" w:rsidR="00511B1E" w:rsidRPr="00CA1A16" w:rsidRDefault="00511B1E" w:rsidP="00511B1E">
      <w:pPr>
        <w:ind w:firstLine="360"/>
        <w:jc w:val="both"/>
        <w:rPr>
          <w:szCs w:val="21"/>
          <w:highlight w:val="green"/>
        </w:rPr>
      </w:pPr>
      <w:r w:rsidRPr="00CA1A16">
        <w:rPr>
          <w:szCs w:val="21"/>
          <w:highlight w:val="green"/>
        </w:rPr>
        <w:t>R 6 : : c’est une erreur de frappe</w:t>
      </w:r>
    </w:p>
    <w:p w14:paraId="401E1918" w14:textId="77777777" w:rsidR="00511B1E" w:rsidRPr="00511B1E" w:rsidRDefault="00511B1E" w:rsidP="00511B1E">
      <w:pPr>
        <w:spacing w:after="0" w:line="240" w:lineRule="auto"/>
        <w:ind w:firstLine="360"/>
        <w:jc w:val="both"/>
        <w:rPr>
          <w:szCs w:val="21"/>
        </w:rPr>
      </w:pPr>
      <w:r w:rsidRPr="00511B1E">
        <w:rPr>
          <w:szCs w:val="21"/>
        </w:rPr>
        <w:t xml:space="preserve">Q 7 :  Pourquoi avoir surligné (rouge et jaune) les lignes des poste 4 et 5 ? </w:t>
      </w:r>
    </w:p>
    <w:p w14:paraId="16E7D897" w14:textId="63BCA7CF" w:rsidR="00511B1E" w:rsidRDefault="00511B1E" w:rsidP="00511B1E">
      <w:pPr>
        <w:spacing w:after="0" w:line="240" w:lineRule="auto"/>
        <w:ind w:firstLine="360"/>
        <w:jc w:val="both"/>
        <w:rPr>
          <w:szCs w:val="21"/>
          <w:highlight w:val="green"/>
        </w:rPr>
      </w:pPr>
      <w:r w:rsidRPr="00511B1E">
        <w:rPr>
          <w:szCs w:val="21"/>
          <w:highlight w:val="green"/>
        </w:rPr>
        <w:t>R 7 : c’est une erreur de frappe</w:t>
      </w:r>
    </w:p>
    <w:p w14:paraId="2E821C49" w14:textId="77777777" w:rsidR="00511B1E" w:rsidRPr="00511B1E" w:rsidRDefault="00511B1E" w:rsidP="00511B1E">
      <w:pPr>
        <w:spacing w:after="0" w:line="240" w:lineRule="auto"/>
        <w:ind w:firstLine="360"/>
        <w:jc w:val="both"/>
        <w:rPr>
          <w:szCs w:val="21"/>
          <w:highlight w:val="green"/>
        </w:rPr>
      </w:pPr>
    </w:p>
    <w:p w14:paraId="576CE2F5" w14:textId="77777777" w:rsidR="00511B1E" w:rsidRPr="00511B1E" w:rsidRDefault="00511B1E" w:rsidP="00511B1E">
      <w:pPr>
        <w:spacing w:after="0" w:line="240" w:lineRule="auto"/>
        <w:ind w:firstLine="360"/>
        <w:jc w:val="both"/>
        <w:rPr>
          <w:szCs w:val="21"/>
        </w:rPr>
      </w:pPr>
      <w:r w:rsidRPr="00511B1E">
        <w:rPr>
          <w:szCs w:val="21"/>
        </w:rPr>
        <w:t>Q 8 : D’autres marques d’équipement que celles présentées, à savoir :</w:t>
      </w:r>
    </w:p>
    <w:p w14:paraId="074BC380" w14:textId="77777777" w:rsidR="00511B1E" w:rsidRPr="00CA1A16" w:rsidRDefault="00511B1E" w:rsidP="00511B1E">
      <w:pPr>
        <w:pStyle w:val="Paragraphedeliste"/>
        <w:numPr>
          <w:ilvl w:val="1"/>
          <w:numId w:val="20"/>
        </w:numPr>
        <w:spacing w:after="0" w:line="240" w:lineRule="auto"/>
        <w:contextualSpacing w:val="0"/>
        <w:jc w:val="both"/>
        <w:rPr>
          <w:szCs w:val="21"/>
        </w:rPr>
      </w:pPr>
      <w:r w:rsidRPr="00CA1A16">
        <w:rPr>
          <w:szCs w:val="21"/>
        </w:rPr>
        <w:t xml:space="preserve">PV SUNERGY pour les modules PV, </w:t>
      </w:r>
    </w:p>
    <w:p w14:paraId="0097A799" w14:textId="77777777" w:rsidR="00511B1E" w:rsidRPr="00CA1A16" w:rsidRDefault="00511B1E" w:rsidP="00511B1E">
      <w:pPr>
        <w:pStyle w:val="Paragraphedeliste"/>
        <w:numPr>
          <w:ilvl w:val="1"/>
          <w:numId w:val="20"/>
        </w:numPr>
        <w:spacing w:after="0" w:line="240" w:lineRule="auto"/>
        <w:contextualSpacing w:val="0"/>
        <w:jc w:val="both"/>
        <w:rPr>
          <w:szCs w:val="21"/>
        </w:rPr>
      </w:pPr>
      <w:r w:rsidRPr="00CA1A16">
        <w:rPr>
          <w:szCs w:val="21"/>
        </w:rPr>
        <w:t xml:space="preserve">FRONIUS pour les onduleurs </w:t>
      </w:r>
    </w:p>
    <w:p w14:paraId="55053E7F" w14:textId="77777777" w:rsidR="00511B1E" w:rsidRPr="00CA1A16" w:rsidRDefault="00511B1E" w:rsidP="00511B1E">
      <w:pPr>
        <w:pStyle w:val="Paragraphedeliste"/>
        <w:numPr>
          <w:ilvl w:val="1"/>
          <w:numId w:val="20"/>
        </w:numPr>
        <w:spacing w:after="0" w:line="240" w:lineRule="auto"/>
        <w:contextualSpacing w:val="0"/>
        <w:jc w:val="both"/>
        <w:rPr>
          <w:szCs w:val="21"/>
        </w:rPr>
      </w:pPr>
      <w:r w:rsidRPr="00CA1A16">
        <w:rPr>
          <w:szCs w:val="21"/>
        </w:rPr>
        <w:t xml:space="preserve">VICTRON (Victron Quattro) pour l’onduleur chargeur bidirectionnel, </w:t>
      </w:r>
    </w:p>
    <w:p w14:paraId="453B6488" w14:textId="77777777" w:rsidR="00511B1E" w:rsidRPr="00CA1A16" w:rsidRDefault="00511B1E" w:rsidP="00511B1E">
      <w:pPr>
        <w:ind w:firstLine="708"/>
        <w:jc w:val="both"/>
        <w:rPr>
          <w:szCs w:val="21"/>
        </w:rPr>
      </w:pPr>
      <w:proofErr w:type="gramStart"/>
      <w:r w:rsidRPr="00CA1A16">
        <w:rPr>
          <w:szCs w:val="21"/>
        </w:rPr>
        <w:t>seront</w:t>
      </w:r>
      <w:proofErr w:type="gramEnd"/>
      <w:r w:rsidRPr="00CA1A16">
        <w:rPr>
          <w:szCs w:val="21"/>
        </w:rPr>
        <w:t xml:space="preserve">-elles acceptées ? </w:t>
      </w:r>
    </w:p>
    <w:p w14:paraId="19B81967" w14:textId="77777777" w:rsidR="00EE7689" w:rsidRDefault="00EE7689" w:rsidP="00511B1E">
      <w:pPr>
        <w:spacing w:after="0" w:line="240" w:lineRule="auto"/>
        <w:ind w:firstLine="360"/>
        <w:jc w:val="both"/>
        <w:rPr>
          <w:rFonts w:ascii="Calibri" w:hAnsi="Calibri" w:cs="Calibri"/>
          <w:color w:val="0070C0"/>
          <w:sz w:val="22"/>
          <w:shd w:val="clear" w:color="auto" w:fill="FFFFFF"/>
        </w:rPr>
      </w:pPr>
      <w:r w:rsidRPr="00EE7689">
        <w:rPr>
          <w:szCs w:val="21"/>
          <w:highlight w:val="green"/>
        </w:rPr>
        <w:t>R 8 : Oui. Ces marques d’équipement sont indicatives mais les normes doivent être équivalentes notamment européenne ainsi que les caractéristiques reprises, attendues comme minimales</w:t>
      </w:r>
      <w:r>
        <w:rPr>
          <w:rFonts w:ascii="Calibri" w:hAnsi="Calibri" w:cs="Calibri"/>
          <w:color w:val="0070C0"/>
          <w:sz w:val="22"/>
          <w:shd w:val="clear" w:color="auto" w:fill="FFFFFF"/>
        </w:rPr>
        <w:t>. </w:t>
      </w:r>
    </w:p>
    <w:p w14:paraId="2F638136" w14:textId="3987619A" w:rsidR="00511B1E" w:rsidRPr="00511B1E" w:rsidRDefault="00511B1E" w:rsidP="00511B1E">
      <w:pPr>
        <w:spacing w:after="0" w:line="240" w:lineRule="auto"/>
        <w:ind w:firstLine="360"/>
        <w:jc w:val="both"/>
        <w:rPr>
          <w:szCs w:val="21"/>
        </w:rPr>
      </w:pPr>
      <w:r w:rsidRPr="00511B1E">
        <w:rPr>
          <w:szCs w:val="21"/>
        </w:rPr>
        <w:t xml:space="preserve">Q 9 : Eléments inclus dans le prix : contradiction entre les pages 14 et 52. </w:t>
      </w:r>
    </w:p>
    <w:p w14:paraId="1760C53E" w14:textId="77777777" w:rsidR="00511B1E" w:rsidRPr="00CA1A16" w:rsidRDefault="00511B1E" w:rsidP="00511B1E">
      <w:pPr>
        <w:pStyle w:val="Paragraphedeliste"/>
        <w:jc w:val="both"/>
        <w:rPr>
          <w:szCs w:val="21"/>
        </w:rPr>
      </w:pPr>
      <w:r w:rsidRPr="00CA1A16">
        <w:rPr>
          <w:szCs w:val="21"/>
        </w:rPr>
        <w:t xml:space="preserve">A la page 14 (section 3.4.4) on peut lire que les droits de douane et d’accise font partie des éléments à inclure dans les prix. Or, dans le tableau du bordereau des prix page 52 (section 6.2.1), il est demandé d’inscrire le total HTVA et « hors douanes ». Devons-nous donc bel et bien retirer le montant des droits douaniers à l’importation sur les fournitures de nos prix unitaire et donc de notre prix TOTAL ? </w:t>
      </w:r>
    </w:p>
    <w:p w14:paraId="767BA014" w14:textId="77777777" w:rsidR="00511B1E" w:rsidRPr="00511B1E" w:rsidRDefault="00511B1E" w:rsidP="00511B1E">
      <w:pPr>
        <w:ind w:firstLine="708"/>
        <w:jc w:val="both"/>
        <w:rPr>
          <w:szCs w:val="21"/>
          <w:highlight w:val="green"/>
        </w:rPr>
      </w:pPr>
      <w:r w:rsidRPr="00511B1E">
        <w:rPr>
          <w:szCs w:val="21"/>
          <w:highlight w:val="green"/>
        </w:rPr>
        <w:t>R 9 : Les droits de douane et d’accise font partie des éléments à inclure dans les prix</w:t>
      </w:r>
      <w:r w:rsidRPr="00511B1E" w:rsidDel="008F36AC">
        <w:rPr>
          <w:szCs w:val="21"/>
          <w:highlight w:val="green"/>
        </w:rPr>
        <w:t xml:space="preserve"> </w:t>
      </w:r>
    </w:p>
    <w:p w14:paraId="7FB9272F" w14:textId="2C00D57C" w:rsidR="00511B1E" w:rsidRPr="00CA1A16" w:rsidRDefault="00511B1E" w:rsidP="00511B1E">
      <w:pPr>
        <w:pStyle w:val="Paragraphedeliste"/>
        <w:jc w:val="both"/>
        <w:rPr>
          <w:szCs w:val="21"/>
          <w:highlight w:val="green"/>
        </w:rPr>
      </w:pPr>
      <w:proofErr w:type="spellStart"/>
      <w:r w:rsidRPr="00CA1A16">
        <w:rPr>
          <w:szCs w:val="21"/>
          <w:highlight w:val="green"/>
        </w:rPr>
        <w:t>Enabel</w:t>
      </w:r>
      <w:proofErr w:type="spellEnd"/>
      <w:r w:rsidRPr="00CA1A16">
        <w:rPr>
          <w:szCs w:val="21"/>
          <w:highlight w:val="green"/>
        </w:rPr>
        <w:t xml:space="preserve"> est dispensée de payer la TVA locale et </w:t>
      </w:r>
      <w:r w:rsidR="00080EB2">
        <w:rPr>
          <w:szCs w:val="21"/>
          <w:highlight w:val="green"/>
        </w:rPr>
        <w:t xml:space="preserve">il </w:t>
      </w:r>
      <w:r w:rsidRPr="00CA1A16">
        <w:rPr>
          <w:szCs w:val="21"/>
          <w:highlight w:val="green"/>
        </w:rPr>
        <w:t>facilite le fournisseur dans l</w:t>
      </w:r>
      <w:r w:rsidR="00080EB2">
        <w:rPr>
          <w:szCs w:val="21"/>
          <w:highlight w:val="green"/>
        </w:rPr>
        <w:t>e processus d’</w:t>
      </w:r>
      <w:r w:rsidRPr="00CA1A16">
        <w:rPr>
          <w:szCs w:val="21"/>
          <w:highlight w:val="green"/>
        </w:rPr>
        <w:t xml:space="preserve">obtention des </w:t>
      </w:r>
      <w:r w:rsidRPr="00CA1A16">
        <w:rPr>
          <w:kern w:val="2"/>
          <w:szCs w:val="21"/>
          <w:highlight w:val="green"/>
        </w:rPr>
        <w:t>documents de dédouanement</w:t>
      </w:r>
      <w:r w:rsidR="00080EB2">
        <w:rPr>
          <w:kern w:val="2"/>
          <w:szCs w:val="21"/>
          <w:highlight w:val="green"/>
        </w:rPr>
        <w:t>.</w:t>
      </w:r>
    </w:p>
    <w:p w14:paraId="7D212317" w14:textId="77777777" w:rsidR="00511B1E" w:rsidRPr="00CA1A16" w:rsidRDefault="00511B1E" w:rsidP="00511B1E">
      <w:pPr>
        <w:jc w:val="both"/>
        <w:rPr>
          <w:szCs w:val="21"/>
          <w:highlight w:val="green"/>
        </w:rPr>
      </w:pPr>
    </w:p>
    <w:p w14:paraId="7B4C34A5" w14:textId="77777777" w:rsidR="00511B1E" w:rsidRPr="00CA1A16" w:rsidRDefault="00511B1E" w:rsidP="00511B1E">
      <w:pPr>
        <w:jc w:val="both"/>
        <w:rPr>
          <w:b/>
          <w:bCs/>
          <w:szCs w:val="21"/>
        </w:rPr>
      </w:pPr>
      <w:r w:rsidRPr="00CA1A16">
        <w:rPr>
          <w:b/>
          <w:bCs/>
          <w:szCs w:val="21"/>
        </w:rPr>
        <w:t>Question(s) d’ordre technique :</w:t>
      </w:r>
    </w:p>
    <w:p w14:paraId="358C918F" w14:textId="77777777" w:rsidR="00511B1E" w:rsidRPr="00CA1A16" w:rsidRDefault="00511B1E" w:rsidP="00511B1E">
      <w:pPr>
        <w:jc w:val="both"/>
        <w:rPr>
          <w:b/>
          <w:bCs/>
          <w:szCs w:val="21"/>
        </w:rPr>
      </w:pPr>
    </w:p>
    <w:p w14:paraId="6CB8D8EA" w14:textId="77777777" w:rsidR="00511B1E" w:rsidRPr="00511B1E" w:rsidRDefault="00511B1E" w:rsidP="00511B1E">
      <w:pPr>
        <w:spacing w:after="0" w:line="240" w:lineRule="auto"/>
        <w:ind w:firstLine="708"/>
        <w:jc w:val="both"/>
        <w:rPr>
          <w:szCs w:val="21"/>
        </w:rPr>
      </w:pPr>
      <w:r w:rsidRPr="00511B1E">
        <w:rPr>
          <w:szCs w:val="21"/>
        </w:rPr>
        <w:t>Q 10 : A la page 42, la configuration du système mentionne la phrase :</w:t>
      </w:r>
    </w:p>
    <w:p w14:paraId="0A666B2B" w14:textId="77777777" w:rsidR="00511B1E" w:rsidRPr="00CA1A16" w:rsidRDefault="00511B1E" w:rsidP="00511B1E">
      <w:pPr>
        <w:pStyle w:val="Paragraphedeliste"/>
        <w:jc w:val="both"/>
        <w:rPr>
          <w:szCs w:val="21"/>
        </w:rPr>
      </w:pPr>
    </w:p>
    <w:p w14:paraId="162A024D" w14:textId="77777777" w:rsidR="00511B1E" w:rsidRPr="00CA1A16" w:rsidRDefault="00511B1E" w:rsidP="00511B1E">
      <w:pPr>
        <w:pStyle w:val="Paragraphedeliste"/>
        <w:jc w:val="both"/>
        <w:rPr>
          <w:i/>
          <w:iCs/>
          <w:szCs w:val="21"/>
        </w:rPr>
      </w:pPr>
      <w:r w:rsidRPr="00CA1A16">
        <w:rPr>
          <w:szCs w:val="21"/>
        </w:rPr>
        <w:t xml:space="preserve"> « </w:t>
      </w:r>
      <w:r w:rsidRPr="00CA1A16">
        <w:rPr>
          <w:i/>
          <w:iCs/>
          <w:szCs w:val="21"/>
        </w:rPr>
        <w:t>Il est donc proposé un groupe électrogène de 40 kVA en triphasé. Les groupes actuels ne pourront pas être utilisés pour assurer un fonctionnement optimal du système. »</w:t>
      </w:r>
    </w:p>
    <w:p w14:paraId="64A707DB" w14:textId="77777777" w:rsidR="00511B1E" w:rsidRPr="00CA1A16" w:rsidRDefault="00511B1E" w:rsidP="00511B1E">
      <w:pPr>
        <w:pStyle w:val="Paragraphedeliste"/>
        <w:jc w:val="both"/>
        <w:rPr>
          <w:i/>
          <w:iCs/>
          <w:szCs w:val="21"/>
        </w:rPr>
      </w:pPr>
    </w:p>
    <w:p w14:paraId="76E54C20" w14:textId="77777777" w:rsidR="00511B1E" w:rsidRPr="00CA1A16" w:rsidRDefault="00511B1E" w:rsidP="00511B1E">
      <w:pPr>
        <w:pStyle w:val="Paragraphedeliste"/>
        <w:jc w:val="both"/>
        <w:rPr>
          <w:szCs w:val="21"/>
        </w:rPr>
      </w:pPr>
      <w:r w:rsidRPr="00CA1A16">
        <w:rPr>
          <w:szCs w:val="21"/>
        </w:rPr>
        <w:t xml:space="preserve">Pourtant la visite du site nous a montré un groupe électrogène de 60 kVA disponible. Nous ne savons pas </w:t>
      </w:r>
      <w:proofErr w:type="gramStart"/>
      <w:r w:rsidRPr="00CA1A16">
        <w:rPr>
          <w:szCs w:val="21"/>
        </w:rPr>
        <w:t>si il</w:t>
      </w:r>
      <w:proofErr w:type="gramEnd"/>
      <w:r w:rsidRPr="00CA1A16">
        <w:rPr>
          <w:szCs w:val="21"/>
        </w:rPr>
        <w:t xml:space="preserve"> est pilotable par l’EMS du système. </w:t>
      </w:r>
    </w:p>
    <w:p w14:paraId="55A65339" w14:textId="77777777" w:rsidR="00511B1E" w:rsidRPr="00CA1A16" w:rsidRDefault="00511B1E" w:rsidP="00511B1E">
      <w:pPr>
        <w:pStyle w:val="Paragraphedeliste"/>
        <w:jc w:val="both"/>
        <w:rPr>
          <w:szCs w:val="21"/>
        </w:rPr>
      </w:pPr>
      <w:proofErr w:type="spellStart"/>
      <w:r w:rsidRPr="00CA1A16">
        <w:rPr>
          <w:szCs w:val="21"/>
        </w:rPr>
        <w:t>Devons nous</w:t>
      </w:r>
      <w:proofErr w:type="spellEnd"/>
      <w:r w:rsidRPr="00CA1A16">
        <w:rPr>
          <w:szCs w:val="21"/>
        </w:rPr>
        <w:t xml:space="preserve"> fournir un nouveau groupe électrogène de 40 kVA obligatoirement ou pouvons-nous utiliser celui déjà sur place ? </w:t>
      </w:r>
    </w:p>
    <w:p w14:paraId="68D38540" w14:textId="77777777" w:rsidR="00511B1E" w:rsidRPr="00CA1A16" w:rsidRDefault="00511B1E" w:rsidP="00511B1E">
      <w:pPr>
        <w:pStyle w:val="Paragraphedeliste"/>
        <w:jc w:val="both"/>
        <w:rPr>
          <w:szCs w:val="21"/>
          <w:highlight w:val="green"/>
        </w:rPr>
      </w:pPr>
      <w:r w:rsidRPr="00CA1A16">
        <w:rPr>
          <w:szCs w:val="21"/>
          <w:highlight w:val="green"/>
        </w:rPr>
        <w:t>R 10 :  Oui, le groupe électrogène de 40 kVA est à fournir obligatoirement.</w:t>
      </w:r>
    </w:p>
    <w:p w14:paraId="15ABD666" w14:textId="77777777" w:rsidR="00511B1E" w:rsidRPr="00CA1A16" w:rsidRDefault="00511B1E" w:rsidP="00511B1E">
      <w:pPr>
        <w:jc w:val="both"/>
        <w:rPr>
          <w:szCs w:val="21"/>
        </w:rPr>
      </w:pPr>
    </w:p>
    <w:p w14:paraId="7C4CBAFA" w14:textId="77777777" w:rsidR="00511B1E" w:rsidRPr="00CA1A16" w:rsidRDefault="00511B1E" w:rsidP="00511B1E">
      <w:pPr>
        <w:pStyle w:val="Paragraphedeliste"/>
        <w:spacing w:after="0" w:line="240" w:lineRule="auto"/>
        <w:contextualSpacing w:val="0"/>
        <w:jc w:val="both"/>
        <w:rPr>
          <w:szCs w:val="21"/>
        </w:rPr>
      </w:pPr>
      <w:r w:rsidRPr="00CA1A16">
        <w:rPr>
          <w:szCs w:val="21"/>
        </w:rPr>
        <w:t>Q 11 : Les bordereaux des prix mentionnent des quantités et des articles bien définis pourtant à la page 42-43 le paragraphe suivant :</w:t>
      </w:r>
    </w:p>
    <w:p w14:paraId="26AE044E" w14:textId="77777777" w:rsidR="00511B1E" w:rsidRPr="00CA1A16" w:rsidRDefault="00511B1E" w:rsidP="00511B1E">
      <w:pPr>
        <w:pStyle w:val="Paragraphedeliste"/>
        <w:jc w:val="both"/>
        <w:rPr>
          <w:szCs w:val="21"/>
        </w:rPr>
      </w:pPr>
    </w:p>
    <w:p w14:paraId="7CE7E4FF" w14:textId="77777777" w:rsidR="00511B1E" w:rsidRPr="00CA1A16" w:rsidRDefault="00511B1E" w:rsidP="00511B1E">
      <w:pPr>
        <w:pStyle w:val="Paragraphedeliste"/>
        <w:jc w:val="both"/>
        <w:rPr>
          <w:i/>
          <w:iCs/>
          <w:szCs w:val="21"/>
          <w:u w:val="single"/>
        </w:rPr>
      </w:pPr>
      <w:proofErr w:type="gramStart"/>
      <w:r w:rsidRPr="00CA1A16">
        <w:rPr>
          <w:i/>
          <w:iCs/>
          <w:szCs w:val="21"/>
        </w:rPr>
        <w:t>«  La</w:t>
      </w:r>
      <w:proofErr w:type="gramEnd"/>
      <w:r w:rsidRPr="00CA1A16">
        <w:rPr>
          <w:i/>
          <w:iCs/>
          <w:szCs w:val="21"/>
        </w:rPr>
        <w:t xml:space="preserve"> configuration technique proposée par le consultant est présentée sur le schéma ci-après. Ici encore il s’agit d’une configuration adaptée à un type de matériel (Panneaux de 380 kWc, 6 onduleurs de 6 kVA, …). Ainsi l’architecture générale devra être respectée (Bus AC/DC, type de câblage, protections, capacité de stockage, puissance des organes électroniques) </w:t>
      </w:r>
      <w:r w:rsidRPr="00CA1A16">
        <w:rPr>
          <w:i/>
          <w:iCs/>
          <w:szCs w:val="21"/>
          <w:u w:val="single"/>
        </w:rPr>
        <w:t>mais ce schéma sera à adapter par les fournisseurs en fonction du type de matériels fournis (type de panneaux, formation des strings, capacités unitaires des onduleurs réseau et bidirectionnels). »</w:t>
      </w:r>
    </w:p>
    <w:p w14:paraId="67490179" w14:textId="77777777" w:rsidR="00511B1E" w:rsidRPr="00CA1A16" w:rsidRDefault="00511B1E" w:rsidP="00511B1E">
      <w:pPr>
        <w:pStyle w:val="Paragraphedeliste"/>
        <w:jc w:val="both"/>
        <w:rPr>
          <w:szCs w:val="21"/>
        </w:rPr>
      </w:pPr>
    </w:p>
    <w:p w14:paraId="4C3BD617" w14:textId="0EF658A2" w:rsidR="00511B1E" w:rsidRPr="00CA1A16" w:rsidRDefault="00511B1E" w:rsidP="00511B1E">
      <w:pPr>
        <w:pStyle w:val="Paragraphedeliste"/>
        <w:jc w:val="both"/>
        <w:rPr>
          <w:szCs w:val="21"/>
        </w:rPr>
      </w:pPr>
      <w:r w:rsidRPr="00CA1A16">
        <w:rPr>
          <w:szCs w:val="21"/>
        </w:rPr>
        <w:t xml:space="preserve">Avons-nous la possibilité de modifier les bordereaux des prix en fonction des onduleurs, des onduleurs bidirectionnels, des panneaux, des quantités que nous souhaitons modifier ? </w:t>
      </w:r>
    </w:p>
    <w:p w14:paraId="2E911463" w14:textId="77777777" w:rsidR="00511B1E" w:rsidRPr="00CA1A16" w:rsidRDefault="00511B1E" w:rsidP="00511B1E">
      <w:pPr>
        <w:pStyle w:val="Paragraphedeliste"/>
        <w:jc w:val="both"/>
        <w:rPr>
          <w:szCs w:val="21"/>
        </w:rPr>
      </w:pPr>
      <w:r w:rsidRPr="00CA1A16">
        <w:rPr>
          <w:szCs w:val="21"/>
        </w:rPr>
        <w:t xml:space="preserve">Exemple : </w:t>
      </w:r>
      <w:proofErr w:type="spellStart"/>
      <w:r w:rsidRPr="00CA1A16">
        <w:rPr>
          <w:szCs w:val="21"/>
        </w:rPr>
        <w:t>Pouvons nous</w:t>
      </w:r>
      <w:proofErr w:type="spellEnd"/>
      <w:r w:rsidRPr="00CA1A16">
        <w:rPr>
          <w:szCs w:val="21"/>
        </w:rPr>
        <w:t xml:space="preserve"> fournir 4 onduleurs PV de 20 kVA et un de 10 kVA soit 90 kVA au total ? Auquel cas comment souhaitez-vous que nous présentions les quantités ?  </w:t>
      </w:r>
    </w:p>
    <w:p w14:paraId="0EBA1A28" w14:textId="2867758B" w:rsidR="00511B1E" w:rsidRDefault="00511B1E" w:rsidP="003C694E">
      <w:pPr>
        <w:pStyle w:val="Paragraphedeliste"/>
        <w:jc w:val="both"/>
        <w:rPr>
          <w:szCs w:val="21"/>
          <w:highlight w:val="green"/>
        </w:rPr>
      </w:pPr>
      <w:r w:rsidRPr="00CA1A16">
        <w:rPr>
          <w:szCs w:val="21"/>
          <w:highlight w:val="green"/>
        </w:rPr>
        <w:t>R 11 : Non, pour les postes à prix unitaires et oui pour les postes au forfait.</w:t>
      </w:r>
    </w:p>
    <w:p w14:paraId="5B4D0D58" w14:textId="77777777" w:rsidR="003C694E" w:rsidRPr="003C694E" w:rsidRDefault="003C694E" w:rsidP="003C694E">
      <w:pPr>
        <w:pStyle w:val="Paragraphedeliste"/>
        <w:jc w:val="both"/>
        <w:rPr>
          <w:szCs w:val="21"/>
          <w:highlight w:val="green"/>
        </w:rPr>
      </w:pPr>
    </w:p>
    <w:p w14:paraId="148A29B4" w14:textId="77777777" w:rsidR="00511B1E" w:rsidRPr="00CA1A16" w:rsidRDefault="00511B1E" w:rsidP="003C694E">
      <w:pPr>
        <w:pStyle w:val="Paragraphedeliste"/>
        <w:spacing w:after="0" w:line="240" w:lineRule="auto"/>
        <w:contextualSpacing w:val="0"/>
        <w:jc w:val="both"/>
        <w:rPr>
          <w:i/>
          <w:iCs/>
          <w:szCs w:val="21"/>
          <w:u w:val="single"/>
        </w:rPr>
      </w:pPr>
      <w:r w:rsidRPr="00CA1A16">
        <w:rPr>
          <w:szCs w:val="21"/>
        </w:rPr>
        <w:t xml:space="preserve">Q 12 : Devons-nous respecter le dimensionnent suivant comme étant le minimum à fournir : </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245"/>
      </w:tblGrid>
      <w:tr w:rsidR="00511B1E" w:rsidRPr="00CA1A16" w14:paraId="22987260" w14:textId="77777777" w:rsidTr="003C694E">
        <w:trPr>
          <w:trHeight w:val="465"/>
        </w:trPr>
        <w:tc>
          <w:tcPr>
            <w:tcW w:w="5243" w:type="dxa"/>
          </w:tcPr>
          <w:p w14:paraId="136EA893" w14:textId="77777777" w:rsidR="00511B1E" w:rsidRPr="00CA1A16" w:rsidRDefault="00511B1E" w:rsidP="00511B1E">
            <w:pPr>
              <w:pStyle w:val="TableParagraph"/>
              <w:spacing w:before="1"/>
              <w:ind w:left="364" w:right="361"/>
              <w:jc w:val="both"/>
              <w:rPr>
                <w:b/>
                <w:sz w:val="21"/>
                <w:szCs w:val="21"/>
              </w:rPr>
            </w:pPr>
            <w:r w:rsidRPr="00CA1A16">
              <w:rPr>
                <w:b/>
                <w:sz w:val="21"/>
                <w:szCs w:val="21"/>
              </w:rPr>
              <w:t>Production</w:t>
            </w:r>
            <w:r w:rsidRPr="00CA1A16">
              <w:rPr>
                <w:b/>
                <w:spacing w:val="-3"/>
                <w:sz w:val="21"/>
                <w:szCs w:val="21"/>
              </w:rPr>
              <w:t xml:space="preserve"> </w:t>
            </w:r>
            <w:r w:rsidRPr="00CA1A16">
              <w:rPr>
                <w:b/>
                <w:sz w:val="21"/>
                <w:szCs w:val="21"/>
              </w:rPr>
              <w:t>photovoltaïque</w:t>
            </w:r>
            <w:r w:rsidRPr="00CA1A16">
              <w:rPr>
                <w:b/>
                <w:spacing w:val="-4"/>
                <w:sz w:val="21"/>
                <w:szCs w:val="21"/>
              </w:rPr>
              <w:t xml:space="preserve"> </w:t>
            </w:r>
            <w:r w:rsidRPr="00CA1A16">
              <w:rPr>
                <w:b/>
                <w:sz w:val="21"/>
                <w:szCs w:val="21"/>
              </w:rPr>
              <w:t>en</w:t>
            </w:r>
            <w:r w:rsidRPr="00CA1A16">
              <w:rPr>
                <w:b/>
                <w:spacing w:val="-4"/>
                <w:sz w:val="21"/>
                <w:szCs w:val="21"/>
              </w:rPr>
              <w:t xml:space="preserve"> </w:t>
            </w:r>
            <w:r w:rsidRPr="00CA1A16">
              <w:rPr>
                <w:b/>
                <w:sz w:val="21"/>
                <w:szCs w:val="21"/>
              </w:rPr>
              <w:t>kWc</w:t>
            </w:r>
          </w:p>
          <w:p w14:paraId="1745BC23" w14:textId="77777777" w:rsidR="00511B1E" w:rsidRPr="00CA1A16" w:rsidRDefault="00511B1E" w:rsidP="00511B1E">
            <w:pPr>
              <w:pStyle w:val="TableParagraph"/>
              <w:spacing w:before="1" w:line="199" w:lineRule="exact"/>
              <w:ind w:left="364" w:right="353"/>
              <w:jc w:val="both"/>
              <w:rPr>
                <w:i/>
                <w:sz w:val="21"/>
                <w:szCs w:val="21"/>
              </w:rPr>
            </w:pPr>
            <w:r w:rsidRPr="00CA1A16">
              <w:rPr>
                <w:i/>
                <w:sz w:val="21"/>
                <w:szCs w:val="21"/>
              </w:rPr>
              <w:t>Surface</w:t>
            </w:r>
            <w:r w:rsidRPr="00CA1A16">
              <w:rPr>
                <w:i/>
                <w:spacing w:val="-2"/>
                <w:sz w:val="21"/>
                <w:szCs w:val="21"/>
              </w:rPr>
              <w:t xml:space="preserve"> </w:t>
            </w:r>
            <w:r w:rsidRPr="00CA1A16">
              <w:rPr>
                <w:i/>
                <w:sz w:val="21"/>
                <w:szCs w:val="21"/>
              </w:rPr>
              <w:t>maximum</w:t>
            </w:r>
            <w:r w:rsidRPr="00CA1A16">
              <w:rPr>
                <w:i/>
                <w:spacing w:val="-2"/>
                <w:sz w:val="21"/>
                <w:szCs w:val="21"/>
              </w:rPr>
              <w:t xml:space="preserve"> </w:t>
            </w:r>
            <w:r w:rsidRPr="00CA1A16">
              <w:rPr>
                <w:i/>
                <w:sz w:val="21"/>
                <w:szCs w:val="21"/>
              </w:rPr>
              <w:t>+/-</w:t>
            </w:r>
            <w:r w:rsidRPr="00CA1A16">
              <w:rPr>
                <w:i/>
                <w:spacing w:val="-1"/>
                <w:sz w:val="21"/>
                <w:szCs w:val="21"/>
              </w:rPr>
              <w:t xml:space="preserve"> </w:t>
            </w:r>
            <w:r w:rsidRPr="00CA1A16">
              <w:rPr>
                <w:i/>
                <w:sz w:val="21"/>
                <w:szCs w:val="21"/>
              </w:rPr>
              <w:t>2,5</w:t>
            </w:r>
            <w:r w:rsidRPr="00CA1A16">
              <w:rPr>
                <w:i/>
                <w:spacing w:val="-1"/>
                <w:sz w:val="21"/>
                <w:szCs w:val="21"/>
              </w:rPr>
              <w:t xml:space="preserve"> </w:t>
            </w:r>
            <w:r w:rsidRPr="00CA1A16">
              <w:rPr>
                <w:i/>
                <w:sz w:val="21"/>
                <w:szCs w:val="21"/>
              </w:rPr>
              <w:t>%</w:t>
            </w:r>
          </w:p>
        </w:tc>
        <w:tc>
          <w:tcPr>
            <w:tcW w:w="3245" w:type="dxa"/>
          </w:tcPr>
          <w:p w14:paraId="694F4F0C" w14:textId="77777777" w:rsidR="00511B1E" w:rsidRPr="00CA1A16" w:rsidRDefault="00511B1E" w:rsidP="00511B1E">
            <w:pPr>
              <w:pStyle w:val="TableParagraph"/>
              <w:spacing w:before="111"/>
              <w:ind w:left="865" w:right="860"/>
              <w:jc w:val="both"/>
              <w:rPr>
                <w:b/>
                <w:sz w:val="21"/>
                <w:szCs w:val="21"/>
              </w:rPr>
            </w:pPr>
            <w:r w:rsidRPr="00CA1A16">
              <w:rPr>
                <w:b/>
                <w:sz w:val="21"/>
                <w:szCs w:val="21"/>
              </w:rPr>
              <w:t>86,64</w:t>
            </w:r>
            <w:r w:rsidRPr="00CA1A16">
              <w:rPr>
                <w:b/>
                <w:spacing w:val="-4"/>
                <w:sz w:val="21"/>
                <w:szCs w:val="21"/>
              </w:rPr>
              <w:t xml:space="preserve"> </w:t>
            </w:r>
            <w:r w:rsidRPr="00CA1A16">
              <w:rPr>
                <w:b/>
                <w:sz w:val="21"/>
                <w:szCs w:val="21"/>
              </w:rPr>
              <w:t>kWc</w:t>
            </w:r>
          </w:p>
        </w:tc>
      </w:tr>
      <w:tr w:rsidR="00511B1E" w:rsidRPr="00CA1A16" w14:paraId="460915BA" w14:textId="77777777" w:rsidTr="003C694E">
        <w:trPr>
          <w:trHeight w:val="465"/>
        </w:trPr>
        <w:tc>
          <w:tcPr>
            <w:tcW w:w="5243" w:type="dxa"/>
          </w:tcPr>
          <w:p w14:paraId="4D689FBF" w14:textId="77777777" w:rsidR="00511B1E" w:rsidRPr="00CA1A16" w:rsidRDefault="00511B1E" w:rsidP="00511B1E">
            <w:pPr>
              <w:pStyle w:val="TableParagraph"/>
              <w:spacing w:before="1"/>
              <w:ind w:left="364" w:right="361"/>
              <w:jc w:val="both"/>
              <w:rPr>
                <w:b/>
                <w:sz w:val="21"/>
                <w:szCs w:val="21"/>
              </w:rPr>
            </w:pPr>
            <w:r w:rsidRPr="00CA1A16">
              <w:rPr>
                <w:b/>
                <w:sz w:val="21"/>
                <w:szCs w:val="21"/>
              </w:rPr>
              <w:t>Onduleurs</w:t>
            </w:r>
            <w:r w:rsidRPr="00CA1A16">
              <w:rPr>
                <w:b/>
                <w:spacing w:val="-4"/>
                <w:sz w:val="21"/>
                <w:szCs w:val="21"/>
              </w:rPr>
              <w:t xml:space="preserve"> </w:t>
            </w:r>
            <w:r w:rsidRPr="00CA1A16">
              <w:rPr>
                <w:b/>
                <w:sz w:val="21"/>
                <w:szCs w:val="21"/>
              </w:rPr>
              <w:t>réseaux</w:t>
            </w:r>
            <w:r w:rsidRPr="00CA1A16">
              <w:rPr>
                <w:b/>
                <w:spacing w:val="-3"/>
                <w:sz w:val="21"/>
                <w:szCs w:val="21"/>
              </w:rPr>
              <w:t xml:space="preserve"> </w:t>
            </w:r>
            <w:r w:rsidRPr="00CA1A16">
              <w:rPr>
                <w:b/>
                <w:sz w:val="21"/>
                <w:szCs w:val="21"/>
              </w:rPr>
              <w:t>en</w:t>
            </w:r>
            <w:r w:rsidRPr="00CA1A16">
              <w:rPr>
                <w:b/>
                <w:spacing w:val="-2"/>
                <w:sz w:val="21"/>
                <w:szCs w:val="21"/>
              </w:rPr>
              <w:t xml:space="preserve"> </w:t>
            </w:r>
            <w:r w:rsidRPr="00CA1A16">
              <w:rPr>
                <w:b/>
                <w:sz w:val="21"/>
                <w:szCs w:val="21"/>
              </w:rPr>
              <w:t>kVA</w:t>
            </w:r>
          </w:p>
        </w:tc>
        <w:tc>
          <w:tcPr>
            <w:tcW w:w="3245" w:type="dxa"/>
          </w:tcPr>
          <w:p w14:paraId="41C5382E" w14:textId="77777777" w:rsidR="00511B1E" w:rsidRPr="00CA1A16" w:rsidRDefault="00511B1E" w:rsidP="00511B1E">
            <w:pPr>
              <w:pStyle w:val="TableParagraph"/>
              <w:spacing w:before="111"/>
              <w:ind w:left="865" w:right="860"/>
              <w:jc w:val="both"/>
              <w:rPr>
                <w:b/>
                <w:sz w:val="21"/>
                <w:szCs w:val="21"/>
              </w:rPr>
            </w:pPr>
            <w:r w:rsidRPr="00CA1A16">
              <w:rPr>
                <w:b/>
                <w:sz w:val="21"/>
                <w:szCs w:val="21"/>
              </w:rPr>
              <w:t>88,00</w:t>
            </w:r>
            <w:r w:rsidRPr="00CA1A16">
              <w:rPr>
                <w:b/>
                <w:spacing w:val="-4"/>
                <w:sz w:val="21"/>
                <w:szCs w:val="21"/>
              </w:rPr>
              <w:t xml:space="preserve"> </w:t>
            </w:r>
            <w:r w:rsidRPr="00CA1A16">
              <w:rPr>
                <w:b/>
                <w:sz w:val="21"/>
                <w:szCs w:val="21"/>
              </w:rPr>
              <w:t>kVA</w:t>
            </w:r>
          </w:p>
        </w:tc>
      </w:tr>
      <w:tr w:rsidR="00511B1E" w:rsidRPr="00CA1A16" w14:paraId="5BE8621F" w14:textId="77777777" w:rsidTr="003C694E">
        <w:trPr>
          <w:trHeight w:val="465"/>
        </w:trPr>
        <w:tc>
          <w:tcPr>
            <w:tcW w:w="5243" w:type="dxa"/>
          </w:tcPr>
          <w:p w14:paraId="65935251" w14:textId="77777777" w:rsidR="00511B1E" w:rsidRPr="00CA1A16" w:rsidRDefault="00511B1E" w:rsidP="00511B1E">
            <w:pPr>
              <w:pStyle w:val="TableParagraph"/>
              <w:spacing w:before="1"/>
              <w:ind w:left="364" w:right="361"/>
              <w:jc w:val="both"/>
              <w:rPr>
                <w:rFonts w:cstheme="minorHAnsi"/>
                <w:b/>
                <w:bCs/>
                <w:sz w:val="21"/>
                <w:szCs w:val="21"/>
              </w:rPr>
            </w:pPr>
            <w:r w:rsidRPr="00CA1A16">
              <w:rPr>
                <w:rFonts w:cstheme="minorHAnsi"/>
                <w:b/>
                <w:bCs/>
                <w:sz w:val="21"/>
                <w:szCs w:val="21"/>
              </w:rPr>
              <w:t xml:space="preserve">Besoin de stockage </w:t>
            </w:r>
          </w:p>
        </w:tc>
        <w:tc>
          <w:tcPr>
            <w:tcW w:w="3245" w:type="dxa"/>
          </w:tcPr>
          <w:p w14:paraId="5FC9CDC8" w14:textId="77777777" w:rsidR="00511B1E" w:rsidRPr="00CA1A16" w:rsidRDefault="00511B1E" w:rsidP="00511B1E">
            <w:pPr>
              <w:pStyle w:val="TableParagraph"/>
              <w:spacing w:before="111"/>
              <w:ind w:left="865" w:right="860"/>
              <w:jc w:val="both"/>
              <w:rPr>
                <w:b/>
                <w:bCs/>
                <w:sz w:val="21"/>
                <w:szCs w:val="21"/>
              </w:rPr>
            </w:pPr>
            <w:r w:rsidRPr="00CA1A16">
              <w:rPr>
                <w:b/>
                <w:bCs/>
                <w:sz w:val="21"/>
                <w:szCs w:val="21"/>
              </w:rPr>
              <w:t>54,00</w:t>
            </w:r>
            <w:r w:rsidRPr="00CA1A16">
              <w:rPr>
                <w:b/>
                <w:bCs/>
                <w:spacing w:val="-3"/>
                <w:sz w:val="21"/>
                <w:szCs w:val="21"/>
              </w:rPr>
              <w:t xml:space="preserve"> </w:t>
            </w:r>
            <w:r w:rsidRPr="00CA1A16">
              <w:rPr>
                <w:b/>
                <w:bCs/>
                <w:sz w:val="21"/>
                <w:szCs w:val="21"/>
              </w:rPr>
              <w:t>kWh</w:t>
            </w:r>
          </w:p>
        </w:tc>
      </w:tr>
      <w:tr w:rsidR="00511B1E" w:rsidRPr="00CA1A16" w14:paraId="2E658A64" w14:textId="77777777" w:rsidTr="003C694E">
        <w:trPr>
          <w:trHeight w:val="465"/>
        </w:trPr>
        <w:tc>
          <w:tcPr>
            <w:tcW w:w="5243" w:type="dxa"/>
          </w:tcPr>
          <w:p w14:paraId="7D0931C0" w14:textId="77777777" w:rsidR="00511B1E" w:rsidRPr="00CA1A16" w:rsidRDefault="00511B1E" w:rsidP="00511B1E">
            <w:pPr>
              <w:pStyle w:val="TableParagraph"/>
              <w:spacing w:before="1"/>
              <w:ind w:left="364" w:right="361"/>
              <w:jc w:val="both"/>
              <w:rPr>
                <w:b/>
                <w:sz w:val="21"/>
                <w:szCs w:val="21"/>
              </w:rPr>
            </w:pPr>
            <w:r w:rsidRPr="00CA1A16">
              <w:rPr>
                <w:b/>
                <w:sz w:val="21"/>
                <w:szCs w:val="21"/>
              </w:rPr>
              <w:t>Puissance</w:t>
            </w:r>
            <w:r w:rsidRPr="00CA1A16">
              <w:rPr>
                <w:b/>
                <w:spacing w:val="-4"/>
                <w:sz w:val="21"/>
                <w:szCs w:val="21"/>
              </w:rPr>
              <w:t xml:space="preserve"> </w:t>
            </w:r>
            <w:r w:rsidRPr="00CA1A16">
              <w:rPr>
                <w:b/>
                <w:sz w:val="21"/>
                <w:szCs w:val="21"/>
              </w:rPr>
              <w:t>cumulée</w:t>
            </w:r>
            <w:r w:rsidRPr="00CA1A16">
              <w:rPr>
                <w:b/>
                <w:spacing w:val="-3"/>
                <w:sz w:val="21"/>
                <w:szCs w:val="21"/>
              </w:rPr>
              <w:t xml:space="preserve"> </w:t>
            </w:r>
            <w:r w:rsidRPr="00CA1A16">
              <w:rPr>
                <w:b/>
                <w:sz w:val="21"/>
                <w:szCs w:val="21"/>
              </w:rPr>
              <w:t>des</w:t>
            </w:r>
            <w:r w:rsidRPr="00CA1A16">
              <w:rPr>
                <w:b/>
                <w:spacing w:val="-5"/>
                <w:sz w:val="21"/>
                <w:szCs w:val="21"/>
              </w:rPr>
              <w:t xml:space="preserve"> </w:t>
            </w:r>
            <w:r w:rsidRPr="00CA1A16">
              <w:rPr>
                <w:b/>
                <w:sz w:val="21"/>
                <w:szCs w:val="21"/>
              </w:rPr>
              <w:t>onduleurs</w:t>
            </w:r>
            <w:r w:rsidRPr="00CA1A16">
              <w:rPr>
                <w:b/>
                <w:spacing w:val="-4"/>
                <w:sz w:val="21"/>
                <w:szCs w:val="21"/>
              </w:rPr>
              <w:t xml:space="preserve"> </w:t>
            </w:r>
            <w:r w:rsidRPr="00CA1A16">
              <w:rPr>
                <w:b/>
                <w:sz w:val="21"/>
                <w:szCs w:val="21"/>
              </w:rPr>
              <w:t>chargeurs</w:t>
            </w:r>
            <w:r w:rsidRPr="00CA1A16">
              <w:rPr>
                <w:b/>
                <w:spacing w:val="-5"/>
                <w:sz w:val="21"/>
                <w:szCs w:val="21"/>
              </w:rPr>
              <w:t xml:space="preserve"> </w:t>
            </w:r>
            <w:r w:rsidRPr="00CA1A16">
              <w:rPr>
                <w:b/>
                <w:sz w:val="21"/>
                <w:szCs w:val="21"/>
              </w:rPr>
              <w:t>triphasés</w:t>
            </w:r>
            <w:r w:rsidRPr="00CA1A16">
              <w:rPr>
                <w:b/>
                <w:spacing w:val="-3"/>
                <w:sz w:val="21"/>
                <w:szCs w:val="21"/>
              </w:rPr>
              <w:t xml:space="preserve"> </w:t>
            </w:r>
            <w:r w:rsidRPr="00CA1A16">
              <w:rPr>
                <w:b/>
                <w:sz w:val="21"/>
                <w:szCs w:val="21"/>
              </w:rPr>
              <w:t>en</w:t>
            </w:r>
            <w:r w:rsidRPr="00CA1A16">
              <w:rPr>
                <w:b/>
                <w:spacing w:val="-3"/>
                <w:sz w:val="21"/>
                <w:szCs w:val="21"/>
              </w:rPr>
              <w:t xml:space="preserve"> </w:t>
            </w:r>
            <w:r w:rsidRPr="00CA1A16">
              <w:rPr>
                <w:b/>
                <w:sz w:val="21"/>
                <w:szCs w:val="21"/>
              </w:rPr>
              <w:t>kVA</w:t>
            </w:r>
          </w:p>
        </w:tc>
        <w:tc>
          <w:tcPr>
            <w:tcW w:w="3245" w:type="dxa"/>
          </w:tcPr>
          <w:p w14:paraId="64C68191" w14:textId="77777777" w:rsidR="00511B1E" w:rsidRPr="00CA1A16" w:rsidRDefault="00511B1E" w:rsidP="00511B1E">
            <w:pPr>
              <w:pStyle w:val="TableParagraph"/>
              <w:spacing w:before="111"/>
              <w:ind w:left="865" w:right="860"/>
              <w:jc w:val="both"/>
              <w:rPr>
                <w:b/>
                <w:sz w:val="21"/>
                <w:szCs w:val="21"/>
              </w:rPr>
            </w:pPr>
            <w:r w:rsidRPr="00CA1A16">
              <w:rPr>
                <w:b/>
                <w:sz w:val="21"/>
                <w:szCs w:val="21"/>
              </w:rPr>
              <w:t>30,00</w:t>
            </w:r>
            <w:r w:rsidRPr="00CA1A16">
              <w:rPr>
                <w:b/>
                <w:spacing w:val="-4"/>
                <w:sz w:val="21"/>
                <w:szCs w:val="21"/>
              </w:rPr>
              <w:t xml:space="preserve"> </w:t>
            </w:r>
            <w:r w:rsidRPr="00CA1A16">
              <w:rPr>
                <w:b/>
                <w:sz w:val="21"/>
                <w:szCs w:val="21"/>
              </w:rPr>
              <w:t>kVA</w:t>
            </w:r>
          </w:p>
        </w:tc>
      </w:tr>
    </w:tbl>
    <w:p w14:paraId="087AFBB1" w14:textId="77777777" w:rsidR="00511B1E" w:rsidRPr="00CA1A16" w:rsidRDefault="00511B1E" w:rsidP="00511B1E">
      <w:pPr>
        <w:jc w:val="both"/>
        <w:rPr>
          <w:i/>
          <w:iCs/>
          <w:szCs w:val="21"/>
          <w:u w:val="single"/>
        </w:rPr>
      </w:pPr>
    </w:p>
    <w:p w14:paraId="598006CA" w14:textId="77777777" w:rsidR="00511B1E" w:rsidRDefault="00511B1E" w:rsidP="00511B1E">
      <w:pPr>
        <w:ind w:left="708"/>
        <w:jc w:val="both"/>
        <w:rPr>
          <w:szCs w:val="21"/>
        </w:rPr>
      </w:pPr>
      <w:r w:rsidRPr="00CA1A16">
        <w:rPr>
          <w:szCs w:val="21"/>
        </w:rPr>
        <w:t>Par exemple, vu la toiture en est-ouest du bâtiment SECOPE, vu la perte de puissance des panneaux dû à la température, nous préconisons 80% de la puissance solaire en puissance onduleur soit +- 70 kVA de puissance onduleur PV. Est-ce acceptable ?</w:t>
      </w:r>
    </w:p>
    <w:p w14:paraId="27827065" w14:textId="77777777" w:rsidR="00511B1E" w:rsidRDefault="00511B1E" w:rsidP="00511B1E">
      <w:pPr>
        <w:ind w:left="708"/>
        <w:jc w:val="both"/>
        <w:rPr>
          <w:szCs w:val="21"/>
        </w:rPr>
      </w:pPr>
      <w:r w:rsidRPr="00511B1E">
        <w:rPr>
          <w:szCs w:val="21"/>
          <w:highlight w:val="green"/>
        </w:rPr>
        <w:t>R 12 : On doit respecter le dimensionnent fourni comme le minimum.</w:t>
      </w:r>
    </w:p>
    <w:p w14:paraId="059B9680" w14:textId="1F9162A7" w:rsidR="00511B1E" w:rsidRPr="00CA1A16" w:rsidRDefault="00511B1E" w:rsidP="00511B1E">
      <w:pPr>
        <w:ind w:left="708"/>
        <w:jc w:val="both"/>
        <w:rPr>
          <w:szCs w:val="21"/>
        </w:rPr>
      </w:pPr>
      <w:r w:rsidRPr="00CA1A16">
        <w:rPr>
          <w:szCs w:val="21"/>
        </w:rPr>
        <w:t xml:space="preserve">Q 13 : Acceptez-vous qu’une partie des onduleur PV soit remplacée par des chargeurs solaires DC ? Nous préconisons d’avoir au minimum un chargeur solaire afin de pouvoir charger les batteries en direct et assurer l’alimentation continue du système. </w:t>
      </w:r>
    </w:p>
    <w:p w14:paraId="3CE965F8" w14:textId="77777777" w:rsidR="00511B1E" w:rsidRPr="00CA1A16" w:rsidRDefault="00511B1E" w:rsidP="00511B1E">
      <w:pPr>
        <w:ind w:firstLine="708"/>
        <w:jc w:val="both"/>
        <w:rPr>
          <w:szCs w:val="21"/>
          <w:highlight w:val="green"/>
        </w:rPr>
      </w:pPr>
      <w:r w:rsidRPr="00CA1A16">
        <w:rPr>
          <w:szCs w:val="21"/>
          <w:highlight w:val="green"/>
        </w:rPr>
        <w:t xml:space="preserve">R 13 : Non. </w:t>
      </w:r>
    </w:p>
    <w:p w14:paraId="349E7BB5" w14:textId="77777777" w:rsidR="00511B1E" w:rsidRPr="00CA1A16" w:rsidRDefault="00511B1E" w:rsidP="00511B1E">
      <w:pPr>
        <w:ind w:left="360"/>
        <w:jc w:val="both"/>
        <w:rPr>
          <w:szCs w:val="21"/>
        </w:rPr>
      </w:pPr>
      <w:r w:rsidRPr="00CA1A16">
        <w:rPr>
          <w:szCs w:val="21"/>
        </w:rPr>
        <w:t xml:space="preserve">Q 14 : Pouvez-vous spécifier les limites du chantier ? </w:t>
      </w:r>
    </w:p>
    <w:p w14:paraId="614D28D8" w14:textId="77777777" w:rsidR="00511B1E" w:rsidRDefault="00511B1E" w:rsidP="00511B1E">
      <w:pPr>
        <w:pStyle w:val="Paragraphedeliste"/>
        <w:spacing w:after="0" w:line="240" w:lineRule="auto"/>
        <w:ind w:left="1080"/>
        <w:contextualSpacing w:val="0"/>
        <w:jc w:val="both"/>
        <w:rPr>
          <w:szCs w:val="21"/>
        </w:rPr>
      </w:pPr>
      <w:r w:rsidRPr="00CA1A16">
        <w:rPr>
          <w:szCs w:val="21"/>
        </w:rPr>
        <w:t xml:space="preserve">Le chantier côté distribution s’arrête-t-il aux disjoncteurs D11, D12, D13 du schéma électrique proposé par le consultant ? Confirmez-vous donc que les câbles de l’armoire de commande jusqu’aux 3 TGBT, ainsi que le raccordement à ces derniers, ne font pas partie de cette offre ? </w:t>
      </w:r>
    </w:p>
    <w:p w14:paraId="79C64FF6" w14:textId="5C7A77A7" w:rsidR="00511B1E" w:rsidRPr="00511B1E" w:rsidRDefault="00511B1E" w:rsidP="00511B1E">
      <w:pPr>
        <w:pStyle w:val="Paragraphedeliste"/>
        <w:spacing w:after="0" w:line="240" w:lineRule="auto"/>
        <w:ind w:left="1080"/>
        <w:contextualSpacing w:val="0"/>
        <w:jc w:val="both"/>
        <w:rPr>
          <w:szCs w:val="21"/>
        </w:rPr>
      </w:pPr>
      <w:r w:rsidRPr="00511B1E">
        <w:rPr>
          <w:szCs w:val="21"/>
          <w:highlight w:val="green"/>
        </w:rPr>
        <w:t>R 14 : Il est clair dans le bordereau que le câblage, coffrets et protections, parafoudres, borniers et mise à la terre, avec installations des accessoires sont prévus.</w:t>
      </w:r>
    </w:p>
    <w:p w14:paraId="59993CD6" w14:textId="77777777" w:rsidR="00511B1E" w:rsidRPr="00CA1A16" w:rsidRDefault="00511B1E" w:rsidP="00511B1E">
      <w:pPr>
        <w:pStyle w:val="Paragraphedeliste"/>
        <w:ind w:left="1080"/>
        <w:jc w:val="both"/>
        <w:rPr>
          <w:szCs w:val="21"/>
        </w:rPr>
      </w:pPr>
      <w:r w:rsidRPr="00CA1A16">
        <w:rPr>
          <w:szCs w:val="21"/>
        </w:rPr>
        <w:t>Q 15 : Le chantier côté réseau comprend-il le câble jusqu’au disjoncteur D2 ?</w:t>
      </w:r>
    </w:p>
    <w:p w14:paraId="6542F1AB" w14:textId="39C32E27" w:rsidR="00511B1E" w:rsidRPr="00CA1A16" w:rsidRDefault="00511B1E" w:rsidP="00511B1E">
      <w:pPr>
        <w:pStyle w:val="Paragraphedeliste"/>
        <w:ind w:left="1080"/>
        <w:jc w:val="both"/>
        <w:rPr>
          <w:szCs w:val="21"/>
          <w:highlight w:val="green"/>
        </w:rPr>
      </w:pPr>
      <w:r w:rsidRPr="00CA1A16">
        <w:rPr>
          <w:szCs w:val="21"/>
          <w:highlight w:val="green"/>
        </w:rPr>
        <w:t>R 15 :  le poste est un ensemble et c’est au soumissionnaire de prévoir les quantités requises</w:t>
      </w:r>
    </w:p>
    <w:p w14:paraId="65A1C07B" w14:textId="77777777" w:rsidR="00511B1E" w:rsidRPr="00511B1E" w:rsidRDefault="00511B1E" w:rsidP="00511B1E">
      <w:pPr>
        <w:spacing w:after="0" w:line="240" w:lineRule="auto"/>
        <w:ind w:left="720" w:firstLine="360"/>
        <w:jc w:val="both"/>
        <w:rPr>
          <w:szCs w:val="21"/>
          <w:highlight w:val="green"/>
        </w:rPr>
      </w:pPr>
      <w:r w:rsidRPr="00511B1E">
        <w:rPr>
          <w:szCs w:val="21"/>
        </w:rPr>
        <w:t xml:space="preserve">Le câble entre le générateur et disjoncteur D1 fait-il partie du chantier ? </w:t>
      </w:r>
    </w:p>
    <w:p w14:paraId="543E1712" w14:textId="6824C4E0" w:rsidR="00511B1E" w:rsidRPr="00CA1A16" w:rsidRDefault="00511B1E" w:rsidP="00511B1E">
      <w:pPr>
        <w:pStyle w:val="Paragraphedeliste"/>
        <w:spacing w:after="0" w:line="240" w:lineRule="auto"/>
        <w:ind w:left="1080"/>
        <w:contextualSpacing w:val="0"/>
        <w:jc w:val="both"/>
        <w:rPr>
          <w:szCs w:val="21"/>
          <w:highlight w:val="green"/>
        </w:rPr>
      </w:pPr>
      <w:r w:rsidRPr="00CA1A16">
        <w:rPr>
          <w:szCs w:val="21"/>
          <w:highlight w:val="green"/>
        </w:rPr>
        <w:t>Idem R 15</w:t>
      </w:r>
    </w:p>
    <w:p w14:paraId="02544C41" w14:textId="1DBECB20" w:rsidR="004F1F40" w:rsidRPr="008A56AE" w:rsidRDefault="004F1F40" w:rsidP="00511B1E">
      <w:pPr>
        <w:jc w:val="both"/>
        <w:rPr>
          <w:rFonts w:cs="Georgia"/>
          <w:color w:val="585756"/>
          <w:szCs w:val="21"/>
          <w:lang w:val="fr-FR"/>
        </w:rPr>
      </w:pPr>
    </w:p>
    <w:sectPr w:rsidR="004F1F40" w:rsidRPr="008A56AE" w:rsidSect="003951FC">
      <w:headerReference w:type="even" r:id="rId16"/>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CCA5" w14:textId="77777777" w:rsidR="002C09DD" w:rsidRDefault="002C09DD" w:rsidP="00C06A66">
      <w:pPr>
        <w:spacing w:after="0" w:line="240" w:lineRule="auto"/>
      </w:pPr>
      <w:r>
        <w:separator/>
      </w:r>
    </w:p>
  </w:endnote>
  <w:endnote w:type="continuationSeparator" w:id="0">
    <w:p w14:paraId="1C7AD575" w14:textId="77777777" w:rsidR="002C09DD" w:rsidRDefault="002C09DD" w:rsidP="00C06A66">
      <w:pPr>
        <w:spacing w:after="0" w:line="240" w:lineRule="auto"/>
      </w:pPr>
      <w:r>
        <w:continuationSeparator/>
      </w:r>
    </w:p>
  </w:endnote>
  <w:endnote w:type="continuationNotice" w:id="1">
    <w:p w14:paraId="6C22F281" w14:textId="77777777" w:rsidR="002C09DD" w:rsidRDefault="002C0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8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8240"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195DB0" w:rsidRPr="00126C92" w:rsidRDefault="00195DB0"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Zone de texte 7"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195DB0" w:rsidRPr="00126C92" w:rsidRDefault="00195DB0"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5824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C0B1" w14:textId="77777777" w:rsidR="002C09DD" w:rsidRDefault="002C09DD" w:rsidP="00C06A66">
      <w:pPr>
        <w:spacing w:after="0" w:line="240" w:lineRule="auto"/>
      </w:pPr>
      <w:r>
        <w:separator/>
      </w:r>
    </w:p>
  </w:footnote>
  <w:footnote w:type="continuationSeparator" w:id="0">
    <w:p w14:paraId="0BE80EAE" w14:textId="77777777" w:rsidR="002C09DD" w:rsidRDefault="002C09DD" w:rsidP="00C06A66">
      <w:pPr>
        <w:spacing w:after="0" w:line="240" w:lineRule="auto"/>
      </w:pPr>
      <w:r>
        <w:continuationSeparator/>
      </w:r>
    </w:p>
  </w:footnote>
  <w:footnote w:type="continuationNotice" w:id="1">
    <w:p w14:paraId="565E06CA" w14:textId="77777777" w:rsidR="002C09DD" w:rsidRDefault="002C0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58241"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F33404F"/>
    <w:multiLevelType w:val="hybridMultilevel"/>
    <w:tmpl w:val="0DA6DA0E"/>
    <w:lvl w:ilvl="0" w:tplc="228E1FBE">
      <w:start w:val="3"/>
      <w:numFmt w:val="bullet"/>
      <w:lvlText w:val="-"/>
      <w:lvlJc w:val="left"/>
      <w:pPr>
        <w:ind w:left="720" w:hanging="360"/>
      </w:pPr>
      <w:rPr>
        <w:rFonts w:ascii="Georgia" w:eastAsiaTheme="minorHAnsi" w:hAnsi="Georgia" w:cs="Georgia" w:hint="default"/>
        <w:color w:val="0563C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C4E40"/>
    <w:multiLevelType w:val="multilevel"/>
    <w:tmpl w:val="79B2083E"/>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1D0C05"/>
    <w:multiLevelType w:val="hybridMultilevel"/>
    <w:tmpl w:val="A8FC60C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9" w15:restartNumberingAfterBreak="0">
    <w:nsid w:val="436E22EA"/>
    <w:multiLevelType w:val="multilevel"/>
    <w:tmpl w:val="3AD42C60"/>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D0C9B"/>
    <w:multiLevelType w:val="multilevel"/>
    <w:tmpl w:val="842884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D29A7"/>
    <w:multiLevelType w:val="hybridMultilevel"/>
    <w:tmpl w:val="1534AE10"/>
    <w:lvl w:ilvl="0" w:tplc="F40C0EA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AC6BD0"/>
    <w:multiLevelType w:val="hybridMultilevel"/>
    <w:tmpl w:val="8432E46E"/>
    <w:lvl w:ilvl="0" w:tplc="727806B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47367672">
    <w:abstractNumId w:val="5"/>
  </w:num>
  <w:num w:numId="2" w16cid:durableId="238056703">
    <w:abstractNumId w:val="1"/>
  </w:num>
  <w:num w:numId="3" w16cid:durableId="1232808201">
    <w:abstractNumId w:val="12"/>
  </w:num>
  <w:num w:numId="4" w16cid:durableId="87621934">
    <w:abstractNumId w:val="19"/>
  </w:num>
  <w:num w:numId="5" w16cid:durableId="956643270">
    <w:abstractNumId w:val="8"/>
  </w:num>
  <w:num w:numId="6" w16cid:durableId="1127044083">
    <w:abstractNumId w:val="11"/>
  </w:num>
  <w:num w:numId="7" w16cid:durableId="1515462510">
    <w:abstractNumId w:val="7"/>
  </w:num>
  <w:num w:numId="8" w16cid:durableId="1085539092">
    <w:abstractNumId w:val="6"/>
  </w:num>
  <w:num w:numId="9" w16cid:durableId="1958248065">
    <w:abstractNumId w:val="0"/>
  </w:num>
  <w:num w:numId="10" w16cid:durableId="1924990985">
    <w:abstractNumId w:val="17"/>
  </w:num>
  <w:num w:numId="11" w16cid:durableId="1872105848">
    <w:abstractNumId w:val="16"/>
  </w:num>
  <w:num w:numId="12" w16cid:durableId="978458881">
    <w:abstractNumId w:val="18"/>
  </w:num>
  <w:num w:numId="13" w16cid:durableId="1411123076">
    <w:abstractNumId w:val="13"/>
  </w:num>
  <w:num w:numId="14" w16cid:durableId="880022710">
    <w:abstractNumId w:val="3"/>
  </w:num>
  <w:num w:numId="15" w16cid:durableId="2020741638">
    <w:abstractNumId w:val="5"/>
    <w:lvlOverride w:ilvl="0">
      <w:startOverride w:val="2"/>
    </w:lvlOverride>
  </w:num>
  <w:num w:numId="16" w16cid:durableId="703553729">
    <w:abstractNumId w:val="5"/>
  </w:num>
  <w:num w:numId="17" w16cid:durableId="2083793213">
    <w:abstractNumId w:val="9"/>
  </w:num>
  <w:num w:numId="18" w16cid:durableId="1648166368">
    <w:abstractNumId w:val="2"/>
  </w:num>
  <w:num w:numId="19" w16cid:durableId="1360620528">
    <w:abstractNumId w:val="4"/>
  </w:num>
  <w:num w:numId="20" w16cid:durableId="381174491">
    <w:abstractNumId w:val="15"/>
  </w:num>
  <w:num w:numId="21" w16cid:durableId="397941807">
    <w:abstractNumId w:val="14"/>
  </w:num>
  <w:num w:numId="22" w16cid:durableId="180049540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66AC"/>
    <w:rsid w:val="00036DAD"/>
    <w:rsid w:val="00041DF2"/>
    <w:rsid w:val="0006786E"/>
    <w:rsid w:val="000730E1"/>
    <w:rsid w:val="00080EB2"/>
    <w:rsid w:val="00084C5F"/>
    <w:rsid w:val="00086746"/>
    <w:rsid w:val="00096EBD"/>
    <w:rsid w:val="000B2298"/>
    <w:rsid w:val="000B27CE"/>
    <w:rsid w:val="000B306E"/>
    <w:rsid w:val="000B6C7D"/>
    <w:rsid w:val="000C0EFB"/>
    <w:rsid w:val="000C421C"/>
    <w:rsid w:val="000D5EBA"/>
    <w:rsid w:val="001140EA"/>
    <w:rsid w:val="00120341"/>
    <w:rsid w:val="001274B8"/>
    <w:rsid w:val="00127E45"/>
    <w:rsid w:val="0013363C"/>
    <w:rsid w:val="00155989"/>
    <w:rsid w:val="00160474"/>
    <w:rsid w:val="00167C2D"/>
    <w:rsid w:val="00173951"/>
    <w:rsid w:val="00195DB0"/>
    <w:rsid w:val="001A2802"/>
    <w:rsid w:val="001A6BC1"/>
    <w:rsid w:val="001C1796"/>
    <w:rsid w:val="001E4F2F"/>
    <w:rsid w:val="001F28ED"/>
    <w:rsid w:val="001F7BD5"/>
    <w:rsid w:val="002016D7"/>
    <w:rsid w:val="0022630B"/>
    <w:rsid w:val="00227DAF"/>
    <w:rsid w:val="00231DA0"/>
    <w:rsid w:val="00250496"/>
    <w:rsid w:val="00253578"/>
    <w:rsid w:val="00256C83"/>
    <w:rsid w:val="00257A3C"/>
    <w:rsid w:val="00261F11"/>
    <w:rsid w:val="00265B00"/>
    <w:rsid w:val="00266E85"/>
    <w:rsid w:val="00271BCD"/>
    <w:rsid w:val="00283969"/>
    <w:rsid w:val="0029282D"/>
    <w:rsid w:val="002A2570"/>
    <w:rsid w:val="002C09DD"/>
    <w:rsid w:val="002C21C9"/>
    <w:rsid w:val="002C7352"/>
    <w:rsid w:val="002C7769"/>
    <w:rsid w:val="002D19FB"/>
    <w:rsid w:val="002D49BE"/>
    <w:rsid w:val="002E0B8A"/>
    <w:rsid w:val="002E6680"/>
    <w:rsid w:val="00307650"/>
    <w:rsid w:val="00310F34"/>
    <w:rsid w:val="00312D19"/>
    <w:rsid w:val="0031497B"/>
    <w:rsid w:val="00314E96"/>
    <w:rsid w:val="00316021"/>
    <w:rsid w:val="0032138E"/>
    <w:rsid w:val="00333023"/>
    <w:rsid w:val="0034597C"/>
    <w:rsid w:val="00360B8E"/>
    <w:rsid w:val="0036182A"/>
    <w:rsid w:val="00366215"/>
    <w:rsid w:val="00373923"/>
    <w:rsid w:val="00376AD8"/>
    <w:rsid w:val="003951FC"/>
    <w:rsid w:val="003B12B9"/>
    <w:rsid w:val="003B1808"/>
    <w:rsid w:val="003B28C6"/>
    <w:rsid w:val="003B3743"/>
    <w:rsid w:val="003C694E"/>
    <w:rsid w:val="003D2863"/>
    <w:rsid w:val="003E3C38"/>
    <w:rsid w:val="00401089"/>
    <w:rsid w:val="004078B0"/>
    <w:rsid w:val="00411C4A"/>
    <w:rsid w:val="00423FEE"/>
    <w:rsid w:val="00443F3B"/>
    <w:rsid w:val="00453FF3"/>
    <w:rsid w:val="00461727"/>
    <w:rsid w:val="00461D82"/>
    <w:rsid w:val="00480E48"/>
    <w:rsid w:val="0048354B"/>
    <w:rsid w:val="004835BD"/>
    <w:rsid w:val="00492DFA"/>
    <w:rsid w:val="004A1D4F"/>
    <w:rsid w:val="004A7C2F"/>
    <w:rsid w:val="004B19FE"/>
    <w:rsid w:val="004B4A77"/>
    <w:rsid w:val="004C1884"/>
    <w:rsid w:val="004C2BEF"/>
    <w:rsid w:val="004D3CD0"/>
    <w:rsid w:val="004D475D"/>
    <w:rsid w:val="004F1E87"/>
    <w:rsid w:val="004F1F40"/>
    <w:rsid w:val="0050604B"/>
    <w:rsid w:val="00511B1E"/>
    <w:rsid w:val="00514AFE"/>
    <w:rsid w:val="00520075"/>
    <w:rsid w:val="0052421E"/>
    <w:rsid w:val="005323BE"/>
    <w:rsid w:val="00537232"/>
    <w:rsid w:val="005402D0"/>
    <w:rsid w:val="0054497D"/>
    <w:rsid w:val="0056650F"/>
    <w:rsid w:val="00587987"/>
    <w:rsid w:val="00592484"/>
    <w:rsid w:val="005924BE"/>
    <w:rsid w:val="005A461B"/>
    <w:rsid w:val="005A4695"/>
    <w:rsid w:val="005C161C"/>
    <w:rsid w:val="005E4B01"/>
    <w:rsid w:val="005E4BAF"/>
    <w:rsid w:val="005E4F2D"/>
    <w:rsid w:val="006067E8"/>
    <w:rsid w:val="006205CD"/>
    <w:rsid w:val="00631B81"/>
    <w:rsid w:val="00633688"/>
    <w:rsid w:val="006371E9"/>
    <w:rsid w:val="00640879"/>
    <w:rsid w:val="006423B6"/>
    <w:rsid w:val="0064557C"/>
    <w:rsid w:val="00653DAA"/>
    <w:rsid w:val="00661575"/>
    <w:rsid w:val="0067733D"/>
    <w:rsid w:val="00677569"/>
    <w:rsid w:val="006775C9"/>
    <w:rsid w:val="00696256"/>
    <w:rsid w:val="00697FE5"/>
    <w:rsid w:val="006B33EC"/>
    <w:rsid w:val="006C7809"/>
    <w:rsid w:val="006D21F4"/>
    <w:rsid w:val="006D6E4A"/>
    <w:rsid w:val="006E0032"/>
    <w:rsid w:val="006E2D40"/>
    <w:rsid w:val="006E6928"/>
    <w:rsid w:val="006F7207"/>
    <w:rsid w:val="00712D4D"/>
    <w:rsid w:val="007519C6"/>
    <w:rsid w:val="00770171"/>
    <w:rsid w:val="00794D25"/>
    <w:rsid w:val="007A33C3"/>
    <w:rsid w:val="007A598A"/>
    <w:rsid w:val="007B2F81"/>
    <w:rsid w:val="007B4412"/>
    <w:rsid w:val="007D1475"/>
    <w:rsid w:val="007D31DB"/>
    <w:rsid w:val="007D5851"/>
    <w:rsid w:val="007D5A8B"/>
    <w:rsid w:val="007F0DC5"/>
    <w:rsid w:val="007F23E9"/>
    <w:rsid w:val="007F6586"/>
    <w:rsid w:val="00803254"/>
    <w:rsid w:val="0081743C"/>
    <w:rsid w:val="00825ECF"/>
    <w:rsid w:val="00826349"/>
    <w:rsid w:val="0082758D"/>
    <w:rsid w:val="00837C13"/>
    <w:rsid w:val="0085460E"/>
    <w:rsid w:val="00857F84"/>
    <w:rsid w:val="00862228"/>
    <w:rsid w:val="00866D8B"/>
    <w:rsid w:val="00867218"/>
    <w:rsid w:val="008700FE"/>
    <w:rsid w:val="00875C20"/>
    <w:rsid w:val="00886497"/>
    <w:rsid w:val="00890F47"/>
    <w:rsid w:val="00897EA5"/>
    <w:rsid w:val="008A56AE"/>
    <w:rsid w:val="008B2C48"/>
    <w:rsid w:val="008B78F7"/>
    <w:rsid w:val="008C03E3"/>
    <w:rsid w:val="008C173A"/>
    <w:rsid w:val="008E100B"/>
    <w:rsid w:val="008E3032"/>
    <w:rsid w:val="008F14C2"/>
    <w:rsid w:val="008F2A41"/>
    <w:rsid w:val="00900E8C"/>
    <w:rsid w:val="0094017C"/>
    <w:rsid w:val="009413BF"/>
    <w:rsid w:val="00955819"/>
    <w:rsid w:val="00973349"/>
    <w:rsid w:val="00991F1A"/>
    <w:rsid w:val="009C66BC"/>
    <w:rsid w:val="009D3897"/>
    <w:rsid w:val="009E284D"/>
    <w:rsid w:val="009F29BD"/>
    <w:rsid w:val="00A01980"/>
    <w:rsid w:val="00A026E8"/>
    <w:rsid w:val="00A03875"/>
    <w:rsid w:val="00A055F3"/>
    <w:rsid w:val="00A32103"/>
    <w:rsid w:val="00A35CA8"/>
    <w:rsid w:val="00A45082"/>
    <w:rsid w:val="00A611B2"/>
    <w:rsid w:val="00A87127"/>
    <w:rsid w:val="00A918C8"/>
    <w:rsid w:val="00AC07ED"/>
    <w:rsid w:val="00AD5620"/>
    <w:rsid w:val="00AE3034"/>
    <w:rsid w:val="00AE6D44"/>
    <w:rsid w:val="00AF2CF3"/>
    <w:rsid w:val="00B01C5F"/>
    <w:rsid w:val="00B02836"/>
    <w:rsid w:val="00B07BEF"/>
    <w:rsid w:val="00B07F7F"/>
    <w:rsid w:val="00B10D20"/>
    <w:rsid w:val="00B11AA1"/>
    <w:rsid w:val="00B27088"/>
    <w:rsid w:val="00B36459"/>
    <w:rsid w:val="00B55EBB"/>
    <w:rsid w:val="00B758B7"/>
    <w:rsid w:val="00B76522"/>
    <w:rsid w:val="00BA1A8C"/>
    <w:rsid w:val="00BA5C07"/>
    <w:rsid w:val="00BB17E6"/>
    <w:rsid w:val="00BB3952"/>
    <w:rsid w:val="00BB4544"/>
    <w:rsid w:val="00BB710C"/>
    <w:rsid w:val="00BC659D"/>
    <w:rsid w:val="00BD43B2"/>
    <w:rsid w:val="00BF142F"/>
    <w:rsid w:val="00BF537B"/>
    <w:rsid w:val="00C02C57"/>
    <w:rsid w:val="00C06A66"/>
    <w:rsid w:val="00C16593"/>
    <w:rsid w:val="00C17936"/>
    <w:rsid w:val="00C221E3"/>
    <w:rsid w:val="00C26614"/>
    <w:rsid w:val="00C35942"/>
    <w:rsid w:val="00C37862"/>
    <w:rsid w:val="00C479DB"/>
    <w:rsid w:val="00C512BD"/>
    <w:rsid w:val="00C6035E"/>
    <w:rsid w:val="00C81EEF"/>
    <w:rsid w:val="00CA02FF"/>
    <w:rsid w:val="00CE037E"/>
    <w:rsid w:val="00D06B09"/>
    <w:rsid w:val="00D17DEE"/>
    <w:rsid w:val="00D26375"/>
    <w:rsid w:val="00D27158"/>
    <w:rsid w:val="00D34DD9"/>
    <w:rsid w:val="00D4041D"/>
    <w:rsid w:val="00D64847"/>
    <w:rsid w:val="00D64F9C"/>
    <w:rsid w:val="00D66961"/>
    <w:rsid w:val="00D720B3"/>
    <w:rsid w:val="00D738FB"/>
    <w:rsid w:val="00D95306"/>
    <w:rsid w:val="00DA1602"/>
    <w:rsid w:val="00DA5B3D"/>
    <w:rsid w:val="00DB1B40"/>
    <w:rsid w:val="00DB1D2B"/>
    <w:rsid w:val="00DB5852"/>
    <w:rsid w:val="00DC37E2"/>
    <w:rsid w:val="00DD1939"/>
    <w:rsid w:val="00DD1D11"/>
    <w:rsid w:val="00E02105"/>
    <w:rsid w:val="00E116E1"/>
    <w:rsid w:val="00E42975"/>
    <w:rsid w:val="00E451A1"/>
    <w:rsid w:val="00E47137"/>
    <w:rsid w:val="00E774FE"/>
    <w:rsid w:val="00E93795"/>
    <w:rsid w:val="00E940DB"/>
    <w:rsid w:val="00EA4576"/>
    <w:rsid w:val="00EB4DF8"/>
    <w:rsid w:val="00EB603D"/>
    <w:rsid w:val="00EC052B"/>
    <w:rsid w:val="00EC1EA9"/>
    <w:rsid w:val="00EE7689"/>
    <w:rsid w:val="00EF2866"/>
    <w:rsid w:val="00F10C03"/>
    <w:rsid w:val="00F20C4D"/>
    <w:rsid w:val="00F36C32"/>
    <w:rsid w:val="00F405DE"/>
    <w:rsid w:val="00F439A1"/>
    <w:rsid w:val="00F44120"/>
    <w:rsid w:val="00F55F4B"/>
    <w:rsid w:val="00F67AEA"/>
    <w:rsid w:val="00F719B6"/>
    <w:rsid w:val="00F8466E"/>
    <w:rsid w:val="00F85C14"/>
    <w:rsid w:val="00F93054"/>
    <w:rsid w:val="00FC2C32"/>
    <w:rsid w:val="00FD3DFB"/>
    <w:rsid w:val="00FD4607"/>
    <w:rsid w:val="00FD4758"/>
    <w:rsid w:val="00FE18FF"/>
    <w:rsid w:val="00FE4A1C"/>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2 Car Car"/>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TIT-GEN 1-1,an_Über 2,an_Über 2 Char,an_Über 2 Char Char,Überschrift 2 Char Char Char"/>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an_Über 3,Überschrift 3 Char1,Überschrift 3 Char Char,Titre 3-CHAP-1"/>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an_Über 4,Titre 4-ARTICLE-1"/>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TIT-GEN 1-1 Car,an_Über 2 Car,an_Über 2 Char Car,an_Über 2 Char Char Car,Überschrift 2 Char Char Char Car"/>
    <w:link w:val="Titre2"/>
    <w:rsid w:val="00712D4D"/>
    <w:rPr>
      <w:rFonts w:ascii="Calibri" w:eastAsia="Times New Roman" w:hAnsi="Calibri" w:cs="Times New Roman"/>
      <w:b/>
      <w:color w:val="D81A1A"/>
      <w:sz w:val="28"/>
      <w:szCs w:val="26"/>
    </w:rPr>
  </w:style>
  <w:style w:type="character" w:customStyle="1" w:styleId="Titre3Car">
    <w:name w:val="Titre 3 Car"/>
    <w:aliases w:val="Car Car,Section Header3 Car,an_Über 3 Car,Überschrift 3 Char1 Car,Überschrift 3 Char Char Car,Titre 3-CHAP-1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aliases w:val="an_Über 4 Car,Titre 4-ARTICLE-1 Car"/>
    <w:link w:val="Titre4"/>
    <w:rsid w:val="00712D4D"/>
    <w:rPr>
      <w:rFonts w:ascii="Calibri" w:eastAsia="Times New Roman" w:hAnsi="Calibri" w:cs="Times New Roman"/>
      <w:b/>
      <w:iCs/>
      <w:color w:val="585756"/>
      <w:sz w:val="21"/>
    </w:rPr>
  </w:style>
  <w:style w:type="character" w:customStyle="1" w:styleId="Titre5Car">
    <w:name w:val="Titre 5 Car"/>
    <w:aliases w:val="(1.1.1.1.1.) Car,a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 w:type="table" w:customStyle="1" w:styleId="TableNormal">
    <w:name w:val="Table Normal"/>
    <w:uiPriority w:val="2"/>
    <w:semiHidden/>
    <w:unhideWhenUsed/>
    <w:qFormat/>
    <w:rsid w:val="00511B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1B1E"/>
    <w:pPr>
      <w:widowControl w:val="0"/>
      <w:autoSpaceDE w:val="0"/>
      <w:autoSpaceDN w:val="0"/>
      <w:spacing w:after="0" w:line="240" w:lineRule="auto"/>
      <w:jc w:val="center"/>
    </w:pPr>
    <w:rPr>
      <w:rFonts w:eastAsia="Georgia" w:cs="Georgia"/>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E7B61-E687-46D8-96ED-69023368E949}">
  <ds:schemaRefs>
    <ds:schemaRef ds:uri="http://schemas.openxmlformats.org/officeDocument/2006/bibliography"/>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1241</Words>
  <Characters>6830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NSHIMIRIMANA, Rénovat</cp:lastModifiedBy>
  <cp:revision>11</cp:revision>
  <dcterms:created xsi:type="dcterms:W3CDTF">2023-09-25T19:14:00Z</dcterms:created>
  <dcterms:modified xsi:type="dcterms:W3CDTF">2023-09-27T07:20:00Z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