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11F54DD9" w:rsidR="006F289F" w:rsidRPr="002D2165" w:rsidRDefault="006F289F" w:rsidP="004145B4">
                            <w:pPr>
                              <w:pStyle w:val="Titrecouverture"/>
                              <w:rPr>
                                <w:rFonts w:ascii="Garamond" w:hAnsi="Garamond"/>
                                <w:b/>
                                <w:sz w:val="30"/>
                                <w:szCs w:val="30"/>
                              </w:rPr>
                            </w:pPr>
                            <w:r w:rsidRPr="002D2165">
                              <w:rPr>
                                <w:rFonts w:ascii="Garamond" w:hAnsi="Garamond"/>
                                <w:b/>
                                <w:sz w:val="30"/>
                                <w:szCs w:val="30"/>
                              </w:rPr>
                              <w:t xml:space="preserve">Cahier Spécial des Charges </w:t>
                            </w:r>
                            <w:r w:rsidR="002D2165" w:rsidRPr="002D2165">
                              <w:rPr>
                                <w:rFonts w:ascii="Garamond" w:hAnsi="Garamond"/>
                                <w:b/>
                                <w:sz w:val="30"/>
                                <w:szCs w:val="30"/>
                              </w:rPr>
                              <w:t xml:space="preserve"> </w:t>
                            </w:r>
                          </w:p>
                          <w:p w14:paraId="70BF011F" w14:textId="77777777" w:rsidR="002D2165" w:rsidRDefault="002D2165" w:rsidP="004145B4">
                            <w:pPr>
                              <w:pStyle w:val="Titrecouverture"/>
                              <w:rPr>
                                <w:sz w:val="24"/>
                                <w:szCs w:val="24"/>
                              </w:rPr>
                            </w:pPr>
                          </w:p>
                          <w:p w14:paraId="0A5E7982" w14:textId="77777777" w:rsidR="002D2165" w:rsidRDefault="002D2165" w:rsidP="002D2165">
                            <w:pPr>
                              <w:pStyle w:val="Titrecouverture"/>
                              <w:rPr>
                                <w:sz w:val="24"/>
                                <w:szCs w:val="24"/>
                              </w:rPr>
                            </w:pPr>
                          </w:p>
                          <w:p w14:paraId="57CCAF6C" w14:textId="4C45E8ED" w:rsidR="002D2165" w:rsidRDefault="002D2165" w:rsidP="004145B4">
                            <w:pPr>
                              <w:pStyle w:val="Titrecouverture"/>
                              <w:rPr>
                                <w:sz w:val="24"/>
                                <w:szCs w:val="24"/>
                              </w:rPr>
                            </w:pPr>
                            <w:r w:rsidRPr="002D2165">
                              <w:rPr>
                                <w:rFonts w:ascii="Garamond" w:hAnsi="Garamond"/>
                                <w:b/>
                                <w:sz w:val="30"/>
                                <w:szCs w:val="30"/>
                              </w:rPr>
                              <w:t>Marché de Services relatif à</w:t>
                            </w:r>
                            <w:r w:rsidR="0002206E" w:rsidRPr="002D2165">
                              <w:rPr>
                                <w:rFonts w:ascii="Garamond" w:hAnsi="Garamond"/>
                                <w:b/>
                                <w:sz w:val="30"/>
                                <w:szCs w:val="30"/>
                              </w:rPr>
                              <w:t xml:space="preserve"> «</w:t>
                            </w:r>
                            <w:r w:rsidR="0002206E" w:rsidRPr="002D2165">
                              <w:rPr>
                                <w:sz w:val="24"/>
                                <w:szCs w:val="24"/>
                              </w:rPr>
                              <w:t xml:space="preserve"> l’</w:t>
                            </w:r>
                            <w:r w:rsidR="0002206E" w:rsidRPr="00233308">
                              <w:rPr>
                                <w:rFonts w:ascii="Garamond" w:hAnsi="Garamond"/>
                                <w:b/>
                                <w:sz w:val="30"/>
                                <w:szCs w:val="30"/>
                              </w:rPr>
                              <w:t>audit</w:t>
                            </w:r>
                            <w:r w:rsidRPr="002D2165">
                              <w:rPr>
                                <w:rFonts w:ascii="Garamond" w:hAnsi="Garamond"/>
                                <w:b/>
                                <w:sz w:val="30"/>
                                <w:szCs w:val="30"/>
                              </w:rPr>
                              <w:t xml:space="preserve"> des</w:t>
                            </w:r>
                            <w:r>
                              <w:rPr>
                                <w:rFonts w:ascii="Garamond" w:hAnsi="Garamond"/>
                                <w:b/>
                                <w:sz w:val="30"/>
                                <w:szCs w:val="30"/>
                              </w:rPr>
                              <w:t xml:space="preserve"> </w:t>
                            </w:r>
                            <w:r w:rsidRPr="002D2165">
                              <w:rPr>
                                <w:rFonts w:ascii="Garamond" w:hAnsi="Garamond"/>
                                <w:b/>
                                <w:sz w:val="30"/>
                                <w:szCs w:val="30"/>
                              </w:rPr>
                              <w:t>comptes annuels du comité national de</w:t>
                            </w:r>
                            <w:r>
                              <w:rPr>
                                <w:rFonts w:ascii="Garamond" w:hAnsi="Garamond"/>
                                <w:b/>
                                <w:sz w:val="30"/>
                                <w:szCs w:val="30"/>
                              </w:rPr>
                              <w:t xml:space="preserve"> l’ITIE-RDC pour les Exercices 2021 et 2022 »</w:t>
                            </w:r>
                          </w:p>
                          <w:p w14:paraId="2329A4D7" w14:textId="2F7E4EEE" w:rsidR="002D2165" w:rsidRPr="002D2165" w:rsidRDefault="002D2165" w:rsidP="004145B4">
                            <w:pPr>
                              <w:pStyle w:val="Titrecouverture"/>
                              <w:rPr>
                                <w:rFonts w:ascii="Garamond" w:hAnsi="Garamond"/>
                                <w:b/>
                                <w:sz w:val="30"/>
                                <w:szCs w:val="30"/>
                              </w:rPr>
                            </w:pPr>
                            <w:r w:rsidRPr="002D2165">
                              <w:rPr>
                                <w:rFonts w:ascii="Garamond" w:hAnsi="Garamond"/>
                                <w:b/>
                                <w:sz w:val="30"/>
                                <w:szCs w:val="30"/>
                              </w:rPr>
                              <w:t>Reference Externe : COD22026-10005</w:t>
                            </w:r>
                          </w:p>
                          <w:p w14:paraId="7E9B05C2" w14:textId="133A69EA" w:rsidR="006F289F" w:rsidRPr="002D2165" w:rsidRDefault="006F289F" w:rsidP="004145B4">
                            <w:pPr>
                              <w:pStyle w:val="Titrecouverture"/>
                              <w:rPr>
                                <w:rFonts w:ascii="Garamond" w:hAnsi="Garamond"/>
                                <w:b/>
                                <w:sz w:val="30"/>
                                <w:szCs w:val="30"/>
                              </w:rPr>
                            </w:pPr>
                            <w:r w:rsidRPr="002D2165">
                              <w:rPr>
                                <w:rFonts w:ascii="Garamond" w:hAnsi="Garamond"/>
                                <w:b/>
                                <w:sz w:val="30"/>
                                <w:szCs w:val="30"/>
                              </w:rPr>
                              <w:t xml:space="preserve">Code Navision : </w:t>
                            </w:r>
                            <w:r w:rsidR="002D2165" w:rsidRPr="002D2165">
                              <w:rPr>
                                <w:rFonts w:ascii="Garamond" w:hAnsi="Garamond"/>
                                <w:b/>
                                <w:sz w:val="30"/>
                                <w:szCs w:val="30"/>
                              </w:rPr>
                              <w:t>COD220</w:t>
                            </w:r>
                            <w:r w:rsidR="002D2165">
                              <w:rPr>
                                <w:rFonts w:ascii="Garamond" w:hAnsi="Garamond"/>
                                <w:b/>
                                <w:sz w:val="30"/>
                                <w:szCs w:val="30"/>
                              </w:rPr>
                              <w:t>2</w:t>
                            </w:r>
                            <w:r w:rsidR="002D2165" w:rsidRPr="002D2165">
                              <w:rPr>
                                <w:rFonts w:ascii="Garamond" w:hAnsi="Garamond"/>
                                <w:b/>
                                <w:sz w:val="30"/>
                                <w:szCs w:val="30"/>
                              </w:rPr>
                              <w:t>6</w:t>
                            </w:r>
                          </w:p>
                          <w:p w14:paraId="35C4EFF8" w14:textId="25E5DC41" w:rsidR="006F289F" w:rsidRPr="002D2165" w:rsidRDefault="006F289F" w:rsidP="004145B4">
                            <w:pPr>
                              <w:pStyle w:val="Sous-titre"/>
                              <w:rPr>
                                <w:rFonts w:ascii="Garamond" w:hAnsi="Garamond"/>
                                <w:b/>
                                <w:sz w:val="30"/>
                                <w:szCs w:val="30"/>
                              </w:rPr>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11F54DD9" w:rsidR="006F289F" w:rsidRPr="002D2165" w:rsidRDefault="006F289F" w:rsidP="004145B4">
                      <w:pPr>
                        <w:pStyle w:val="Titrecouverture"/>
                        <w:rPr>
                          <w:rFonts w:ascii="Garamond" w:hAnsi="Garamond"/>
                          <w:b/>
                          <w:sz w:val="30"/>
                          <w:szCs w:val="30"/>
                        </w:rPr>
                      </w:pPr>
                      <w:r w:rsidRPr="002D2165">
                        <w:rPr>
                          <w:rFonts w:ascii="Garamond" w:hAnsi="Garamond"/>
                          <w:b/>
                          <w:sz w:val="30"/>
                          <w:szCs w:val="30"/>
                        </w:rPr>
                        <w:t xml:space="preserve">Cahier Spécial des Charges </w:t>
                      </w:r>
                      <w:r w:rsidR="002D2165" w:rsidRPr="002D2165">
                        <w:rPr>
                          <w:rFonts w:ascii="Garamond" w:hAnsi="Garamond"/>
                          <w:b/>
                          <w:sz w:val="30"/>
                          <w:szCs w:val="30"/>
                        </w:rPr>
                        <w:t xml:space="preserve"> </w:t>
                      </w:r>
                    </w:p>
                    <w:p w14:paraId="70BF011F" w14:textId="77777777" w:rsidR="002D2165" w:rsidRDefault="002D2165" w:rsidP="004145B4">
                      <w:pPr>
                        <w:pStyle w:val="Titrecouverture"/>
                        <w:rPr>
                          <w:sz w:val="24"/>
                          <w:szCs w:val="24"/>
                        </w:rPr>
                      </w:pPr>
                    </w:p>
                    <w:p w14:paraId="0A5E7982" w14:textId="77777777" w:rsidR="002D2165" w:rsidRDefault="002D2165" w:rsidP="002D2165">
                      <w:pPr>
                        <w:pStyle w:val="Titrecouverture"/>
                        <w:rPr>
                          <w:sz w:val="24"/>
                          <w:szCs w:val="24"/>
                        </w:rPr>
                      </w:pPr>
                    </w:p>
                    <w:p w14:paraId="57CCAF6C" w14:textId="4C45E8ED" w:rsidR="002D2165" w:rsidRDefault="002D2165" w:rsidP="004145B4">
                      <w:pPr>
                        <w:pStyle w:val="Titrecouverture"/>
                        <w:rPr>
                          <w:sz w:val="24"/>
                          <w:szCs w:val="24"/>
                        </w:rPr>
                      </w:pPr>
                      <w:r w:rsidRPr="002D2165">
                        <w:rPr>
                          <w:rFonts w:ascii="Garamond" w:hAnsi="Garamond"/>
                          <w:b/>
                          <w:sz w:val="30"/>
                          <w:szCs w:val="30"/>
                        </w:rPr>
                        <w:t>Marché de Services relatif à</w:t>
                      </w:r>
                      <w:r w:rsidR="0002206E" w:rsidRPr="002D2165">
                        <w:rPr>
                          <w:rFonts w:ascii="Garamond" w:hAnsi="Garamond"/>
                          <w:b/>
                          <w:sz w:val="30"/>
                          <w:szCs w:val="30"/>
                        </w:rPr>
                        <w:t xml:space="preserve"> «</w:t>
                      </w:r>
                      <w:r w:rsidR="0002206E" w:rsidRPr="002D2165">
                        <w:rPr>
                          <w:sz w:val="24"/>
                          <w:szCs w:val="24"/>
                        </w:rPr>
                        <w:t xml:space="preserve"> l’</w:t>
                      </w:r>
                      <w:r w:rsidR="0002206E" w:rsidRPr="00233308">
                        <w:rPr>
                          <w:rFonts w:ascii="Garamond" w:hAnsi="Garamond"/>
                          <w:b/>
                          <w:sz w:val="30"/>
                          <w:szCs w:val="30"/>
                        </w:rPr>
                        <w:t>audit</w:t>
                      </w:r>
                      <w:r w:rsidRPr="002D2165">
                        <w:rPr>
                          <w:rFonts w:ascii="Garamond" w:hAnsi="Garamond"/>
                          <w:b/>
                          <w:sz w:val="30"/>
                          <w:szCs w:val="30"/>
                        </w:rPr>
                        <w:t xml:space="preserve"> des</w:t>
                      </w:r>
                      <w:r>
                        <w:rPr>
                          <w:rFonts w:ascii="Garamond" w:hAnsi="Garamond"/>
                          <w:b/>
                          <w:sz w:val="30"/>
                          <w:szCs w:val="30"/>
                        </w:rPr>
                        <w:t xml:space="preserve"> </w:t>
                      </w:r>
                      <w:r w:rsidRPr="002D2165">
                        <w:rPr>
                          <w:rFonts w:ascii="Garamond" w:hAnsi="Garamond"/>
                          <w:b/>
                          <w:sz w:val="30"/>
                          <w:szCs w:val="30"/>
                        </w:rPr>
                        <w:t>comptes annuels du comité national de</w:t>
                      </w:r>
                      <w:r>
                        <w:rPr>
                          <w:rFonts w:ascii="Garamond" w:hAnsi="Garamond"/>
                          <w:b/>
                          <w:sz w:val="30"/>
                          <w:szCs w:val="30"/>
                        </w:rPr>
                        <w:t xml:space="preserve"> l’ITIE-RDC pour les Exercices 2021 et 2022 »</w:t>
                      </w:r>
                    </w:p>
                    <w:p w14:paraId="2329A4D7" w14:textId="2F7E4EEE" w:rsidR="002D2165" w:rsidRPr="002D2165" w:rsidRDefault="002D2165" w:rsidP="004145B4">
                      <w:pPr>
                        <w:pStyle w:val="Titrecouverture"/>
                        <w:rPr>
                          <w:rFonts w:ascii="Garamond" w:hAnsi="Garamond"/>
                          <w:b/>
                          <w:sz w:val="30"/>
                          <w:szCs w:val="30"/>
                        </w:rPr>
                      </w:pPr>
                      <w:r w:rsidRPr="002D2165">
                        <w:rPr>
                          <w:rFonts w:ascii="Garamond" w:hAnsi="Garamond"/>
                          <w:b/>
                          <w:sz w:val="30"/>
                          <w:szCs w:val="30"/>
                        </w:rPr>
                        <w:t>Reference Externe : COD22026-10005</w:t>
                      </w:r>
                    </w:p>
                    <w:p w14:paraId="7E9B05C2" w14:textId="133A69EA" w:rsidR="006F289F" w:rsidRPr="002D2165" w:rsidRDefault="006F289F" w:rsidP="004145B4">
                      <w:pPr>
                        <w:pStyle w:val="Titrecouverture"/>
                        <w:rPr>
                          <w:rFonts w:ascii="Garamond" w:hAnsi="Garamond"/>
                          <w:b/>
                          <w:sz w:val="30"/>
                          <w:szCs w:val="30"/>
                        </w:rPr>
                      </w:pPr>
                      <w:r w:rsidRPr="002D2165">
                        <w:rPr>
                          <w:rFonts w:ascii="Garamond" w:hAnsi="Garamond"/>
                          <w:b/>
                          <w:sz w:val="30"/>
                          <w:szCs w:val="30"/>
                        </w:rPr>
                        <w:t xml:space="preserve">Code Navision : </w:t>
                      </w:r>
                      <w:r w:rsidR="002D2165" w:rsidRPr="002D2165">
                        <w:rPr>
                          <w:rFonts w:ascii="Garamond" w:hAnsi="Garamond"/>
                          <w:b/>
                          <w:sz w:val="30"/>
                          <w:szCs w:val="30"/>
                        </w:rPr>
                        <w:t>COD220</w:t>
                      </w:r>
                      <w:r w:rsidR="002D2165">
                        <w:rPr>
                          <w:rFonts w:ascii="Garamond" w:hAnsi="Garamond"/>
                          <w:b/>
                          <w:sz w:val="30"/>
                          <w:szCs w:val="30"/>
                        </w:rPr>
                        <w:t>2</w:t>
                      </w:r>
                      <w:r w:rsidR="002D2165" w:rsidRPr="002D2165">
                        <w:rPr>
                          <w:rFonts w:ascii="Garamond" w:hAnsi="Garamond"/>
                          <w:b/>
                          <w:sz w:val="30"/>
                          <w:szCs w:val="30"/>
                        </w:rPr>
                        <w:t>6</w:t>
                      </w:r>
                    </w:p>
                    <w:p w14:paraId="35C4EFF8" w14:textId="25E5DC41" w:rsidR="006F289F" w:rsidRPr="002D2165" w:rsidRDefault="006F289F" w:rsidP="004145B4">
                      <w:pPr>
                        <w:pStyle w:val="Sous-titre"/>
                        <w:rPr>
                          <w:rFonts w:ascii="Garamond" w:hAnsi="Garamond"/>
                          <w:b/>
                          <w:sz w:val="30"/>
                          <w:szCs w:val="30"/>
                        </w:rPr>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E438D26" w14:textId="1A9925E6" w:rsidR="00BF6D68"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44699125" w:history="1">
        <w:r w:rsidR="00BF6D68" w:rsidRPr="004E3C44">
          <w:rPr>
            <w:rStyle w:val="Lienhypertexte"/>
            <w:noProof/>
          </w:rPr>
          <w:t>1</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Généralités</w:t>
        </w:r>
        <w:r w:rsidR="00BF6D68">
          <w:rPr>
            <w:noProof/>
            <w:webHidden/>
          </w:rPr>
          <w:tab/>
        </w:r>
        <w:r w:rsidR="00BF6D68">
          <w:rPr>
            <w:noProof/>
            <w:webHidden/>
          </w:rPr>
          <w:fldChar w:fldCharType="begin"/>
        </w:r>
        <w:r w:rsidR="00BF6D68">
          <w:rPr>
            <w:noProof/>
            <w:webHidden/>
          </w:rPr>
          <w:instrText xml:space="preserve"> PAGEREF _Toc144699125 \h </w:instrText>
        </w:r>
        <w:r w:rsidR="00BF6D68">
          <w:rPr>
            <w:noProof/>
            <w:webHidden/>
          </w:rPr>
        </w:r>
        <w:r w:rsidR="00BF6D68">
          <w:rPr>
            <w:noProof/>
            <w:webHidden/>
          </w:rPr>
          <w:fldChar w:fldCharType="separate"/>
        </w:r>
        <w:r w:rsidR="005B4C99">
          <w:rPr>
            <w:noProof/>
            <w:webHidden/>
          </w:rPr>
          <w:t>5</w:t>
        </w:r>
        <w:r w:rsidR="00BF6D68">
          <w:rPr>
            <w:noProof/>
            <w:webHidden/>
          </w:rPr>
          <w:fldChar w:fldCharType="end"/>
        </w:r>
      </w:hyperlink>
    </w:p>
    <w:p w14:paraId="308AD8E0" w14:textId="4BFD0A0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26" w:history="1">
        <w:r w:rsidR="00BF6D68" w:rsidRPr="004E3C44">
          <w:rPr>
            <w:rStyle w:val="Lienhypertexte"/>
            <w:noProof/>
          </w:rPr>
          <w:t>1.1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Dérogations aux règles générales d’exécution</w:t>
        </w:r>
        <w:r w:rsidR="00BF6D68">
          <w:rPr>
            <w:noProof/>
            <w:webHidden/>
          </w:rPr>
          <w:tab/>
        </w:r>
        <w:r w:rsidR="00BF6D68">
          <w:rPr>
            <w:noProof/>
            <w:webHidden/>
          </w:rPr>
          <w:fldChar w:fldCharType="begin"/>
        </w:r>
        <w:r w:rsidR="00BF6D68">
          <w:rPr>
            <w:noProof/>
            <w:webHidden/>
          </w:rPr>
          <w:instrText xml:space="preserve"> PAGEREF _Toc144699126 \h </w:instrText>
        </w:r>
        <w:r w:rsidR="00BF6D68">
          <w:rPr>
            <w:noProof/>
            <w:webHidden/>
          </w:rPr>
        </w:r>
        <w:r w:rsidR="00BF6D68">
          <w:rPr>
            <w:noProof/>
            <w:webHidden/>
          </w:rPr>
          <w:fldChar w:fldCharType="separate"/>
        </w:r>
        <w:r w:rsidR="005B4C99">
          <w:rPr>
            <w:noProof/>
            <w:webHidden/>
          </w:rPr>
          <w:t>5</w:t>
        </w:r>
        <w:r w:rsidR="00BF6D68">
          <w:rPr>
            <w:noProof/>
            <w:webHidden/>
          </w:rPr>
          <w:fldChar w:fldCharType="end"/>
        </w:r>
      </w:hyperlink>
    </w:p>
    <w:p w14:paraId="59AEDCC5" w14:textId="68D084A4"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27" w:history="1">
        <w:r w:rsidR="00BF6D68" w:rsidRPr="004E3C44">
          <w:rPr>
            <w:rStyle w:val="Lienhypertexte"/>
            <w:noProof/>
          </w:rPr>
          <w:t>1.2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Pouvoir adjudicateur</w:t>
        </w:r>
        <w:r w:rsidR="00BF6D68">
          <w:rPr>
            <w:noProof/>
            <w:webHidden/>
          </w:rPr>
          <w:tab/>
        </w:r>
        <w:r w:rsidR="00BF6D68">
          <w:rPr>
            <w:noProof/>
            <w:webHidden/>
          </w:rPr>
          <w:fldChar w:fldCharType="begin"/>
        </w:r>
        <w:r w:rsidR="00BF6D68">
          <w:rPr>
            <w:noProof/>
            <w:webHidden/>
          </w:rPr>
          <w:instrText xml:space="preserve"> PAGEREF _Toc144699127 \h </w:instrText>
        </w:r>
        <w:r w:rsidR="00BF6D68">
          <w:rPr>
            <w:noProof/>
            <w:webHidden/>
          </w:rPr>
        </w:r>
        <w:r w:rsidR="00BF6D68">
          <w:rPr>
            <w:noProof/>
            <w:webHidden/>
          </w:rPr>
          <w:fldChar w:fldCharType="separate"/>
        </w:r>
        <w:r w:rsidR="005B4C99">
          <w:rPr>
            <w:noProof/>
            <w:webHidden/>
          </w:rPr>
          <w:t>5</w:t>
        </w:r>
        <w:r w:rsidR="00BF6D68">
          <w:rPr>
            <w:noProof/>
            <w:webHidden/>
          </w:rPr>
          <w:fldChar w:fldCharType="end"/>
        </w:r>
      </w:hyperlink>
    </w:p>
    <w:p w14:paraId="245851C7" w14:textId="42CF2C59"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28" w:history="1">
        <w:r w:rsidR="00BF6D68" w:rsidRPr="004E3C44">
          <w:rPr>
            <w:rStyle w:val="Lienhypertexte"/>
            <w:noProof/>
          </w:rPr>
          <w:t>1.3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Cadre institutionnel d’Enabel</w:t>
        </w:r>
        <w:r w:rsidR="00BF6D68">
          <w:rPr>
            <w:noProof/>
            <w:webHidden/>
          </w:rPr>
          <w:tab/>
        </w:r>
        <w:r w:rsidR="00BF6D68">
          <w:rPr>
            <w:noProof/>
            <w:webHidden/>
          </w:rPr>
          <w:fldChar w:fldCharType="begin"/>
        </w:r>
        <w:r w:rsidR="00BF6D68">
          <w:rPr>
            <w:noProof/>
            <w:webHidden/>
          </w:rPr>
          <w:instrText xml:space="preserve"> PAGEREF _Toc144699128 \h </w:instrText>
        </w:r>
        <w:r w:rsidR="00BF6D68">
          <w:rPr>
            <w:noProof/>
            <w:webHidden/>
          </w:rPr>
        </w:r>
        <w:r w:rsidR="00BF6D68">
          <w:rPr>
            <w:noProof/>
            <w:webHidden/>
          </w:rPr>
          <w:fldChar w:fldCharType="separate"/>
        </w:r>
        <w:r w:rsidR="005B4C99">
          <w:rPr>
            <w:noProof/>
            <w:webHidden/>
          </w:rPr>
          <w:t>5</w:t>
        </w:r>
        <w:r w:rsidR="00BF6D68">
          <w:rPr>
            <w:noProof/>
            <w:webHidden/>
          </w:rPr>
          <w:fldChar w:fldCharType="end"/>
        </w:r>
      </w:hyperlink>
    </w:p>
    <w:p w14:paraId="6B45FB75" w14:textId="137D5E6B"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29" w:history="1">
        <w:r w:rsidR="00BF6D68" w:rsidRPr="004E3C44">
          <w:rPr>
            <w:rStyle w:val="Lienhypertexte"/>
            <w:noProof/>
          </w:rPr>
          <w:t>1.4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Règles régissant le marché</w:t>
        </w:r>
        <w:r w:rsidR="00BF6D68">
          <w:rPr>
            <w:noProof/>
            <w:webHidden/>
          </w:rPr>
          <w:tab/>
        </w:r>
        <w:r w:rsidR="00BF6D68">
          <w:rPr>
            <w:noProof/>
            <w:webHidden/>
          </w:rPr>
          <w:fldChar w:fldCharType="begin"/>
        </w:r>
        <w:r w:rsidR="00BF6D68">
          <w:rPr>
            <w:noProof/>
            <w:webHidden/>
          </w:rPr>
          <w:instrText xml:space="preserve"> PAGEREF _Toc144699129 \h </w:instrText>
        </w:r>
        <w:r w:rsidR="00BF6D68">
          <w:rPr>
            <w:noProof/>
            <w:webHidden/>
          </w:rPr>
        </w:r>
        <w:r w:rsidR="00BF6D68">
          <w:rPr>
            <w:noProof/>
            <w:webHidden/>
          </w:rPr>
          <w:fldChar w:fldCharType="separate"/>
        </w:r>
        <w:r w:rsidR="005B4C99">
          <w:rPr>
            <w:noProof/>
            <w:webHidden/>
          </w:rPr>
          <w:t>6</w:t>
        </w:r>
        <w:r w:rsidR="00BF6D68">
          <w:rPr>
            <w:noProof/>
            <w:webHidden/>
          </w:rPr>
          <w:fldChar w:fldCharType="end"/>
        </w:r>
      </w:hyperlink>
    </w:p>
    <w:p w14:paraId="76CCB23C" w14:textId="361F03D1"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30" w:history="1">
        <w:r w:rsidR="00BF6D68" w:rsidRPr="004E3C44">
          <w:rPr>
            <w:rStyle w:val="Lienhypertexte"/>
            <w:noProof/>
          </w:rPr>
          <w:t>1.5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Définitions</w:t>
        </w:r>
        <w:r w:rsidR="00BF6D68">
          <w:rPr>
            <w:noProof/>
            <w:webHidden/>
          </w:rPr>
          <w:tab/>
        </w:r>
        <w:r w:rsidR="00BF6D68">
          <w:rPr>
            <w:noProof/>
            <w:webHidden/>
          </w:rPr>
          <w:fldChar w:fldCharType="begin"/>
        </w:r>
        <w:r w:rsidR="00BF6D68">
          <w:rPr>
            <w:noProof/>
            <w:webHidden/>
          </w:rPr>
          <w:instrText xml:space="preserve"> PAGEREF _Toc144699130 \h </w:instrText>
        </w:r>
        <w:r w:rsidR="00BF6D68">
          <w:rPr>
            <w:noProof/>
            <w:webHidden/>
          </w:rPr>
        </w:r>
        <w:r w:rsidR="00BF6D68">
          <w:rPr>
            <w:noProof/>
            <w:webHidden/>
          </w:rPr>
          <w:fldChar w:fldCharType="separate"/>
        </w:r>
        <w:r w:rsidR="005B4C99">
          <w:rPr>
            <w:noProof/>
            <w:webHidden/>
          </w:rPr>
          <w:t>7</w:t>
        </w:r>
        <w:r w:rsidR="00BF6D68">
          <w:rPr>
            <w:noProof/>
            <w:webHidden/>
          </w:rPr>
          <w:fldChar w:fldCharType="end"/>
        </w:r>
      </w:hyperlink>
    </w:p>
    <w:p w14:paraId="25DE9605" w14:textId="263CCC80"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31" w:history="1">
        <w:r w:rsidR="00BF6D68" w:rsidRPr="004E3C44">
          <w:rPr>
            <w:rStyle w:val="Lienhypertexte"/>
            <w:noProof/>
          </w:rPr>
          <w:t>1.6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Confidentialité</w:t>
        </w:r>
        <w:r w:rsidR="00BF6D68">
          <w:rPr>
            <w:noProof/>
            <w:webHidden/>
          </w:rPr>
          <w:tab/>
        </w:r>
        <w:r w:rsidR="00BF6D68">
          <w:rPr>
            <w:noProof/>
            <w:webHidden/>
          </w:rPr>
          <w:fldChar w:fldCharType="begin"/>
        </w:r>
        <w:r w:rsidR="00BF6D68">
          <w:rPr>
            <w:noProof/>
            <w:webHidden/>
          </w:rPr>
          <w:instrText xml:space="preserve"> PAGEREF _Toc144699131 \h </w:instrText>
        </w:r>
        <w:r w:rsidR="00BF6D68">
          <w:rPr>
            <w:noProof/>
            <w:webHidden/>
          </w:rPr>
        </w:r>
        <w:r w:rsidR="00BF6D68">
          <w:rPr>
            <w:noProof/>
            <w:webHidden/>
          </w:rPr>
          <w:fldChar w:fldCharType="separate"/>
        </w:r>
        <w:r w:rsidR="005B4C99">
          <w:rPr>
            <w:noProof/>
            <w:webHidden/>
          </w:rPr>
          <w:t>8</w:t>
        </w:r>
        <w:r w:rsidR="00BF6D68">
          <w:rPr>
            <w:noProof/>
            <w:webHidden/>
          </w:rPr>
          <w:fldChar w:fldCharType="end"/>
        </w:r>
      </w:hyperlink>
    </w:p>
    <w:p w14:paraId="672DF8C8" w14:textId="52CC34B5"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2" w:history="1">
        <w:r w:rsidR="00BF6D68" w:rsidRPr="004E3C44">
          <w:rPr>
            <w:rStyle w:val="Lienhypertexte"/>
            <w:noProof/>
            <w:lang w:val="fr-FR"/>
          </w:rPr>
          <w:t>1.6.1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lang w:val="fr-FR"/>
          </w:rPr>
          <w:t>Traitement des données à caractère personnel</w:t>
        </w:r>
        <w:r w:rsidR="00BF6D68">
          <w:rPr>
            <w:noProof/>
            <w:webHidden/>
          </w:rPr>
          <w:tab/>
        </w:r>
        <w:r w:rsidR="00BF6D68">
          <w:rPr>
            <w:noProof/>
            <w:webHidden/>
          </w:rPr>
          <w:fldChar w:fldCharType="begin"/>
        </w:r>
        <w:r w:rsidR="00BF6D68">
          <w:rPr>
            <w:noProof/>
            <w:webHidden/>
          </w:rPr>
          <w:instrText xml:space="preserve"> PAGEREF _Toc144699132 \h </w:instrText>
        </w:r>
        <w:r w:rsidR="00BF6D68">
          <w:rPr>
            <w:noProof/>
            <w:webHidden/>
          </w:rPr>
        </w:r>
        <w:r w:rsidR="00BF6D68">
          <w:rPr>
            <w:noProof/>
            <w:webHidden/>
          </w:rPr>
          <w:fldChar w:fldCharType="separate"/>
        </w:r>
        <w:r w:rsidR="005B4C99">
          <w:rPr>
            <w:noProof/>
            <w:webHidden/>
          </w:rPr>
          <w:t>8</w:t>
        </w:r>
        <w:r w:rsidR="00BF6D68">
          <w:rPr>
            <w:noProof/>
            <w:webHidden/>
          </w:rPr>
          <w:fldChar w:fldCharType="end"/>
        </w:r>
      </w:hyperlink>
    </w:p>
    <w:p w14:paraId="69AE0EFC" w14:textId="7B37C0C8"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3" w:history="1">
        <w:r w:rsidR="00BF6D68" w:rsidRPr="004E3C44">
          <w:rPr>
            <w:rStyle w:val="Lienhypertexte"/>
            <w:noProof/>
          </w:rPr>
          <w:t>1.6.2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Confidentialité</w:t>
        </w:r>
        <w:r w:rsidR="00BF6D68">
          <w:rPr>
            <w:noProof/>
            <w:webHidden/>
          </w:rPr>
          <w:tab/>
        </w:r>
        <w:r w:rsidR="00BF6D68">
          <w:rPr>
            <w:noProof/>
            <w:webHidden/>
          </w:rPr>
          <w:fldChar w:fldCharType="begin"/>
        </w:r>
        <w:r w:rsidR="00BF6D68">
          <w:rPr>
            <w:noProof/>
            <w:webHidden/>
          </w:rPr>
          <w:instrText xml:space="preserve"> PAGEREF _Toc144699133 \h </w:instrText>
        </w:r>
        <w:r w:rsidR="00BF6D68">
          <w:rPr>
            <w:noProof/>
            <w:webHidden/>
          </w:rPr>
        </w:r>
        <w:r w:rsidR="00BF6D68">
          <w:rPr>
            <w:noProof/>
            <w:webHidden/>
          </w:rPr>
          <w:fldChar w:fldCharType="separate"/>
        </w:r>
        <w:r w:rsidR="005B4C99">
          <w:rPr>
            <w:noProof/>
            <w:webHidden/>
          </w:rPr>
          <w:t>8</w:t>
        </w:r>
        <w:r w:rsidR="00BF6D68">
          <w:rPr>
            <w:noProof/>
            <w:webHidden/>
          </w:rPr>
          <w:fldChar w:fldCharType="end"/>
        </w:r>
      </w:hyperlink>
    </w:p>
    <w:p w14:paraId="5581BCD3" w14:textId="7F34434A"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34" w:history="1">
        <w:r w:rsidR="00BF6D68" w:rsidRPr="004E3C44">
          <w:rPr>
            <w:rStyle w:val="Lienhypertexte"/>
            <w:noProof/>
          </w:rPr>
          <w:t>1.7</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Obligations déontologiques</w:t>
        </w:r>
        <w:r w:rsidR="00BF6D68">
          <w:rPr>
            <w:noProof/>
            <w:webHidden/>
          </w:rPr>
          <w:tab/>
        </w:r>
        <w:r w:rsidR="00BF6D68">
          <w:rPr>
            <w:noProof/>
            <w:webHidden/>
          </w:rPr>
          <w:fldChar w:fldCharType="begin"/>
        </w:r>
        <w:r w:rsidR="00BF6D68">
          <w:rPr>
            <w:noProof/>
            <w:webHidden/>
          </w:rPr>
          <w:instrText xml:space="preserve"> PAGEREF _Toc144699134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6D35DE57" w14:textId="794CAD37"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5" w:history="1">
        <w:r w:rsidR="00BF6D68" w:rsidRPr="004E3C44">
          <w:rPr>
            <w:rStyle w:val="Lienhypertexte"/>
            <w:noProof/>
          </w:rPr>
          <w:t>1.7.1</w:t>
        </w:r>
        <w:r w:rsidR="00BF6D68">
          <w:rPr>
            <w:noProof/>
            <w:webHidden/>
          </w:rPr>
          <w:tab/>
        </w:r>
        <w:r w:rsidR="00BF6D68">
          <w:rPr>
            <w:noProof/>
            <w:webHidden/>
          </w:rPr>
          <w:fldChar w:fldCharType="begin"/>
        </w:r>
        <w:r w:rsidR="00BF6D68">
          <w:rPr>
            <w:noProof/>
            <w:webHidden/>
          </w:rPr>
          <w:instrText xml:space="preserve"> PAGEREF _Toc144699135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469F9AD4" w14:textId="0431604E"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6" w:history="1">
        <w:r w:rsidR="00BF6D68" w:rsidRPr="004E3C44">
          <w:rPr>
            <w:rStyle w:val="Lienhypertexte"/>
            <w:noProof/>
          </w:rPr>
          <w:t>1.7.2</w:t>
        </w:r>
        <w:r w:rsidR="00BF6D68">
          <w:rPr>
            <w:noProof/>
            <w:webHidden/>
          </w:rPr>
          <w:tab/>
        </w:r>
        <w:r w:rsidR="00BF6D68">
          <w:rPr>
            <w:noProof/>
            <w:webHidden/>
          </w:rPr>
          <w:fldChar w:fldCharType="begin"/>
        </w:r>
        <w:r w:rsidR="00BF6D68">
          <w:rPr>
            <w:noProof/>
            <w:webHidden/>
          </w:rPr>
          <w:instrText xml:space="preserve"> PAGEREF _Toc144699136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74038E28" w14:textId="7249DE1E"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7" w:history="1">
        <w:r w:rsidR="00BF6D68" w:rsidRPr="004E3C44">
          <w:rPr>
            <w:rStyle w:val="Lienhypertexte"/>
            <w:noProof/>
          </w:rPr>
          <w:t>1.7.3</w:t>
        </w:r>
        <w:r w:rsidR="00BF6D68">
          <w:rPr>
            <w:noProof/>
            <w:webHidden/>
          </w:rPr>
          <w:tab/>
        </w:r>
        <w:r w:rsidR="00BF6D68">
          <w:rPr>
            <w:noProof/>
            <w:webHidden/>
          </w:rPr>
          <w:fldChar w:fldCharType="begin"/>
        </w:r>
        <w:r w:rsidR="00BF6D68">
          <w:rPr>
            <w:noProof/>
            <w:webHidden/>
          </w:rPr>
          <w:instrText xml:space="preserve"> PAGEREF _Toc144699137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477177E3" w14:textId="6DFD8147"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8" w:history="1">
        <w:r w:rsidR="00BF6D68" w:rsidRPr="004E3C44">
          <w:rPr>
            <w:rStyle w:val="Lienhypertexte"/>
            <w:noProof/>
          </w:rPr>
          <w:t>1.7.4</w:t>
        </w:r>
        <w:r w:rsidR="00BF6D68">
          <w:rPr>
            <w:noProof/>
            <w:webHidden/>
          </w:rPr>
          <w:tab/>
        </w:r>
        <w:r w:rsidR="00BF6D68">
          <w:rPr>
            <w:noProof/>
            <w:webHidden/>
          </w:rPr>
          <w:fldChar w:fldCharType="begin"/>
        </w:r>
        <w:r w:rsidR="00BF6D68">
          <w:rPr>
            <w:noProof/>
            <w:webHidden/>
          </w:rPr>
          <w:instrText xml:space="preserve"> PAGEREF _Toc144699138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671113E8" w14:textId="3850E7AA"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39" w:history="1">
        <w:r w:rsidR="00BF6D68" w:rsidRPr="004E3C44">
          <w:rPr>
            <w:rStyle w:val="Lienhypertexte"/>
            <w:noProof/>
          </w:rPr>
          <w:t>1.7.5</w:t>
        </w:r>
        <w:r w:rsidR="00BF6D68">
          <w:rPr>
            <w:noProof/>
            <w:webHidden/>
          </w:rPr>
          <w:tab/>
        </w:r>
        <w:r w:rsidR="00BF6D68">
          <w:rPr>
            <w:noProof/>
            <w:webHidden/>
          </w:rPr>
          <w:fldChar w:fldCharType="begin"/>
        </w:r>
        <w:r w:rsidR="00BF6D68">
          <w:rPr>
            <w:noProof/>
            <w:webHidden/>
          </w:rPr>
          <w:instrText xml:space="preserve"> PAGEREF _Toc144699139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1535A052" w14:textId="704A8998"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40" w:history="1">
        <w:r w:rsidR="00BF6D68" w:rsidRPr="004E3C44">
          <w:rPr>
            <w:rStyle w:val="Lienhypertexte"/>
            <w:noProof/>
          </w:rPr>
          <w:t>1.7.6</w:t>
        </w:r>
        <w:r w:rsidR="00BF6D68">
          <w:rPr>
            <w:noProof/>
            <w:webHidden/>
          </w:rPr>
          <w:tab/>
        </w:r>
        <w:r w:rsidR="00BF6D68">
          <w:rPr>
            <w:noProof/>
            <w:webHidden/>
          </w:rPr>
          <w:fldChar w:fldCharType="begin"/>
        </w:r>
        <w:r w:rsidR="00BF6D68">
          <w:rPr>
            <w:noProof/>
            <w:webHidden/>
          </w:rPr>
          <w:instrText xml:space="preserve"> PAGEREF _Toc144699140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455438FD" w14:textId="2A90F39D"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41" w:history="1">
        <w:r w:rsidR="00BF6D68" w:rsidRPr="004E3C44">
          <w:rPr>
            <w:rStyle w:val="Lienhypertexte"/>
            <w:noProof/>
          </w:rPr>
          <w:t>1.7.7</w:t>
        </w:r>
        <w:r w:rsidR="00BF6D68">
          <w:rPr>
            <w:noProof/>
            <w:webHidden/>
          </w:rPr>
          <w:tab/>
        </w:r>
        <w:r w:rsidR="00BF6D68">
          <w:rPr>
            <w:noProof/>
            <w:webHidden/>
          </w:rPr>
          <w:fldChar w:fldCharType="begin"/>
        </w:r>
        <w:r w:rsidR="00BF6D68">
          <w:rPr>
            <w:noProof/>
            <w:webHidden/>
          </w:rPr>
          <w:instrText xml:space="preserve"> PAGEREF _Toc144699141 \h </w:instrText>
        </w:r>
        <w:r w:rsidR="00BF6D68">
          <w:rPr>
            <w:noProof/>
            <w:webHidden/>
          </w:rPr>
        </w:r>
        <w:r w:rsidR="00BF6D68">
          <w:rPr>
            <w:noProof/>
            <w:webHidden/>
          </w:rPr>
          <w:fldChar w:fldCharType="separate"/>
        </w:r>
        <w:r w:rsidR="005B4C99">
          <w:rPr>
            <w:noProof/>
            <w:webHidden/>
          </w:rPr>
          <w:t>9</w:t>
        </w:r>
        <w:r w:rsidR="00BF6D68">
          <w:rPr>
            <w:noProof/>
            <w:webHidden/>
          </w:rPr>
          <w:fldChar w:fldCharType="end"/>
        </w:r>
      </w:hyperlink>
    </w:p>
    <w:p w14:paraId="4B1B1B86" w14:textId="1693B3D0"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2" w:history="1">
        <w:r w:rsidR="00BF6D68" w:rsidRPr="004E3C44">
          <w:rPr>
            <w:rStyle w:val="Lienhypertexte"/>
            <w:noProof/>
          </w:rPr>
          <w:t>1.8</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Droit applicable et tribunaux compétents</w:t>
        </w:r>
        <w:r w:rsidR="00BF6D68">
          <w:rPr>
            <w:noProof/>
            <w:webHidden/>
          </w:rPr>
          <w:tab/>
        </w:r>
        <w:r w:rsidR="00BF6D68">
          <w:rPr>
            <w:noProof/>
            <w:webHidden/>
          </w:rPr>
          <w:fldChar w:fldCharType="begin"/>
        </w:r>
        <w:r w:rsidR="00BF6D68">
          <w:rPr>
            <w:noProof/>
            <w:webHidden/>
          </w:rPr>
          <w:instrText xml:space="preserve"> PAGEREF _Toc144699142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69FBC6CF" w14:textId="514207C4" w:rsidR="00BF6D68"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4699143" w:history="1">
        <w:r w:rsidR="00BF6D68" w:rsidRPr="004E3C44">
          <w:rPr>
            <w:rStyle w:val="Lienhypertexte"/>
            <w:noProof/>
          </w:rPr>
          <w:t>2</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Objet et portée du marché</w:t>
        </w:r>
        <w:r w:rsidR="00BF6D68">
          <w:rPr>
            <w:noProof/>
            <w:webHidden/>
          </w:rPr>
          <w:tab/>
        </w:r>
        <w:r w:rsidR="00BF6D68">
          <w:rPr>
            <w:noProof/>
            <w:webHidden/>
          </w:rPr>
          <w:fldChar w:fldCharType="begin"/>
        </w:r>
        <w:r w:rsidR="00BF6D68">
          <w:rPr>
            <w:noProof/>
            <w:webHidden/>
          </w:rPr>
          <w:instrText xml:space="preserve"> PAGEREF _Toc144699143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7B06D8F3" w14:textId="05618EB4"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4" w:history="1">
        <w:r w:rsidR="00BF6D68" w:rsidRPr="004E3C44">
          <w:rPr>
            <w:rStyle w:val="Lienhypertexte"/>
            <w:noProof/>
          </w:rPr>
          <w:t>2.1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Nature du marché</w:t>
        </w:r>
        <w:r w:rsidR="00BF6D68">
          <w:rPr>
            <w:noProof/>
            <w:webHidden/>
          </w:rPr>
          <w:tab/>
        </w:r>
        <w:r w:rsidR="00BF6D68">
          <w:rPr>
            <w:noProof/>
            <w:webHidden/>
          </w:rPr>
          <w:fldChar w:fldCharType="begin"/>
        </w:r>
        <w:r w:rsidR="00BF6D68">
          <w:rPr>
            <w:noProof/>
            <w:webHidden/>
          </w:rPr>
          <w:instrText xml:space="preserve"> PAGEREF _Toc144699144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50BDD5BE" w14:textId="0D2694FB"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5" w:history="1">
        <w:r w:rsidR="00BF6D68" w:rsidRPr="004E3C44">
          <w:rPr>
            <w:rStyle w:val="Lienhypertexte"/>
            <w:noProof/>
          </w:rPr>
          <w:t>2.2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Objet du marché</w:t>
        </w:r>
        <w:r w:rsidR="00BF6D68">
          <w:rPr>
            <w:noProof/>
            <w:webHidden/>
          </w:rPr>
          <w:tab/>
        </w:r>
        <w:r w:rsidR="00BF6D68">
          <w:rPr>
            <w:noProof/>
            <w:webHidden/>
          </w:rPr>
          <w:fldChar w:fldCharType="begin"/>
        </w:r>
        <w:r w:rsidR="00BF6D68">
          <w:rPr>
            <w:noProof/>
            <w:webHidden/>
          </w:rPr>
          <w:instrText xml:space="preserve"> PAGEREF _Toc144699145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1DBDB06B" w14:textId="2E06B2A3"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6" w:history="1">
        <w:r w:rsidR="00BF6D68" w:rsidRPr="004E3C44">
          <w:rPr>
            <w:rStyle w:val="Lienhypertexte"/>
            <w:noProof/>
          </w:rPr>
          <w:t>2.3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Lots</w:t>
        </w:r>
        <w:r w:rsidR="00BF6D68">
          <w:rPr>
            <w:noProof/>
            <w:webHidden/>
          </w:rPr>
          <w:tab/>
        </w:r>
        <w:r w:rsidR="00BF6D68">
          <w:rPr>
            <w:noProof/>
            <w:webHidden/>
          </w:rPr>
          <w:fldChar w:fldCharType="begin"/>
        </w:r>
        <w:r w:rsidR="00BF6D68">
          <w:rPr>
            <w:noProof/>
            <w:webHidden/>
          </w:rPr>
          <w:instrText xml:space="preserve"> PAGEREF _Toc144699146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1125BCE9" w14:textId="62737BE5"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7" w:history="1">
        <w:r w:rsidR="00BF6D68" w:rsidRPr="004E3C44">
          <w:rPr>
            <w:rStyle w:val="Lienhypertexte"/>
            <w:noProof/>
          </w:rPr>
          <w:t>2.4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Postes</w:t>
        </w:r>
        <w:r w:rsidR="00BF6D68">
          <w:rPr>
            <w:noProof/>
            <w:webHidden/>
          </w:rPr>
          <w:tab/>
        </w:r>
        <w:r w:rsidR="00BF6D68">
          <w:rPr>
            <w:noProof/>
            <w:webHidden/>
          </w:rPr>
          <w:fldChar w:fldCharType="begin"/>
        </w:r>
        <w:r w:rsidR="00BF6D68">
          <w:rPr>
            <w:noProof/>
            <w:webHidden/>
          </w:rPr>
          <w:instrText xml:space="preserve"> PAGEREF _Toc144699147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6FCCE76C" w14:textId="517FDA62"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8" w:history="1">
        <w:r w:rsidR="00BF6D68" w:rsidRPr="004E3C44">
          <w:rPr>
            <w:rStyle w:val="Lienhypertexte"/>
            <w:noProof/>
          </w:rPr>
          <w:t>2.5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Durée du marché</w:t>
        </w:r>
        <w:r w:rsidR="00BF6D68">
          <w:rPr>
            <w:noProof/>
            <w:webHidden/>
          </w:rPr>
          <w:tab/>
        </w:r>
        <w:r w:rsidR="00BF6D68">
          <w:rPr>
            <w:noProof/>
            <w:webHidden/>
          </w:rPr>
          <w:fldChar w:fldCharType="begin"/>
        </w:r>
        <w:r w:rsidR="00BF6D68">
          <w:rPr>
            <w:noProof/>
            <w:webHidden/>
          </w:rPr>
          <w:instrText xml:space="preserve"> PAGEREF _Toc144699148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22D6FD97" w14:textId="151009F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49" w:history="1">
        <w:r w:rsidR="00BF6D68" w:rsidRPr="004E3C44">
          <w:rPr>
            <w:rStyle w:val="Lienhypertexte"/>
            <w:noProof/>
          </w:rPr>
          <w:t>2.6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 xml:space="preserve">Variantes </w:t>
        </w:r>
        <w:r w:rsidR="00BF6D68" w:rsidRPr="004E3C44">
          <w:rPr>
            <w:rStyle w:val="Lienhypertexte"/>
            <w:rFonts w:ascii="Segoe UI Symbol" w:hAnsi="Segoe UI Symbol" w:cs="Segoe UI Symbol"/>
            <w:noProof/>
          </w:rPr>
          <w:t>♣</w:t>
        </w:r>
        <w:r w:rsidR="00BF6D68">
          <w:rPr>
            <w:noProof/>
            <w:webHidden/>
          </w:rPr>
          <w:tab/>
        </w:r>
        <w:r w:rsidR="00BF6D68">
          <w:rPr>
            <w:noProof/>
            <w:webHidden/>
          </w:rPr>
          <w:fldChar w:fldCharType="begin"/>
        </w:r>
        <w:r w:rsidR="00BF6D68">
          <w:rPr>
            <w:noProof/>
            <w:webHidden/>
          </w:rPr>
          <w:instrText xml:space="preserve"> PAGEREF _Toc144699149 \h </w:instrText>
        </w:r>
        <w:r w:rsidR="00BF6D68">
          <w:rPr>
            <w:noProof/>
            <w:webHidden/>
          </w:rPr>
        </w:r>
        <w:r w:rsidR="00BF6D68">
          <w:rPr>
            <w:noProof/>
            <w:webHidden/>
          </w:rPr>
          <w:fldChar w:fldCharType="separate"/>
        </w:r>
        <w:r w:rsidR="005B4C99">
          <w:rPr>
            <w:noProof/>
            <w:webHidden/>
          </w:rPr>
          <w:t>10</w:t>
        </w:r>
        <w:r w:rsidR="00BF6D68">
          <w:rPr>
            <w:noProof/>
            <w:webHidden/>
          </w:rPr>
          <w:fldChar w:fldCharType="end"/>
        </w:r>
      </w:hyperlink>
    </w:p>
    <w:p w14:paraId="2CCB5E4D" w14:textId="725CA803"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0" w:history="1">
        <w:r w:rsidR="00BF6D68" w:rsidRPr="004E3C44">
          <w:rPr>
            <w:rStyle w:val="Lienhypertexte"/>
            <w:noProof/>
          </w:rPr>
          <w:t>2.7</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Options</w:t>
        </w:r>
        <w:r w:rsidR="00BF6D68">
          <w:rPr>
            <w:noProof/>
            <w:webHidden/>
          </w:rPr>
          <w:tab/>
        </w:r>
        <w:r w:rsidR="00BF6D68">
          <w:rPr>
            <w:noProof/>
            <w:webHidden/>
          </w:rPr>
          <w:fldChar w:fldCharType="begin"/>
        </w:r>
        <w:r w:rsidR="00BF6D68">
          <w:rPr>
            <w:noProof/>
            <w:webHidden/>
          </w:rPr>
          <w:instrText xml:space="preserve"> PAGEREF _Toc144699150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10ED7EA7" w14:textId="77D7C95F"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1" w:history="1">
        <w:r w:rsidR="00BF6D68" w:rsidRPr="004E3C44">
          <w:rPr>
            <w:rStyle w:val="Lienhypertexte"/>
            <w:noProof/>
          </w:rPr>
          <w:t>2.8</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Quantité</w:t>
        </w:r>
        <w:r w:rsidR="00BF6D68">
          <w:rPr>
            <w:noProof/>
            <w:webHidden/>
          </w:rPr>
          <w:tab/>
        </w:r>
        <w:r w:rsidR="00BF6D68">
          <w:rPr>
            <w:noProof/>
            <w:webHidden/>
          </w:rPr>
          <w:fldChar w:fldCharType="begin"/>
        </w:r>
        <w:r w:rsidR="00BF6D68">
          <w:rPr>
            <w:noProof/>
            <w:webHidden/>
          </w:rPr>
          <w:instrText xml:space="preserve"> PAGEREF _Toc144699151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02207582" w14:textId="5B9C1443" w:rsidR="00BF6D68"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4699152" w:history="1">
        <w:r w:rsidR="00BF6D68" w:rsidRPr="004E3C44">
          <w:rPr>
            <w:rStyle w:val="Lienhypertexte"/>
            <w:noProof/>
          </w:rPr>
          <w:t>3</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Objet et portée du marché</w:t>
        </w:r>
        <w:r w:rsidR="00BF6D68">
          <w:rPr>
            <w:noProof/>
            <w:webHidden/>
          </w:rPr>
          <w:tab/>
        </w:r>
        <w:r w:rsidR="00BF6D68">
          <w:rPr>
            <w:noProof/>
            <w:webHidden/>
          </w:rPr>
          <w:fldChar w:fldCharType="begin"/>
        </w:r>
        <w:r w:rsidR="00BF6D68">
          <w:rPr>
            <w:noProof/>
            <w:webHidden/>
          </w:rPr>
          <w:instrText xml:space="preserve"> PAGEREF _Toc144699152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3248AF7B" w14:textId="6D07D8D2"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3" w:history="1">
        <w:r w:rsidR="00BF6D68" w:rsidRPr="004E3C44">
          <w:rPr>
            <w:rStyle w:val="Lienhypertexte"/>
            <w:noProof/>
          </w:rPr>
          <w:t>3.1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Mode de passation</w:t>
        </w:r>
        <w:r w:rsidR="00BF6D68">
          <w:rPr>
            <w:noProof/>
            <w:webHidden/>
          </w:rPr>
          <w:tab/>
        </w:r>
        <w:r w:rsidR="00BF6D68">
          <w:rPr>
            <w:noProof/>
            <w:webHidden/>
          </w:rPr>
          <w:fldChar w:fldCharType="begin"/>
        </w:r>
        <w:r w:rsidR="00BF6D68">
          <w:rPr>
            <w:noProof/>
            <w:webHidden/>
          </w:rPr>
          <w:instrText xml:space="preserve"> PAGEREF _Toc144699153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2980BE74" w14:textId="1E176D38"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4" w:history="1">
        <w:r w:rsidR="00BF6D68" w:rsidRPr="004E3C44">
          <w:rPr>
            <w:rStyle w:val="Lienhypertexte"/>
            <w:noProof/>
          </w:rPr>
          <w:t>3.2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Publication officieuse</w:t>
        </w:r>
        <w:r w:rsidR="00BF6D68">
          <w:rPr>
            <w:noProof/>
            <w:webHidden/>
          </w:rPr>
          <w:tab/>
        </w:r>
        <w:r w:rsidR="00BF6D68">
          <w:rPr>
            <w:noProof/>
            <w:webHidden/>
          </w:rPr>
          <w:fldChar w:fldCharType="begin"/>
        </w:r>
        <w:r w:rsidR="00BF6D68">
          <w:rPr>
            <w:noProof/>
            <w:webHidden/>
          </w:rPr>
          <w:instrText xml:space="preserve"> PAGEREF _Toc144699154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4B173E88" w14:textId="560E2C91"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55" w:history="1">
        <w:r w:rsidR="00BF6D68" w:rsidRPr="004E3C44">
          <w:rPr>
            <w:rStyle w:val="Lienhypertexte"/>
            <w:noProof/>
          </w:rPr>
          <w:t>3.2.1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Publication Enabel</w:t>
        </w:r>
        <w:r w:rsidR="00BF6D68">
          <w:rPr>
            <w:noProof/>
            <w:webHidden/>
          </w:rPr>
          <w:tab/>
        </w:r>
        <w:r w:rsidR="00BF6D68">
          <w:rPr>
            <w:noProof/>
            <w:webHidden/>
          </w:rPr>
          <w:fldChar w:fldCharType="begin"/>
        </w:r>
        <w:r w:rsidR="00BF6D68">
          <w:rPr>
            <w:noProof/>
            <w:webHidden/>
          </w:rPr>
          <w:instrText xml:space="preserve"> PAGEREF _Toc144699155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55C6D1CE" w14:textId="75E5B6DF"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6" w:history="1">
        <w:r w:rsidR="00BF6D68" w:rsidRPr="004E3C44">
          <w:rPr>
            <w:rStyle w:val="Lienhypertexte"/>
            <w:noProof/>
          </w:rPr>
          <w:t>3.3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Information</w:t>
        </w:r>
        <w:r w:rsidR="00BF6D68">
          <w:rPr>
            <w:noProof/>
            <w:webHidden/>
          </w:rPr>
          <w:tab/>
        </w:r>
        <w:r w:rsidR="00BF6D68">
          <w:rPr>
            <w:noProof/>
            <w:webHidden/>
          </w:rPr>
          <w:fldChar w:fldCharType="begin"/>
        </w:r>
        <w:r w:rsidR="00BF6D68">
          <w:rPr>
            <w:noProof/>
            <w:webHidden/>
          </w:rPr>
          <w:instrText xml:space="preserve"> PAGEREF _Toc144699156 \h </w:instrText>
        </w:r>
        <w:r w:rsidR="00BF6D68">
          <w:rPr>
            <w:noProof/>
            <w:webHidden/>
          </w:rPr>
        </w:r>
        <w:r w:rsidR="00BF6D68">
          <w:rPr>
            <w:noProof/>
            <w:webHidden/>
          </w:rPr>
          <w:fldChar w:fldCharType="separate"/>
        </w:r>
        <w:r w:rsidR="005B4C99">
          <w:rPr>
            <w:noProof/>
            <w:webHidden/>
          </w:rPr>
          <w:t>11</w:t>
        </w:r>
        <w:r w:rsidR="00BF6D68">
          <w:rPr>
            <w:noProof/>
            <w:webHidden/>
          </w:rPr>
          <w:fldChar w:fldCharType="end"/>
        </w:r>
      </w:hyperlink>
    </w:p>
    <w:p w14:paraId="476BA2FA" w14:textId="4E2F7B8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57" w:history="1">
        <w:r w:rsidR="00BF6D68" w:rsidRPr="004E3C44">
          <w:rPr>
            <w:rStyle w:val="Lienhypertexte"/>
            <w:noProof/>
          </w:rPr>
          <w:t>3.4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Offre</w:t>
        </w:r>
        <w:r w:rsidR="00BF6D68">
          <w:rPr>
            <w:noProof/>
            <w:webHidden/>
          </w:rPr>
          <w:tab/>
        </w:r>
        <w:r w:rsidR="00BF6D68">
          <w:rPr>
            <w:noProof/>
            <w:webHidden/>
          </w:rPr>
          <w:fldChar w:fldCharType="begin"/>
        </w:r>
        <w:r w:rsidR="00BF6D68">
          <w:rPr>
            <w:noProof/>
            <w:webHidden/>
          </w:rPr>
          <w:instrText xml:space="preserve"> PAGEREF _Toc144699157 \h </w:instrText>
        </w:r>
        <w:r w:rsidR="00BF6D68">
          <w:rPr>
            <w:noProof/>
            <w:webHidden/>
          </w:rPr>
        </w:r>
        <w:r w:rsidR="00BF6D68">
          <w:rPr>
            <w:noProof/>
            <w:webHidden/>
          </w:rPr>
          <w:fldChar w:fldCharType="separate"/>
        </w:r>
        <w:r w:rsidR="005B4C99">
          <w:rPr>
            <w:noProof/>
            <w:webHidden/>
          </w:rPr>
          <w:t>12</w:t>
        </w:r>
        <w:r w:rsidR="00BF6D68">
          <w:rPr>
            <w:noProof/>
            <w:webHidden/>
          </w:rPr>
          <w:fldChar w:fldCharType="end"/>
        </w:r>
      </w:hyperlink>
    </w:p>
    <w:p w14:paraId="0758342E" w14:textId="11C94EBD"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58" w:history="1">
        <w:r w:rsidR="00BF6D68" w:rsidRPr="004E3C44">
          <w:rPr>
            <w:rStyle w:val="Lienhypertexte"/>
            <w:noProof/>
          </w:rPr>
          <w:t>3.4.1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Données à mentionner dans l’offre</w:t>
        </w:r>
        <w:r w:rsidR="00BF6D68">
          <w:rPr>
            <w:noProof/>
            <w:webHidden/>
          </w:rPr>
          <w:tab/>
        </w:r>
        <w:r w:rsidR="00BF6D68">
          <w:rPr>
            <w:noProof/>
            <w:webHidden/>
          </w:rPr>
          <w:fldChar w:fldCharType="begin"/>
        </w:r>
        <w:r w:rsidR="00BF6D68">
          <w:rPr>
            <w:noProof/>
            <w:webHidden/>
          </w:rPr>
          <w:instrText xml:space="preserve"> PAGEREF _Toc144699158 \h </w:instrText>
        </w:r>
        <w:r w:rsidR="00BF6D68">
          <w:rPr>
            <w:noProof/>
            <w:webHidden/>
          </w:rPr>
        </w:r>
        <w:r w:rsidR="00BF6D68">
          <w:rPr>
            <w:noProof/>
            <w:webHidden/>
          </w:rPr>
          <w:fldChar w:fldCharType="separate"/>
        </w:r>
        <w:r w:rsidR="005B4C99">
          <w:rPr>
            <w:noProof/>
            <w:webHidden/>
          </w:rPr>
          <w:t>12</w:t>
        </w:r>
        <w:r w:rsidR="00BF6D68">
          <w:rPr>
            <w:noProof/>
            <w:webHidden/>
          </w:rPr>
          <w:fldChar w:fldCharType="end"/>
        </w:r>
      </w:hyperlink>
    </w:p>
    <w:p w14:paraId="5DD676A4" w14:textId="588CD05C"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59" w:history="1">
        <w:r w:rsidR="00BF6D68" w:rsidRPr="004E3C44">
          <w:rPr>
            <w:rStyle w:val="Lienhypertexte"/>
            <w:noProof/>
            <w:lang w:val="fr-FR"/>
          </w:rPr>
          <w:t>3.4.2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lang w:val="fr-FR"/>
          </w:rPr>
          <w:t>Durée de validité de l’offre</w:t>
        </w:r>
        <w:r w:rsidR="00BF6D68">
          <w:rPr>
            <w:noProof/>
            <w:webHidden/>
          </w:rPr>
          <w:tab/>
        </w:r>
        <w:r w:rsidR="00BF6D68">
          <w:rPr>
            <w:noProof/>
            <w:webHidden/>
          </w:rPr>
          <w:fldChar w:fldCharType="begin"/>
        </w:r>
        <w:r w:rsidR="00BF6D68">
          <w:rPr>
            <w:noProof/>
            <w:webHidden/>
          </w:rPr>
          <w:instrText xml:space="preserve"> PAGEREF _Toc144699159 \h </w:instrText>
        </w:r>
        <w:r w:rsidR="00BF6D68">
          <w:rPr>
            <w:noProof/>
            <w:webHidden/>
          </w:rPr>
        </w:r>
        <w:r w:rsidR="00BF6D68">
          <w:rPr>
            <w:noProof/>
            <w:webHidden/>
          </w:rPr>
          <w:fldChar w:fldCharType="separate"/>
        </w:r>
        <w:r w:rsidR="005B4C99">
          <w:rPr>
            <w:noProof/>
            <w:webHidden/>
          </w:rPr>
          <w:t>12</w:t>
        </w:r>
        <w:r w:rsidR="00BF6D68">
          <w:rPr>
            <w:noProof/>
            <w:webHidden/>
          </w:rPr>
          <w:fldChar w:fldCharType="end"/>
        </w:r>
      </w:hyperlink>
    </w:p>
    <w:p w14:paraId="079258AF" w14:textId="14156304"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60" w:history="1">
        <w:r w:rsidR="00BF6D68" w:rsidRPr="004E3C44">
          <w:rPr>
            <w:rStyle w:val="Lienhypertexte"/>
            <w:noProof/>
          </w:rPr>
          <w:t>3.4.3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Détermination des prix</w:t>
        </w:r>
        <w:r w:rsidR="00BF6D68">
          <w:rPr>
            <w:noProof/>
            <w:webHidden/>
          </w:rPr>
          <w:tab/>
        </w:r>
        <w:r w:rsidR="00BF6D68">
          <w:rPr>
            <w:noProof/>
            <w:webHidden/>
          </w:rPr>
          <w:fldChar w:fldCharType="begin"/>
        </w:r>
        <w:r w:rsidR="00BF6D68">
          <w:rPr>
            <w:noProof/>
            <w:webHidden/>
          </w:rPr>
          <w:instrText xml:space="preserve"> PAGEREF _Toc144699160 \h </w:instrText>
        </w:r>
        <w:r w:rsidR="00BF6D68">
          <w:rPr>
            <w:noProof/>
            <w:webHidden/>
          </w:rPr>
        </w:r>
        <w:r w:rsidR="00BF6D68">
          <w:rPr>
            <w:noProof/>
            <w:webHidden/>
          </w:rPr>
          <w:fldChar w:fldCharType="separate"/>
        </w:r>
        <w:r w:rsidR="005B4C99">
          <w:rPr>
            <w:noProof/>
            <w:webHidden/>
          </w:rPr>
          <w:t>12</w:t>
        </w:r>
        <w:r w:rsidR="00BF6D68">
          <w:rPr>
            <w:noProof/>
            <w:webHidden/>
          </w:rPr>
          <w:fldChar w:fldCharType="end"/>
        </w:r>
      </w:hyperlink>
    </w:p>
    <w:p w14:paraId="1460E2A8" w14:textId="541D93E8"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1" w:history="1">
        <w:r w:rsidR="00BF6D68" w:rsidRPr="004E3C44">
          <w:rPr>
            <w:rStyle w:val="Lienhypertexte"/>
            <w:noProof/>
          </w:rPr>
          <w:t>3.4.3.1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Eléments inclus dans le prix</w:t>
        </w:r>
        <w:r w:rsidR="00BF6D68">
          <w:rPr>
            <w:noProof/>
            <w:webHidden/>
          </w:rPr>
          <w:tab/>
        </w:r>
        <w:r w:rsidR="00BF6D68">
          <w:rPr>
            <w:noProof/>
            <w:webHidden/>
          </w:rPr>
          <w:fldChar w:fldCharType="begin"/>
        </w:r>
        <w:r w:rsidR="00BF6D68">
          <w:rPr>
            <w:noProof/>
            <w:webHidden/>
          </w:rPr>
          <w:instrText xml:space="preserve"> PAGEREF _Toc144699161 \h </w:instrText>
        </w:r>
        <w:r w:rsidR="00BF6D68">
          <w:rPr>
            <w:noProof/>
            <w:webHidden/>
          </w:rPr>
        </w:r>
        <w:r w:rsidR="00BF6D68">
          <w:rPr>
            <w:noProof/>
            <w:webHidden/>
          </w:rPr>
          <w:fldChar w:fldCharType="separate"/>
        </w:r>
        <w:r w:rsidR="005B4C99">
          <w:rPr>
            <w:noProof/>
            <w:webHidden/>
          </w:rPr>
          <w:t>12</w:t>
        </w:r>
        <w:r w:rsidR="00BF6D68">
          <w:rPr>
            <w:noProof/>
            <w:webHidden/>
          </w:rPr>
          <w:fldChar w:fldCharType="end"/>
        </w:r>
      </w:hyperlink>
    </w:p>
    <w:p w14:paraId="63E3F988" w14:textId="1E349E09"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62" w:history="1">
        <w:r w:rsidR="00BF6D68" w:rsidRPr="004E3C44">
          <w:rPr>
            <w:rStyle w:val="Lienhypertexte"/>
            <w:noProof/>
          </w:rPr>
          <w:t>3.4.4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Introduction des offres</w:t>
        </w:r>
        <w:r w:rsidR="00BF6D68">
          <w:rPr>
            <w:noProof/>
            <w:webHidden/>
          </w:rPr>
          <w:tab/>
        </w:r>
        <w:r w:rsidR="00BF6D68">
          <w:rPr>
            <w:noProof/>
            <w:webHidden/>
          </w:rPr>
          <w:fldChar w:fldCharType="begin"/>
        </w:r>
        <w:r w:rsidR="00BF6D68">
          <w:rPr>
            <w:noProof/>
            <w:webHidden/>
          </w:rPr>
          <w:instrText xml:space="preserve"> PAGEREF _Toc144699162 \h </w:instrText>
        </w:r>
        <w:r w:rsidR="00BF6D68">
          <w:rPr>
            <w:noProof/>
            <w:webHidden/>
          </w:rPr>
        </w:r>
        <w:r w:rsidR="00BF6D68">
          <w:rPr>
            <w:noProof/>
            <w:webHidden/>
          </w:rPr>
          <w:fldChar w:fldCharType="separate"/>
        </w:r>
        <w:r w:rsidR="005B4C99">
          <w:rPr>
            <w:noProof/>
            <w:webHidden/>
          </w:rPr>
          <w:t>13</w:t>
        </w:r>
        <w:r w:rsidR="00BF6D68">
          <w:rPr>
            <w:noProof/>
            <w:webHidden/>
          </w:rPr>
          <w:fldChar w:fldCharType="end"/>
        </w:r>
      </w:hyperlink>
    </w:p>
    <w:p w14:paraId="3BE8C095" w14:textId="78100EE6"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63" w:history="1">
        <w:r w:rsidR="00BF6D68" w:rsidRPr="004E3C44">
          <w:rPr>
            <w:rStyle w:val="Lienhypertexte"/>
            <w:noProof/>
          </w:rPr>
          <w:t>3.4.5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Modification ou retrait d’une offre déjà introduite</w:t>
        </w:r>
        <w:r w:rsidR="00BF6D68">
          <w:rPr>
            <w:noProof/>
            <w:webHidden/>
          </w:rPr>
          <w:tab/>
        </w:r>
        <w:r w:rsidR="00BF6D68">
          <w:rPr>
            <w:noProof/>
            <w:webHidden/>
          </w:rPr>
          <w:fldChar w:fldCharType="begin"/>
        </w:r>
        <w:r w:rsidR="00BF6D68">
          <w:rPr>
            <w:noProof/>
            <w:webHidden/>
          </w:rPr>
          <w:instrText xml:space="preserve"> PAGEREF _Toc144699163 \h </w:instrText>
        </w:r>
        <w:r w:rsidR="00BF6D68">
          <w:rPr>
            <w:noProof/>
            <w:webHidden/>
          </w:rPr>
        </w:r>
        <w:r w:rsidR="00BF6D68">
          <w:rPr>
            <w:noProof/>
            <w:webHidden/>
          </w:rPr>
          <w:fldChar w:fldCharType="separate"/>
        </w:r>
        <w:r w:rsidR="005B4C99">
          <w:rPr>
            <w:noProof/>
            <w:webHidden/>
          </w:rPr>
          <w:t>13</w:t>
        </w:r>
        <w:r w:rsidR="00BF6D68">
          <w:rPr>
            <w:noProof/>
            <w:webHidden/>
          </w:rPr>
          <w:fldChar w:fldCharType="end"/>
        </w:r>
      </w:hyperlink>
    </w:p>
    <w:p w14:paraId="6B30D65D" w14:textId="17622478"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64" w:history="1">
        <w:r w:rsidR="00BF6D68" w:rsidRPr="004E3C44">
          <w:rPr>
            <w:rStyle w:val="Lienhypertexte"/>
            <w:noProof/>
          </w:rPr>
          <w:t>3.4.6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Sélection des commissionaires’</w:t>
        </w:r>
        <w:r w:rsidR="00BF6D68">
          <w:rPr>
            <w:noProof/>
            <w:webHidden/>
          </w:rPr>
          <w:tab/>
        </w:r>
        <w:r w:rsidR="00BF6D68">
          <w:rPr>
            <w:noProof/>
            <w:webHidden/>
          </w:rPr>
          <w:fldChar w:fldCharType="begin"/>
        </w:r>
        <w:r w:rsidR="00BF6D68">
          <w:rPr>
            <w:noProof/>
            <w:webHidden/>
          </w:rPr>
          <w:instrText xml:space="preserve"> PAGEREF _Toc144699164 \h </w:instrText>
        </w:r>
        <w:r w:rsidR="00BF6D68">
          <w:rPr>
            <w:noProof/>
            <w:webHidden/>
          </w:rPr>
        </w:r>
        <w:r w:rsidR="00BF6D68">
          <w:rPr>
            <w:noProof/>
            <w:webHidden/>
          </w:rPr>
          <w:fldChar w:fldCharType="separate"/>
        </w:r>
        <w:r w:rsidR="005B4C99">
          <w:rPr>
            <w:noProof/>
            <w:webHidden/>
          </w:rPr>
          <w:t>14</w:t>
        </w:r>
        <w:r w:rsidR="00BF6D68">
          <w:rPr>
            <w:noProof/>
            <w:webHidden/>
          </w:rPr>
          <w:fldChar w:fldCharType="end"/>
        </w:r>
      </w:hyperlink>
    </w:p>
    <w:p w14:paraId="4B9C9D81" w14:textId="30E26EED"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5" w:history="1">
        <w:r w:rsidR="00BF6D68" w:rsidRPr="004E3C44">
          <w:rPr>
            <w:rStyle w:val="Lienhypertexte"/>
            <w:noProof/>
          </w:rPr>
          <w:t>3.4.6.1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Motifs d’exclusion</w:t>
        </w:r>
        <w:r w:rsidR="00BF6D68">
          <w:rPr>
            <w:noProof/>
            <w:webHidden/>
          </w:rPr>
          <w:tab/>
        </w:r>
        <w:r w:rsidR="00BF6D68">
          <w:rPr>
            <w:noProof/>
            <w:webHidden/>
          </w:rPr>
          <w:fldChar w:fldCharType="begin"/>
        </w:r>
        <w:r w:rsidR="00BF6D68">
          <w:rPr>
            <w:noProof/>
            <w:webHidden/>
          </w:rPr>
          <w:instrText xml:space="preserve"> PAGEREF _Toc144699165 \h </w:instrText>
        </w:r>
        <w:r w:rsidR="00BF6D68">
          <w:rPr>
            <w:noProof/>
            <w:webHidden/>
          </w:rPr>
        </w:r>
        <w:r w:rsidR="00BF6D68">
          <w:rPr>
            <w:noProof/>
            <w:webHidden/>
          </w:rPr>
          <w:fldChar w:fldCharType="separate"/>
        </w:r>
        <w:r w:rsidR="005B4C99">
          <w:rPr>
            <w:noProof/>
            <w:webHidden/>
          </w:rPr>
          <w:t>14</w:t>
        </w:r>
        <w:r w:rsidR="00BF6D68">
          <w:rPr>
            <w:noProof/>
            <w:webHidden/>
          </w:rPr>
          <w:fldChar w:fldCharType="end"/>
        </w:r>
      </w:hyperlink>
    </w:p>
    <w:p w14:paraId="5253311C" w14:textId="474FDE37"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6" w:history="1">
        <w:r w:rsidR="00BF6D68" w:rsidRPr="004E3C44">
          <w:rPr>
            <w:rStyle w:val="Lienhypertexte"/>
            <w:noProof/>
          </w:rPr>
          <w:t>3.4.6.2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Critères de sélection</w:t>
        </w:r>
        <w:r w:rsidR="00BF6D68">
          <w:rPr>
            <w:noProof/>
            <w:webHidden/>
          </w:rPr>
          <w:tab/>
        </w:r>
        <w:r w:rsidR="00BF6D68">
          <w:rPr>
            <w:noProof/>
            <w:webHidden/>
          </w:rPr>
          <w:fldChar w:fldCharType="begin"/>
        </w:r>
        <w:r w:rsidR="00BF6D68">
          <w:rPr>
            <w:noProof/>
            <w:webHidden/>
          </w:rPr>
          <w:instrText xml:space="preserve"> PAGEREF _Toc144699166 \h </w:instrText>
        </w:r>
        <w:r w:rsidR="00BF6D68">
          <w:rPr>
            <w:noProof/>
            <w:webHidden/>
          </w:rPr>
        </w:r>
        <w:r w:rsidR="00BF6D68">
          <w:rPr>
            <w:noProof/>
            <w:webHidden/>
          </w:rPr>
          <w:fldChar w:fldCharType="separate"/>
        </w:r>
        <w:r w:rsidR="005B4C99">
          <w:rPr>
            <w:noProof/>
            <w:webHidden/>
          </w:rPr>
          <w:t>14</w:t>
        </w:r>
        <w:r w:rsidR="00BF6D68">
          <w:rPr>
            <w:noProof/>
            <w:webHidden/>
          </w:rPr>
          <w:fldChar w:fldCharType="end"/>
        </w:r>
      </w:hyperlink>
    </w:p>
    <w:p w14:paraId="5C8FD171" w14:textId="295C78A7"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7" w:history="1">
        <w:r w:rsidR="00BF6D68" w:rsidRPr="004E3C44">
          <w:rPr>
            <w:rStyle w:val="Lienhypertexte"/>
            <w:noProof/>
          </w:rPr>
          <w:t>3.4.6.3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Aperçu de la procédure</w:t>
        </w:r>
        <w:r w:rsidR="00BF6D68">
          <w:rPr>
            <w:noProof/>
            <w:webHidden/>
          </w:rPr>
          <w:tab/>
        </w:r>
        <w:r w:rsidR="00BF6D68">
          <w:rPr>
            <w:noProof/>
            <w:webHidden/>
          </w:rPr>
          <w:fldChar w:fldCharType="begin"/>
        </w:r>
        <w:r w:rsidR="00BF6D68">
          <w:rPr>
            <w:noProof/>
            <w:webHidden/>
          </w:rPr>
          <w:instrText xml:space="preserve"> PAGEREF _Toc144699167 \h </w:instrText>
        </w:r>
        <w:r w:rsidR="00BF6D68">
          <w:rPr>
            <w:noProof/>
            <w:webHidden/>
          </w:rPr>
        </w:r>
        <w:r w:rsidR="00BF6D68">
          <w:rPr>
            <w:noProof/>
            <w:webHidden/>
          </w:rPr>
          <w:fldChar w:fldCharType="separate"/>
        </w:r>
        <w:r w:rsidR="005B4C99">
          <w:rPr>
            <w:noProof/>
            <w:webHidden/>
          </w:rPr>
          <w:t>14</w:t>
        </w:r>
        <w:r w:rsidR="00BF6D68">
          <w:rPr>
            <w:noProof/>
            <w:webHidden/>
          </w:rPr>
          <w:fldChar w:fldCharType="end"/>
        </w:r>
      </w:hyperlink>
    </w:p>
    <w:p w14:paraId="1462C6D4" w14:textId="5BB137C7"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8" w:history="1">
        <w:r w:rsidR="00BF6D68" w:rsidRPr="004E3C44">
          <w:rPr>
            <w:rStyle w:val="Lienhypertexte"/>
            <w:noProof/>
          </w:rPr>
          <w:t>3.4.6.4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 xml:space="preserve">Critères d’attribution </w:t>
        </w:r>
        <w:r w:rsidR="00BF6D68" w:rsidRPr="004E3C44">
          <w:rPr>
            <w:rStyle w:val="Lienhypertexte"/>
            <w:rFonts w:ascii="Segoe UI Symbol" w:hAnsi="Segoe UI Symbol" w:cs="Segoe UI Symbol"/>
            <w:noProof/>
          </w:rPr>
          <w:t>♣</w:t>
        </w:r>
        <w:r w:rsidR="00BF6D68">
          <w:rPr>
            <w:noProof/>
            <w:webHidden/>
          </w:rPr>
          <w:tab/>
        </w:r>
        <w:r w:rsidR="00BF6D68">
          <w:rPr>
            <w:noProof/>
            <w:webHidden/>
          </w:rPr>
          <w:fldChar w:fldCharType="begin"/>
        </w:r>
        <w:r w:rsidR="00BF6D68">
          <w:rPr>
            <w:noProof/>
            <w:webHidden/>
          </w:rPr>
          <w:instrText xml:space="preserve"> PAGEREF _Toc144699168 \h </w:instrText>
        </w:r>
        <w:r w:rsidR="00BF6D68">
          <w:rPr>
            <w:noProof/>
            <w:webHidden/>
          </w:rPr>
        </w:r>
        <w:r w:rsidR="00BF6D68">
          <w:rPr>
            <w:noProof/>
            <w:webHidden/>
          </w:rPr>
          <w:fldChar w:fldCharType="separate"/>
        </w:r>
        <w:r w:rsidR="005B4C99">
          <w:rPr>
            <w:noProof/>
            <w:webHidden/>
          </w:rPr>
          <w:t>15</w:t>
        </w:r>
        <w:r w:rsidR="00BF6D68">
          <w:rPr>
            <w:noProof/>
            <w:webHidden/>
          </w:rPr>
          <w:fldChar w:fldCharType="end"/>
        </w:r>
      </w:hyperlink>
    </w:p>
    <w:p w14:paraId="2C726046" w14:textId="2FB66889"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69" w:history="1">
        <w:r w:rsidR="00BF6D68" w:rsidRPr="004E3C44">
          <w:rPr>
            <w:rStyle w:val="Lienhypertexte"/>
            <w:noProof/>
          </w:rPr>
          <w:t>3.4.6.5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Cotation finale</w:t>
        </w:r>
        <w:r w:rsidR="00BF6D68">
          <w:rPr>
            <w:noProof/>
            <w:webHidden/>
          </w:rPr>
          <w:tab/>
        </w:r>
        <w:r w:rsidR="00BF6D68">
          <w:rPr>
            <w:noProof/>
            <w:webHidden/>
          </w:rPr>
          <w:fldChar w:fldCharType="begin"/>
        </w:r>
        <w:r w:rsidR="00BF6D68">
          <w:rPr>
            <w:noProof/>
            <w:webHidden/>
          </w:rPr>
          <w:instrText xml:space="preserve"> PAGEREF _Toc144699169 \h </w:instrText>
        </w:r>
        <w:r w:rsidR="00BF6D68">
          <w:rPr>
            <w:noProof/>
            <w:webHidden/>
          </w:rPr>
        </w:r>
        <w:r w:rsidR="00BF6D68">
          <w:rPr>
            <w:noProof/>
            <w:webHidden/>
          </w:rPr>
          <w:fldChar w:fldCharType="separate"/>
        </w:r>
        <w:r w:rsidR="005B4C99">
          <w:rPr>
            <w:noProof/>
            <w:webHidden/>
          </w:rPr>
          <w:t>15</w:t>
        </w:r>
        <w:r w:rsidR="00BF6D68">
          <w:rPr>
            <w:noProof/>
            <w:webHidden/>
          </w:rPr>
          <w:fldChar w:fldCharType="end"/>
        </w:r>
      </w:hyperlink>
    </w:p>
    <w:p w14:paraId="3AE42C2E" w14:textId="23DDD505" w:rsidR="00BF6D68"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4699170" w:history="1">
        <w:r w:rsidR="00BF6D68" w:rsidRPr="004E3C44">
          <w:rPr>
            <w:rStyle w:val="Lienhypertexte"/>
            <w:noProof/>
          </w:rPr>
          <w:t>3.4.6.6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Attribution du marché</w:t>
        </w:r>
        <w:r w:rsidR="00BF6D68">
          <w:rPr>
            <w:noProof/>
            <w:webHidden/>
          </w:rPr>
          <w:tab/>
        </w:r>
        <w:r w:rsidR="00BF6D68">
          <w:rPr>
            <w:noProof/>
            <w:webHidden/>
          </w:rPr>
          <w:fldChar w:fldCharType="begin"/>
        </w:r>
        <w:r w:rsidR="00BF6D68">
          <w:rPr>
            <w:noProof/>
            <w:webHidden/>
          </w:rPr>
          <w:instrText xml:space="preserve"> PAGEREF _Toc144699170 \h </w:instrText>
        </w:r>
        <w:r w:rsidR="00BF6D68">
          <w:rPr>
            <w:noProof/>
            <w:webHidden/>
          </w:rPr>
        </w:r>
        <w:r w:rsidR="00BF6D68">
          <w:rPr>
            <w:noProof/>
            <w:webHidden/>
          </w:rPr>
          <w:fldChar w:fldCharType="separate"/>
        </w:r>
        <w:r w:rsidR="005B4C99">
          <w:rPr>
            <w:noProof/>
            <w:webHidden/>
          </w:rPr>
          <w:t>15</w:t>
        </w:r>
        <w:r w:rsidR="00BF6D68">
          <w:rPr>
            <w:noProof/>
            <w:webHidden/>
          </w:rPr>
          <w:fldChar w:fldCharType="end"/>
        </w:r>
      </w:hyperlink>
    </w:p>
    <w:p w14:paraId="5E7FB6E0" w14:textId="48CA8F4C"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71" w:history="1">
        <w:r w:rsidR="00BF6D68" w:rsidRPr="004E3C44">
          <w:rPr>
            <w:rStyle w:val="Lienhypertexte"/>
            <w:noProof/>
          </w:rPr>
          <w:t>3.4.7</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Conclusion du contrat</w:t>
        </w:r>
        <w:r w:rsidR="00BF6D68">
          <w:rPr>
            <w:noProof/>
            <w:webHidden/>
          </w:rPr>
          <w:tab/>
        </w:r>
        <w:r w:rsidR="00BF6D68">
          <w:rPr>
            <w:noProof/>
            <w:webHidden/>
          </w:rPr>
          <w:fldChar w:fldCharType="begin"/>
        </w:r>
        <w:r w:rsidR="00BF6D68">
          <w:rPr>
            <w:noProof/>
            <w:webHidden/>
          </w:rPr>
          <w:instrText xml:space="preserve"> PAGEREF _Toc144699171 \h </w:instrText>
        </w:r>
        <w:r w:rsidR="00BF6D68">
          <w:rPr>
            <w:noProof/>
            <w:webHidden/>
          </w:rPr>
        </w:r>
        <w:r w:rsidR="00BF6D68">
          <w:rPr>
            <w:noProof/>
            <w:webHidden/>
          </w:rPr>
          <w:fldChar w:fldCharType="separate"/>
        </w:r>
        <w:r w:rsidR="005B4C99">
          <w:rPr>
            <w:noProof/>
            <w:webHidden/>
          </w:rPr>
          <w:t>15</w:t>
        </w:r>
        <w:r w:rsidR="00BF6D68">
          <w:rPr>
            <w:noProof/>
            <w:webHidden/>
          </w:rPr>
          <w:fldChar w:fldCharType="end"/>
        </w:r>
      </w:hyperlink>
    </w:p>
    <w:p w14:paraId="6497AB3B" w14:textId="6F7ABEBD" w:rsidR="00BF6D68"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4699172" w:history="1">
        <w:r w:rsidR="00BF6D68" w:rsidRPr="004E3C44">
          <w:rPr>
            <w:rStyle w:val="Lienhypertexte"/>
            <w:noProof/>
          </w:rPr>
          <w:t>4</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Dispositions contractuelles particulères</w:t>
        </w:r>
        <w:r w:rsidR="00BF6D68">
          <w:rPr>
            <w:noProof/>
            <w:webHidden/>
          </w:rPr>
          <w:tab/>
        </w:r>
        <w:r w:rsidR="00BF6D68">
          <w:rPr>
            <w:noProof/>
            <w:webHidden/>
          </w:rPr>
          <w:fldChar w:fldCharType="begin"/>
        </w:r>
        <w:r w:rsidR="00BF6D68">
          <w:rPr>
            <w:noProof/>
            <w:webHidden/>
          </w:rPr>
          <w:instrText xml:space="preserve"> PAGEREF _Toc144699172 \h </w:instrText>
        </w:r>
        <w:r w:rsidR="00BF6D68">
          <w:rPr>
            <w:noProof/>
            <w:webHidden/>
          </w:rPr>
        </w:r>
        <w:r w:rsidR="00BF6D68">
          <w:rPr>
            <w:noProof/>
            <w:webHidden/>
          </w:rPr>
          <w:fldChar w:fldCharType="separate"/>
        </w:r>
        <w:r w:rsidR="005B4C99">
          <w:rPr>
            <w:noProof/>
            <w:webHidden/>
          </w:rPr>
          <w:t>17</w:t>
        </w:r>
        <w:r w:rsidR="00BF6D68">
          <w:rPr>
            <w:noProof/>
            <w:webHidden/>
          </w:rPr>
          <w:fldChar w:fldCharType="end"/>
        </w:r>
      </w:hyperlink>
    </w:p>
    <w:p w14:paraId="2990D9F1" w14:textId="035DE3E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3" w:history="1">
        <w:r w:rsidR="00BF6D68" w:rsidRPr="004E3C44">
          <w:rPr>
            <w:rStyle w:val="Lienhypertexte"/>
            <w:noProof/>
          </w:rPr>
          <w:t>4.1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Fonctionnaire dirigeant (art. 11)</w:t>
        </w:r>
        <w:r w:rsidR="00BF6D68">
          <w:rPr>
            <w:noProof/>
            <w:webHidden/>
          </w:rPr>
          <w:tab/>
        </w:r>
        <w:r w:rsidR="00BF6D68">
          <w:rPr>
            <w:noProof/>
            <w:webHidden/>
          </w:rPr>
          <w:fldChar w:fldCharType="begin"/>
        </w:r>
        <w:r w:rsidR="00BF6D68">
          <w:rPr>
            <w:noProof/>
            <w:webHidden/>
          </w:rPr>
          <w:instrText xml:space="preserve"> PAGEREF _Toc144699173 \h </w:instrText>
        </w:r>
        <w:r w:rsidR="00BF6D68">
          <w:rPr>
            <w:noProof/>
            <w:webHidden/>
          </w:rPr>
        </w:r>
        <w:r w:rsidR="00BF6D68">
          <w:rPr>
            <w:noProof/>
            <w:webHidden/>
          </w:rPr>
          <w:fldChar w:fldCharType="separate"/>
        </w:r>
        <w:r w:rsidR="005B4C99">
          <w:rPr>
            <w:noProof/>
            <w:webHidden/>
          </w:rPr>
          <w:t>17</w:t>
        </w:r>
        <w:r w:rsidR="00BF6D68">
          <w:rPr>
            <w:noProof/>
            <w:webHidden/>
          </w:rPr>
          <w:fldChar w:fldCharType="end"/>
        </w:r>
      </w:hyperlink>
    </w:p>
    <w:p w14:paraId="3505AE6B" w14:textId="4C57104C"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4" w:history="1">
        <w:r w:rsidR="00BF6D68" w:rsidRPr="004E3C44">
          <w:rPr>
            <w:rStyle w:val="Lienhypertexte"/>
            <w:noProof/>
          </w:rPr>
          <w:t>4.2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Sous-traitants (art. 12 à 15)</w:t>
        </w:r>
        <w:r w:rsidR="00BF6D68">
          <w:rPr>
            <w:noProof/>
            <w:webHidden/>
          </w:rPr>
          <w:tab/>
        </w:r>
        <w:r w:rsidR="00BF6D68">
          <w:rPr>
            <w:noProof/>
            <w:webHidden/>
          </w:rPr>
          <w:fldChar w:fldCharType="begin"/>
        </w:r>
        <w:r w:rsidR="00BF6D68">
          <w:rPr>
            <w:noProof/>
            <w:webHidden/>
          </w:rPr>
          <w:instrText xml:space="preserve"> PAGEREF _Toc144699174 \h </w:instrText>
        </w:r>
        <w:r w:rsidR="00BF6D68">
          <w:rPr>
            <w:noProof/>
            <w:webHidden/>
          </w:rPr>
        </w:r>
        <w:r w:rsidR="00BF6D68">
          <w:rPr>
            <w:noProof/>
            <w:webHidden/>
          </w:rPr>
          <w:fldChar w:fldCharType="separate"/>
        </w:r>
        <w:r w:rsidR="005B4C99">
          <w:rPr>
            <w:noProof/>
            <w:webHidden/>
          </w:rPr>
          <w:t>17</w:t>
        </w:r>
        <w:r w:rsidR="00BF6D68">
          <w:rPr>
            <w:noProof/>
            <w:webHidden/>
          </w:rPr>
          <w:fldChar w:fldCharType="end"/>
        </w:r>
      </w:hyperlink>
    </w:p>
    <w:p w14:paraId="36011DBB" w14:textId="3173B9FB"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5" w:history="1">
        <w:r w:rsidR="00BF6D68" w:rsidRPr="004E3C44">
          <w:rPr>
            <w:rStyle w:val="Lienhypertexte"/>
            <w:noProof/>
            <w:highlight w:val="yellow"/>
          </w:rPr>
          <w:t>4.3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highlight w:val="yellow"/>
          </w:rPr>
          <w:t>Confidentialité (art. 18)</w:t>
        </w:r>
        <w:r w:rsidR="00BF6D68">
          <w:rPr>
            <w:noProof/>
            <w:webHidden/>
          </w:rPr>
          <w:tab/>
        </w:r>
        <w:r w:rsidR="00BF6D68">
          <w:rPr>
            <w:noProof/>
            <w:webHidden/>
          </w:rPr>
          <w:fldChar w:fldCharType="begin"/>
        </w:r>
        <w:r w:rsidR="00BF6D68">
          <w:rPr>
            <w:noProof/>
            <w:webHidden/>
          </w:rPr>
          <w:instrText xml:space="preserve"> PAGEREF _Toc144699175 \h </w:instrText>
        </w:r>
        <w:r w:rsidR="00BF6D68">
          <w:rPr>
            <w:noProof/>
            <w:webHidden/>
          </w:rPr>
        </w:r>
        <w:r w:rsidR="00BF6D68">
          <w:rPr>
            <w:noProof/>
            <w:webHidden/>
          </w:rPr>
          <w:fldChar w:fldCharType="separate"/>
        </w:r>
        <w:r w:rsidR="005B4C99">
          <w:rPr>
            <w:noProof/>
            <w:webHidden/>
          </w:rPr>
          <w:t>18</w:t>
        </w:r>
        <w:r w:rsidR="00BF6D68">
          <w:rPr>
            <w:noProof/>
            <w:webHidden/>
          </w:rPr>
          <w:fldChar w:fldCharType="end"/>
        </w:r>
      </w:hyperlink>
    </w:p>
    <w:p w14:paraId="63DE671F" w14:textId="3FF2083B"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6" w:history="1">
        <w:r w:rsidR="00BF6D68" w:rsidRPr="004E3C44">
          <w:rPr>
            <w:rStyle w:val="Lienhypertexte"/>
            <w:noProof/>
            <w:highlight w:val="yellow"/>
            <w:lang w:val="fr-FR"/>
          </w:rPr>
          <w:t>4.4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highlight w:val="yellow"/>
            <w:lang w:val="fr-FR"/>
          </w:rPr>
          <w:t>Protection des données personnelles</w:t>
        </w:r>
        <w:r w:rsidR="00BF6D68">
          <w:rPr>
            <w:noProof/>
            <w:webHidden/>
          </w:rPr>
          <w:tab/>
        </w:r>
        <w:r w:rsidR="00BF6D68">
          <w:rPr>
            <w:noProof/>
            <w:webHidden/>
          </w:rPr>
          <w:fldChar w:fldCharType="begin"/>
        </w:r>
        <w:r w:rsidR="00BF6D68">
          <w:rPr>
            <w:noProof/>
            <w:webHidden/>
          </w:rPr>
          <w:instrText xml:space="preserve"> PAGEREF _Toc144699176 \h </w:instrText>
        </w:r>
        <w:r w:rsidR="00BF6D68">
          <w:rPr>
            <w:noProof/>
            <w:webHidden/>
          </w:rPr>
        </w:r>
        <w:r w:rsidR="00BF6D68">
          <w:rPr>
            <w:noProof/>
            <w:webHidden/>
          </w:rPr>
          <w:fldChar w:fldCharType="separate"/>
        </w:r>
        <w:r w:rsidR="005B4C99">
          <w:rPr>
            <w:noProof/>
            <w:webHidden/>
          </w:rPr>
          <w:t>19</w:t>
        </w:r>
        <w:r w:rsidR="00BF6D68">
          <w:rPr>
            <w:noProof/>
            <w:webHidden/>
          </w:rPr>
          <w:fldChar w:fldCharType="end"/>
        </w:r>
      </w:hyperlink>
    </w:p>
    <w:p w14:paraId="66270872" w14:textId="0446659A"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7" w:history="1">
        <w:r w:rsidR="00BF6D68" w:rsidRPr="004E3C44">
          <w:rPr>
            <w:rStyle w:val="Lienhypertexte"/>
            <w:noProof/>
          </w:rPr>
          <w:t>4.5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Droits intellectuels (art. 19 à 23)</w:t>
        </w:r>
        <w:r w:rsidR="00BF6D68">
          <w:rPr>
            <w:noProof/>
            <w:webHidden/>
          </w:rPr>
          <w:tab/>
        </w:r>
        <w:r w:rsidR="00BF6D68">
          <w:rPr>
            <w:noProof/>
            <w:webHidden/>
          </w:rPr>
          <w:fldChar w:fldCharType="begin"/>
        </w:r>
        <w:r w:rsidR="00BF6D68">
          <w:rPr>
            <w:noProof/>
            <w:webHidden/>
          </w:rPr>
          <w:instrText xml:space="preserve"> PAGEREF _Toc144699177 \h </w:instrText>
        </w:r>
        <w:r w:rsidR="00BF6D68">
          <w:rPr>
            <w:noProof/>
            <w:webHidden/>
          </w:rPr>
        </w:r>
        <w:r w:rsidR="00BF6D68">
          <w:rPr>
            <w:noProof/>
            <w:webHidden/>
          </w:rPr>
          <w:fldChar w:fldCharType="separate"/>
        </w:r>
        <w:r w:rsidR="005B4C99">
          <w:rPr>
            <w:noProof/>
            <w:webHidden/>
          </w:rPr>
          <w:t>20</w:t>
        </w:r>
        <w:r w:rsidR="00BF6D68">
          <w:rPr>
            <w:noProof/>
            <w:webHidden/>
          </w:rPr>
          <w:fldChar w:fldCharType="end"/>
        </w:r>
      </w:hyperlink>
    </w:p>
    <w:p w14:paraId="027BE4BF" w14:textId="7465C573"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8" w:history="1">
        <w:r w:rsidR="00BF6D68" w:rsidRPr="004E3C44">
          <w:rPr>
            <w:rStyle w:val="Lienhypertexte"/>
            <w:noProof/>
          </w:rPr>
          <w:t>4.6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Cautionnement (art.25 à 33)</w:t>
        </w:r>
        <w:r w:rsidR="00BF6D68">
          <w:rPr>
            <w:noProof/>
            <w:webHidden/>
          </w:rPr>
          <w:tab/>
        </w:r>
        <w:r w:rsidR="00BF6D68">
          <w:rPr>
            <w:noProof/>
            <w:webHidden/>
          </w:rPr>
          <w:fldChar w:fldCharType="begin"/>
        </w:r>
        <w:r w:rsidR="00BF6D68">
          <w:rPr>
            <w:noProof/>
            <w:webHidden/>
          </w:rPr>
          <w:instrText xml:space="preserve"> PAGEREF _Toc144699178 \h </w:instrText>
        </w:r>
        <w:r w:rsidR="00BF6D68">
          <w:rPr>
            <w:noProof/>
            <w:webHidden/>
          </w:rPr>
        </w:r>
        <w:r w:rsidR="00BF6D68">
          <w:rPr>
            <w:noProof/>
            <w:webHidden/>
          </w:rPr>
          <w:fldChar w:fldCharType="separate"/>
        </w:r>
        <w:r w:rsidR="005B4C99">
          <w:rPr>
            <w:noProof/>
            <w:webHidden/>
          </w:rPr>
          <w:t>20</w:t>
        </w:r>
        <w:r w:rsidR="00BF6D68">
          <w:rPr>
            <w:noProof/>
            <w:webHidden/>
          </w:rPr>
          <w:fldChar w:fldCharType="end"/>
        </w:r>
      </w:hyperlink>
    </w:p>
    <w:p w14:paraId="66031301" w14:textId="6FE1920A"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79" w:history="1">
        <w:r w:rsidR="00BF6D68" w:rsidRPr="004E3C44">
          <w:rPr>
            <w:rStyle w:val="Lienhypertexte"/>
            <w:noProof/>
          </w:rPr>
          <w:t>4.7</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Conformité de l’exécution (art. 34)</w:t>
        </w:r>
        <w:r w:rsidR="00BF6D68">
          <w:rPr>
            <w:noProof/>
            <w:webHidden/>
          </w:rPr>
          <w:tab/>
        </w:r>
        <w:r w:rsidR="00BF6D68">
          <w:rPr>
            <w:noProof/>
            <w:webHidden/>
          </w:rPr>
          <w:fldChar w:fldCharType="begin"/>
        </w:r>
        <w:r w:rsidR="00BF6D68">
          <w:rPr>
            <w:noProof/>
            <w:webHidden/>
          </w:rPr>
          <w:instrText xml:space="preserve"> PAGEREF _Toc144699179 \h </w:instrText>
        </w:r>
        <w:r w:rsidR="00BF6D68">
          <w:rPr>
            <w:noProof/>
            <w:webHidden/>
          </w:rPr>
        </w:r>
        <w:r w:rsidR="00BF6D68">
          <w:rPr>
            <w:noProof/>
            <w:webHidden/>
          </w:rPr>
          <w:fldChar w:fldCharType="separate"/>
        </w:r>
        <w:r w:rsidR="005B4C99">
          <w:rPr>
            <w:noProof/>
            <w:webHidden/>
          </w:rPr>
          <w:t>20</w:t>
        </w:r>
        <w:r w:rsidR="00BF6D68">
          <w:rPr>
            <w:noProof/>
            <w:webHidden/>
          </w:rPr>
          <w:fldChar w:fldCharType="end"/>
        </w:r>
      </w:hyperlink>
    </w:p>
    <w:p w14:paraId="1EFD003C" w14:textId="628A4702"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80" w:history="1">
        <w:r w:rsidR="00BF6D68" w:rsidRPr="004E3C44">
          <w:rPr>
            <w:rStyle w:val="Lienhypertexte"/>
            <w:noProof/>
          </w:rPr>
          <w:t>4.8</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Modifications du marché (art. 37 à 38/19)</w:t>
        </w:r>
        <w:r w:rsidR="00BF6D68">
          <w:rPr>
            <w:noProof/>
            <w:webHidden/>
          </w:rPr>
          <w:tab/>
        </w:r>
        <w:r w:rsidR="00BF6D68">
          <w:rPr>
            <w:noProof/>
            <w:webHidden/>
          </w:rPr>
          <w:fldChar w:fldCharType="begin"/>
        </w:r>
        <w:r w:rsidR="00BF6D68">
          <w:rPr>
            <w:noProof/>
            <w:webHidden/>
          </w:rPr>
          <w:instrText xml:space="preserve"> PAGEREF _Toc144699180 \h </w:instrText>
        </w:r>
        <w:r w:rsidR="00BF6D68">
          <w:rPr>
            <w:noProof/>
            <w:webHidden/>
          </w:rPr>
        </w:r>
        <w:r w:rsidR="00BF6D68">
          <w:rPr>
            <w:noProof/>
            <w:webHidden/>
          </w:rPr>
          <w:fldChar w:fldCharType="separate"/>
        </w:r>
        <w:r w:rsidR="005B4C99">
          <w:rPr>
            <w:noProof/>
            <w:webHidden/>
          </w:rPr>
          <w:t>20</w:t>
        </w:r>
        <w:r w:rsidR="00BF6D68">
          <w:rPr>
            <w:noProof/>
            <w:webHidden/>
          </w:rPr>
          <w:fldChar w:fldCharType="end"/>
        </w:r>
      </w:hyperlink>
    </w:p>
    <w:p w14:paraId="6AFEB35E" w14:textId="538996D1"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1" w:history="1">
        <w:r w:rsidR="00BF6D68" w:rsidRPr="004E3C44">
          <w:rPr>
            <w:rStyle w:val="Lienhypertexte"/>
            <w:noProof/>
          </w:rPr>
          <w:t>4.8.1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Remplacement de l’adjudicataire (art. 38/3)</w:t>
        </w:r>
        <w:r w:rsidR="00BF6D68">
          <w:rPr>
            <w:noProof/>
            <w:webHidden/>
          </w:rPr>
          <w:tab/>
        </w:r>
        <w:r w:rsidR="00BF6D68">
          <w:rPr>
            <w:noProof/>
            <w:webHidden/>
          </w:rPr>
          <w:fldChar w:fldCharType="begin"/>
        </w:r>
        <w:r w:rsidR="00BF6D68">
          <w:rPr>
            <w:noProof/>
            <w:webHidden/>
          </w:rPr>
          <w:instrText xml:space="preserve"> PAGEREF _Toc144699181 \h </w:instrText>
        </w:r>
        <w:r w:rsidR="00BF6D68">
          <w:rPr>
            <w:noProof/>
            <w:webHidden/>
          </w:rPr>
        </w:r>
        <w:r w:rsidR="00BF6D68">
          <w:rPr>
            <w:noProof/>
            <w:webHidden/>
          </w:rPr>
          <w:fldChar w:fldCharType="separate"/>
        </w:r>
        <w:r w:rsidR="005B4C99">
          <w:rPr>
            <w:noProof/>
            <w:webHidden/>
          </w:rPr>
          <w:t>20</w:t>
        </w:r>
        <w:r w:rsidR="00BF6D68">
          <w:rPr>
            <w:noProof/>
            <w:webHidden/>
          </w:rPr>
          <w:fldChar w:fldCharType="end"/>
        </w:r>
      </w:hyperlink>
    </w:p>
    <w:p w14:paraId="4834187B" w14:textId="1F22C172"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2" w:history="1">
        <w:r w:rsidR="00BF6D68" w:rsidRPr="004E3C44">
          <w:rPr>
            <w:rStyle w:val="Lienhypertexte"/>
            <w:noProof/>
          </w:rPr>
          <w:t>4.8.2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Révision des prix (art. 38/7)</w:t>
        </w:r>
        <w:r w:rsidR="00BF6D68">
          <w:rPr>
            <w:noProof/>
            <w:webHidden/>
          </w:rPr>
          <w:tab/>
        </w:r>
        <w:r w:rsidR="00BF6D68">
          <w:rPr>
            <w:noProof/>
            <w:webHidden/>
          </w:rPr>
          <w:fldChar w:fldCharType="begin"/>
        </w:r>
        <w:r w:rsidR="00BF6D68">
          <w:rPr>
            <w:noProof/>
            <w:webHidden/>
          </w:rPr>
          <w:instrText xml:space="preserve"> PAGEREF _Toc144699182 \h </w:instrText>
        </w:r>
        <w:r w:rsidR="00BF6D68">
          <w:rPr>
            <w:noProof/>
            <w:webHidden/>
          </w:rPr>
        </w:r>
        <w:r w:rsidR="00BF6D68">
          <w:rPr>
            <w:noProof/>
            <w:webHidden/>
          </w:rPr>
          <w:fldChar w:fldCharType="separate"/>
        </w:r>
        <w:r w:rsidR="005B4C99">
          <w:rPr>
            <w:noProof/>
            <w:webHidden/>
          </w:rPr>
          <w:t>21</w:t>
        </w:r>
        <w:r w:rsidR="00BF6D68">
          <w:rPr>
            <w:noProof/>
            <w:webHidden/>
          </w:rPr>
          <w:fldChar w:fldCharType="end"/>
        </w:r>
      </w:hyperlink>
    </w:p>
    <w:p w14:paraId="119BFFED" w14:textId="7A8E2C76"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3" w:history="1">
        <w:r w:rsidR="00BF6D68" w:rsidRPr="004E3C44">
          <w:rPr>
            <w:rStyle w:val="Lienhypertexte"/>
            <w:noProof/>
          </w:rPr>
          <w:t>4.8.3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Indemnités suite aux suspensions ordonnées par l’adjudicateur durant l’exécution (art. 38/12)</w:t>
        </w:r>
        <w:r w:rsidR="00BF6D68">
          <w:rPr>
            <w:noProof/>
            <w:webHidden/>
          </w:rPr>
          <w:tab/>
        </w:r>
        <w:r w:rsidR="00BF6D68">
          <w:rPr>
            <w:noProof/>
            <w:webHidden/>
          </w:rPr>
          <w:fldChar w:fldCharType="begin"/>
        </w:r>
        <w:r w:rsidR="00BF6D68">
          <w:rPr>
            <w:noProof/>
            <w:webHidden/>
          </w:rPr>
          <w:instrText xml:space="preserve"> PAGEREF _Toc144699183 \h </w:instrText>
        </w:r>
        <w:r w:rsidR="00BF6D68">
          <w:rPr>
            <w:noProof/>
            <w:webHidden/>
          </w:rPr>
        </w:r>
        <w:r w:rsidR="00BF6D68">
          <w:rPr>
            <w:noProof/>
            <w:webHidden/>
          </w:rPr>
          <w:fldChar w:fldCharType="separate"/>
        </w:r>
        <w:r w:rsidR="005B4C99">
          <w:rPr>
            <w:noProof/>
            <w:webHidden/>
          </w:rPr>
          <w:t>21</w:t>
        </w:r>
        <w:r w:rsidR="00BF6D68">
          <w:rPr>
            <w:noProof/>
            <w:webHidden/>
          </w:rPr>
          <w:fldChar w:fldCharType="end"/>
        </w:r>
      </w:hyperlink>
    </w:p>
    <w:p w14:paraId="28B5E763" w14:textId="08095AC1"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4" w:history="1">
        <w:r w:rsidR="00BF6D68" w:rsidRPr="004E3C44">
          <w:rPr>
            <w:rStyle w:val="Lienhypertexte"/>
            <w:noProof/>
          </w:rPr>
          <w:t>4.8.4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Circonstances imprévisibles</w:t>
        </w:r>
        <w:r w:rsidR="00BF6D68">
          <w:rPr>
            <w:noProof/>
            <w:webHidden/>
          </w:rPr>
          <w:tab/>
        </w:r>
        <w:r w:rsidR="00BF6D68">
          <w:rPr>
            <w:noProof/>
            <w:webHidden/>
          </w:rPr>
          <w:fldChar w:fldCharType="begin"/>
        </w:r>
        <w:r w:rsidR="00BF6D68">
          <w:rPr>
            <w:noProof/>
            <w:webHidden/>
          </w:rPr>
          <w:instrText xml:space="preserve"> PAGEREF _Toc144699184 \h </w:instrText>
        </w:r>
        <w:r w:rsidR="00BF6D68">
          <w:rPr>
            <w:noProof/>
            <w:webHidden/>
          </w:rPr>
        </w:r>
        <w:r w:rsidR="00BF6D68">
          <w:rPr>
            <w:noProof/>
            <w:webHidden/>
          </w:rPr>
          <w:fldChar w:fldCharType="separate"/>
        </w:r>
        <w:r w:rsidR="005B4C99">
          <w:rPr>
            <w:noProof/>
            <w:webHidden/>
          </w:rPr>
          <w:t>21</w:t>
        </w:r>
        <w:r w:rsidR="00BF6D68">
          <w:rPr>
            <w:noProof/>
            <w:webHidden/>
          </w:rPr>
          <w:fldChar w:fldCharType="end"/>
        </w:r>
      </w:hyperlink>
    </w:p>
    <w:p w14:paraId="657A94F5" w14:textId="041BBA3B"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85" w:history="1">
        <w:r w:rsidR="00BF6D68" w:rsidRPr="004E3C44">
          <w:rPr>
            <w:rStyle w:val="Lienhypertexte"/>
            <w:noProof/>
          </w:rPr>
          <w:t>4.9</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Réception technique préalable (art. 42)</w:t>
        </w:r>
        <w:r w:rsidR="00BF6D68">
          <w:rPr>
            <w:noProof/>
            <w:webHidden/>
          </w:rPr>
          <w:tab/>
        </w:r>
        <w:r w:rsidR="00BF6D68">
          <w:rPr>
            <w:noProof/>
            <w:webHidden/>
          </w:rPr>
          <w:fldChar w:fldCharType="begin"/>
        </w:r>
        <w:r w:rsidR="00BF6D68">
          <w:rPr>
            <w:noProof/>
            <w:webHidden/>
          </w:rPr>
          <w:instrText xml:space="preserve"> PAGEREF _Toc144699185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2AB16C99" w14:textId="1A31A3DE"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86" w:history="1">
        <w:r w:rsidR="00BF6D68" w:rsidRPr="004E3C44">
          <w:rPr>
            <w:rStyle w:val="Lienhypertexte"/>
            <w:noProof/>
          </w:rPr>
          <w:t>4.10</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Modalités d’exécution (art. 146 es)</w:t>
        </w:r>
        <w:r w:rsidR="00BF6D68">
          <w:rPr>
            <w:noProof/>
            <w:webHidden/>
          </w:rPr>
          <w:tab/>
        </w:r>
        <w:r w:rsidR="00BF6D68">
          <w:rPr>
            <w:noProof/>
            <w:webHidden/>
          </w:rPr>
          <w:fldChar w:fldCharType="begin"/>
        </w:r>
        <w:r w:rsidR="00BF6D68">
          <w:rPr>
            <w:noProof/>
            <w:webHidden/>
          </w:rPr>
          <w:instrText xml:space="preserve"> PAGEREF _Toc144699186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739FEB24" w14:textId="202418F7"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7" w:history="1">
        <w:r w:rsidR="00BF6D68" w:rsidRPr="004E3C44">
          <w:rPr>
            <w:rStyle w:val="Lienhypertexte"/>
            <w:noProof/>
          </w:rPr>
          <w:t>4.10.1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Délais et clauses (art. 147)</w:t>
        </w:r>
        <w:r w:rsidR="00BF6D68">
          <w:rPr>
            <w:noProof/>
            <w:webHidden/>
          </w:rPr>
          <w:tab/>
        </w:r>
        <w:r w:rsidR="00BF6D68">
          <w:rPr>
            <w:noProof/>
            <w:webHidden/>
          </w:rPr>
          <w:fldChar w:fldCharType="begin"/>
        </w:r>
        <w:r w:rsidR="00BF6D68">
          <w:rPr>
            <w:noProof/>
            <w:webHidden/>
          </w:rPr>
          <w:instrText xml:space="preserve"> PAGEREF _Toc144699187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590CC1CE" w14:textId="28710983"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8" w:history="1">
        <w:r w:rsidR="00BF6D68" w:rsidRPr="004E3C44">
          <w:rPr>
            <w:rStyle w:val="Lienhypertexte"/>
            <w:noProof/>
          </w:rPr>
          <w:t>4.10.2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Lieu où les services doivent être exécutés et formalités (art. 149)</w:t>
        </w:r>
        <w:r w:rsidR="00BF6D68">
          <w:rPr>
            <w:noProof/>
            <w:webHidden/>
          </w:rPr>
          <w:tab/>
        </w:r>
        <w:r w:rsidR="00BF6D68">
          <w:rPr>
            <w:noProof/>
            <w:webHidden/>
          </w:rPr>
          <w:fldChar w:fldCharType="begin"/>
        </w:r>
        <w:r w:rsidR="00BF6D68">
          <w:rPr>
            <w:noProof/>
            <w:webHidden/>
          </w:rPr>
          <w:instrText xml:space="preserve"> PAGEREF _Toc144699188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5973F43F" w14:textId="31B3E31A"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89" w:history="1">
        <w:r w:rsidR="00BF6D68" w:rsidRPr="004E3C44">
          <w:rPr>
            <w:rStyle w:val="Lienhypertexte"/>
            <w:noProof/>
            <w:highlight w:val="yellow"/>
          </w:rPr>
          <w:t>4.10.1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highlight w:val="yellow"/>
          </w:rPr>
          <w:t>Egalité des genres</w:t>
        </w:r>
        <w:r w:rsidR="00BF6D68">
          <w:rPr>
            <w:noProof/>
            <w:webHidden/>
          </w:rPr>
          <w:tab/>
        </w:r>
        <w:r w:rsidR="00BF6D68">
          <w:rPr>
            <w:noProof/>
            <w:webHidden/>
          </w:rPr>
          <w:fldChar w:fldCharType="begin"/>
        </w:r>
        <w:r w:rsidR="00BF6D68">
          <w:rPr>
            <w:noProof/>
            <w:webHidden/>
          </w:rPr>
          <w:instrText xml:space="preserve"> PAGEREF _Toc144699189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506DEAC1" w14:textId="1D52EC17"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0" w:history="1">
        <w:r w:rsidR="00BF6D68" w:rsidRPr="004E3C44">
          <w:rPr>
            <w:rStyle w:val="Lienhypertexte"/>
            <w:noProof/>
            <w:highlight w:val="yellow"/>
          </w:rPr>
          <w:t>4.10.2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highlight w:val="yellow"/>
          </w:rPr>
          <w:t>Tolérance zéro exploitation et abus sexuels</w:t>
        </w:r>
        <w:r w:rsidR="00BF6D68">
          <w:rPr>
            <w:noProof/>
            <w:webHidden/>
          </w:rPr>
          <w:tab/>
        </w:r>
        <w:r w:rsidR="00BF6D68">
          <w:rPr>
            <w:noProof/>
            <w:webHidden/>
          </w:rPr>
          <w:fldChar w:fldCharType="begin"/>
        </w:r>
        <w:r w:rsidR="00BF6D68">
          <w:rPr>
            <w:noProof/>
            <w:webHidden/>
          </w:rPr>
          <w:instrText xml:space="preserve"> PAGEREF _Toc144699190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23D3CE19" w14:textId="2CE1805F"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91" w:history="1">
        <w:r w:rsidR="00BF6D68" w:rsidRPr="004E3C44">
          <w:rPr>
            <w:rStyle w:val="Lienhypertexte"/>
            <w:noProof/>
          </w:rPr>
          <w:t>4.11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Vérification des services (art. 150)</w:t>
        </w:r>
        <w:r w:rsidR="00BF6D68">
          <w:rPr>
            <w:noProof/>
            <w:webHidden/>
          </w:rPr>
          <w:tab/>
        </w:r>
        <w:r w:rsidR="00BF6D68">
          <w:rPr>
            <w:noProof/>
            <w:webHidden/>
          </w:rPr>
          <w:fldChar w:fldCharType="begin"/>
        </w:r>
        <w:r w:rsidR="00BF6D68">
          <w:rPr>
            <w:noProof/>
            <w:webHidden/>
          </w:rPr>
          <w:instrText xml:space="preserve"> PAGEREF _Toc144699191 \h </w:instrText>
        </w:r>
        <w:r w:rsidR="00BF6D68">
          <w:rPr>
            <w:noProof/>
            <w:webHidden/>
          </w:rPr>
        </w:r>
        <w:r w:rsidR="00BF6D68">
          <w:rPr>
            <w:noProof/>
            <w:webHidden/>
          </w:rPr>
          <w:fldChar w:fldCharType="separate"/>
        </w:r>
        <w:r w:rsidR="005B4C99">
          <w:rPr>
            <w:noProof/>
            <w:webHidden/>
          </w:rPr>
          <w:t>22</w:t>
        </w:r>
        <w:r w:rsidR="00BF6D68">
          <w:rPr>
            <w:noProof/>
            <w:webHidden/>
          </w:rPr>
          <w:fldChar w:fldCharType="end"/>
        </w:r>
      </w:hyperlink>
    </w:p>
    <w:p w14:paraId="0F9662B6" w14:textId="3235C732"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92" w:history="1">
        <w:r w:rsidR="00BF6D68" w:rsidRPr="004E3C44">
          <w:rPr>
            <w:rStyle w:val="Lienhypertexte"/>
            <w:noProof/>
          </w:rPr>
          <w:t>4.12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Responsabilité du prestataire de services (art. 152-153)</w:t>
        </w:r>
        <w:r w:rsidR="00BF6D68">
          <w:rPr>
            <w:noProof/>
            <w:webHidden/>
          </w:rPr>
          <w:tab/>
        </w:r>
        <w:r w:rsidR="00BF6D68">
          <w:rPr>
            <w:noProof/>
            <w:webHidden/>
          </w:rPr>
          <w:fldChar w:fldCharType="begin"/>
        </w:r>
        <w:r w:rsidR="00BF6D68">
          <w:rPr>
            <w:noProof/>
            <w:webHidden/>
          </w:rPr>
          <w:instrText xml:space="preserve"> PAGEREF _Toc144699192 \h </w:instrText>
        </w:r>
        <w:r w:rsidR="00BF6D68">
          <w:rPr>
            <w:noProof/>
            <w:webHidden/>
          </w:rPr>
        </w:r>
        <w:r w:rsidR="00BF6D68">
          <w:rPr>
            <w:noProof/>
            <w:webHidden/>
          </w:rPr>
          <w:fldChar w:fldCharType="separate"/>
        </w:r>
        <w:r w:rsidR="005B4C99">
          <w:rPr>
            <w:noProof/>
            <w:webHidden/>
          </w:rPr>
          <w:t>23</w:t>
        </w:r>
        <w:r w:rsidR="00BF6D68">
          <w:rPr>
            <w:noProof/>
            <w:webHidden/>
          </w:rPr>
          <w:fldChar w:fldCharType="end"/>
        </w:r>
      </w:hyperlink>
    </w:p>
    <w:p w14:paraId="17559A7D" w14:textId="0DDF0379"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93" w:history="1">
        <w:r w:rsidR="00BF6D68" w:rsidRPr="004E3C44">
          <w:rPr>
            <w:rStyle w:val="Lienhypertexte"/>
            <w:noProof/>
          </w:rPr>
          <w:t>4.13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Moyens d’action du Pouvoir Adjudicateur (art. 44-51 et 154-155)</w:t>
        </w:r>
        <w:r w:rsidR="00BF6D68">
          <w:rPr>
            <w:noProof/>
            <w:webHidden/>
          </w:rPr>
          <w:tab/>
        </w:r>
        <w:r w:rsidR="00BF6D68">
          <w:rPr>
            <w:noProof/>
            <w:webHidden/>
          </w:rPr>
          <w:fldChar w:fldCharType="begin"/>
        </w:r>
        <w:r w:rsidR="00BF6D68">
          <w:rPr>
            <w:noProof/>
            <w:webHidden/>
          </w:rPr>
          <w:instrText xml:space="preserve"> PAGEREF _Toc144699193 \h </w:instrText>
        </w:r>
        <w:r w:rsidR="00BF6D68">
          <w:rPr>
            <w:noProof/>
            <w:webHidden/>
          </w:rPr>
        </w:r>
        <w:r w:rsidR="00BF6D68">
          <w:rPr>
            <w:noProof/>
            <w:webHidden/>
          </w:rPr>
          <w:fldChar w:fldCharType="separate"/>
        </w:r>
        <w:r w:rsidR="005B4C99">
          <w:rPr>
            <w:noProof/>
            <w:webHidden/>
          </w:rPr>
          <w:t>23</w:t>
        </w:r>
        <w:r w:rsidR="00BF6D68">
          <w:rPr>
            <w:noProof/>
            <w:webHidden/>
          </w:rPr>
          <w:fldChar w:fldCharType="end"/>
        </w:r>
      </w:hyperlink>
    </w:p>
    <w:p w14:paraId="4A1473FE" w14:textId="4F05B295"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4" w:history="1">
        <w:r w:rsidR="00BF6D68" w:rsidRPr="004E3C44">
          <w:rPr>
            <w:rStyle w:val="Lienhypertexte"/>
            <w:noProof/>
          </w:rPr>
          <w:t>4.13.1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Défaut d’exécution (art. 44)</w:t>
        </w:r>
        <w:r w:rsidR="00BF6D68">
          <w:rPr>
            <w:noProof/>
            <w:webHidden/>
          </w:rPr>
          <w:tab/>
        </w:r>
        <w:r w:rsidR="00BF6D68">
          <w:rPr>
            <w:noProof/>
            <w:webHidden/>
          </w:rPr>
          <w:fldChar w:fldCharType="begin"/>
        </w:r>
        <w:r w:rsidR="00BF6D68">
          <w:rPr>
            <w:noProof/>
            <w:webHidden/>
          </w:rPr>
          <w:instrText xml:space="preserve"> PAGEREF _Toc144699194 \h </w:instrText>
        </w:r>
        <w:r w:rsidR="00BF6D68">
          <w:rPr>
            <w:noProof/>
            <w:webHidden/>
          </w:rPr>
        </w:r>
        <w:r w:rsidR="00BF6D68">
          <w:rPr>
            <w:noProof/>
            <w:webHidden/>
          </w:rPr>
          <w:fldChar w:fldCharType="separate"/>
        </w:r>
        <w:r w:rsidR="005B4C99">
          <w:rPr>
            <w:noProof/>
            <w:webHidden/>
          </w:rPr>
          <w:t>23</w:t>
        </w:r>
        <w:r w:rsidR="00BF6D68">
          <w:rPr>
            <w:noProof/>
            <w:webHidden/>
          </w:rPr>
          <w:fldChar w:fldCharType="end"/>
        </w:r>
      </w:hyperlink>
    </w:p>
    <w:p w14:paraId="0DB2B529" w14:textId="3E534DB7"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5" w:history="1">
        <w:r w:rsidR="00BF6D68" w:rsidRPr="004E3C44">
          <w:rPr>
            <w:rStyle w:val="Lienhypertexte"/>
            <w:noProof/>
          </w:rPr>
          <w:t>4.13.2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Amendes pour retard (art. 46 et 154)</w:t>
        </w:r>
        <w:r w:rsidR="00BF6D68">
          <w:rPr>
            <w:noProof/>
            <w:webHidden/>
          </w:rPr>
          <w:tab/>
        </w:r>
        <w:r w:rsidR="00BF6D68">
          <w:rPr>
            <w:noProof/>
            <w:webHidden/>
          </w:rPr>
          <w:fldChar w:fldCharType="begin"/>
        </w:r>
        <w:r w:rsidR="00BF6D68">
          <w:rPr>
            <w:noProof/>
            <w:webHidden/>
          </w:rPr>
          <w:instrText xml:space="preserve"> PAGEREF _Toc144699195 \h </w:instrText>
        </w:r>
        <w:r w:rsidR="00BF6D68">
          <w:rPr>
            <w:noProof/>
            <w:webHidden/>
          </w:rPr>
        </w:r>
        <w:r w:rsidR="00BF6D68">
          <w:rPr>
            <w:noProof/>
            <w:webHidden/>
          </w:rPr>
          <w:fldChar w:fldCharType="separate"/>
        </w:r>
        <w:r w:rsidR="005B4C99">
          <w:rPr>
            <w:noProof/>
            <w:webHidden/>
          </w:rPr>
          <w:t>23</w:t>
        </w:r>
        <w:r w:rsidR="00BF6D68">
          <w:rPr>
            <w:noProof/>
            <w:webHidden/>
          </w:rPr>
          <w:fldChar w:fldCharType="end"/>
        </w:r>
      </w:hyperlink>
    </w:p>
    <w:p w14:paraId="1BDCB03A" w14:textId="525121A3"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6" w:history="1">
        <w:r w:rsidR="00BF6D68" w:rsidRPr="004E3C44">
          <w:rPr>
            <w:rStyle w:val="Lienhypertexte"/>
            <w:noProof/>
          </w:rPr>
          <w:t>4.13.3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Mesures d’office (art. 47 et 155)</w:t>
        </w:r>
        <w:r w:rsidR="00BF6D68">
          <w:rPr>
            <w:noProof/>
            <w:webHidden/>
          </w:rPr>
          <w:tab/>
        </w:r>
        <w:r w:rsidR="00BF6D68">
          <w:rPr>
            <w:noProof/>
            <w:webHidden/>
          </w:rPr>
          <w:fldChar w:fldCharType="begin"/>
        </w:r>
        <w:r w:rsidR="00BF6D68">
          <w:rPr>
            <w:noProof/>
            <w:webHidden/>
          </w:rPr>
          <w:instrText xml:space="preserve"> PAGEREF _Toc144699196 \h </w:instrText>
        </w:r>
        <w:r w:rsidR="00BF6D68">
          <w:rPr>
            <w:noProof/>
            <w:webHidden/>
          </w:rPr>
        </w:r>
        <w:r w:rsidR="00BF6D68">
          <w:rPr>
            <w:noProof/>
            <w:webHidden/>
          </w:rPr>
          <w:fldChar w:fldCharType="separate"/>
        </w:r>
        <w:r w:rsidR="005B4C99">
          <w:rPr>
            <w:noProof/>
            <w:webHidden/>
          </w:rPr>
          <w:t>24</w:t>
        </w:r>
        <w:r w:rsidR="00BF6D68">
          <w:rPr>
            <w:noProof/>
            <w:webHidden/>
          </w:rPr>
          <w:fldChar w:fldCharType="end"/>
        </w:r>
      </w:hyperlink>
    </w:p>
    <w:p w14:paraId="7C615BBC" w14:textId="2764510D"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197" w:history="1">
        <w:r w:rsidR="00BF6D68" w:rsidRPr="004E3C44">
          <w:rPr>
            <w:rStyle w:val="Lienhypertexte"/>
            <w:noProof/>
          </w:rPr>
          <w:t>4.14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Fin du marché</w:t>
        </w:r>
        <w:r w:rsidR="00BF6D68">
          <w:rPr>
            <w:noProof/>
            <w:webHidden/>
          </w:rPr>
          <w:tab/>
        </w:r>
        <w:r w:rsidR="00BF6D68">
          <w:rPr>
            <w:noProof/>
            <w:webHidden/>
          </w:rPr>
          <w:fldChar w:fldCharType="begin"/>
        </w:r>
        <w:r w:rsidR="00BF6D68">
          <w:rPr>
            <w:noProof/>
            <w:webHidden/>
          </w:rPr>
          <w:instrText xml:space="preserve"> PAGEREF _Toc144699197 \h </w:instrText>
        </w:r>
        <w:r w:rsidR="00BF6D68">
          <w:rPr>
            <w:noProof/>
            <w:webHidden/>
          </w:rPr>
        </w:r>
        <w:r w:rsidR="00BF6D68">
          <w:rPr>
            <w:noProof/>
            <w:webHidden/>
          </w:rPr>
          <w:fldChar w:fldCharType="separate"/>
        </w:r>
        <w:r w:rsidR="005B4C99">
          <w:rPr>
            <w:noProof/>
            <w:webHidden/>
          </w:rPr>
          <w:t>24</w:t>
        </w:r>
        <w:r w:rsidR="00BF6D68">
          <w:rPr>
            <w:noProof/>
            <w:webHidden/>
          </w:rPr>
          <w:fldChar w:fldCharType="end"/>
        </w:r>
      </w:hyperlink>
    </w:p>
    <w:p w14:paraId="3E09441E" w14:textId="0C10B55F"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8" w:history="1">
        <w:r w:rsidR="00BF6D68" w:rsidRPr="004E3C44">
          <w:rPr>
            <w:rStyle w:val="Lienhypertexte"/>
            <w:noProof/>
          </w:rPr>
          <w:t>4.14.1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Réception des services exécutés (art. 64-65 et 156)</w:t>
        </w:r>
        <w:r w:rsidR="00BF6D68">
          <w:rPr>
            <w:noProof/>
            <w:webHidden/>
          </w:rPr>
          <w:tab/>
        </w:r>
        <w:r w:rsidR="00BF6D68">
          <w:rPr>
            <w:noProof/>
            <w:webHidden/>
          </w:rPr>
          <w:fldChar w:fldCharType="begin"/>
        </w:r>
        <w:r w:rsidR="00BF6D68">
          <w:rPr>
            <w:noProof/>
            <w:webHidden/>
          </w:rPr>
          <w:instrText xml:space="preserve"> PAGEREF _Toc144699198 \h </w:instrText>
        </w:r>
        <w:r w:rsidR="00BF6D68">
          <w:rPr>
            <w:noProof/>
            <w:webHidden/>
          </w:rPr>
        </w:r>
        <w:r w:rsidR="00BF6D68">
          <w:rPr>
            <w:noProof/>
            <w:webHidden/>
          </w:rPr>
          <w:fldChar w:fldCharType="separate"/>
        </w:r>
        <w:r w:rsidR="005B4C99">
          <w:rPr>
            <w:noProof/>
            <w:webHidden/>
          </w:rPr>
          <w:t>24</w:t>
        </w:r>
        <w:r w:rsidR="00BF6D68">
          <w:rPr>
            <w:noProof/>
            <w:webHidden/>
          </w:rPr>
          <w:fldChar w:fldCharType="end"/>
        </w:r>
      </w:hyperlink>
    </w:p>
    <w:p w14:paraId="04870074" w14:textId="4CA4F20C"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199" w:history="1">
        <w:r w:rsidR="00BF6D68" w:rsidRPr="004E3C44">
          <w:rPr>
            <w:rStyle w:val="Lienhypertexte"/>
            <w:noProof/>
          </w:rPr>
          <w:t>4.14.2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Frais de reception</w:t>
        </w:r>
        <w:r w:rsidR="00BF6D68">
          <w:rPr>
            <w:noProof/>
            <w:webHidden/>
          </w:rPr>
          <w:tab/>
        </w:r>
        <w:r w:rsidR="00BF6D68">
          <w:rPr>
            <w:noProof/>
            <w:webHidden/>
          </w:rPr>
          <w:fldChar w:fldCharType="begin"/>
        </w:r>
        <w:r w:rsidR="00BF6D68">
          <w:rPr>
            <w:noProof/>
            <w:webHidden/>
          </w:rPr>
          <w:instrText xml:space="preserve"> PAGEREF _Toc144699199 \h </w:instrText>
        </w:r>
        <w:r w:rsidR="00BF6D68">
          <w:rPr>
            <w:noProof/>
            <w:webHidden/>
          </w:rPr>
        </w:r>
        <w:r w:rsidR="00BF6D68">
          <w:rPr>
            <w:noProof/>
            <w:webHidden/>
          </w:rPr>
          <w:fldChar w:fldCharType="separate"/>
        </w:r>
        <w:r w:rsidR="005B4C99">
          <w:rPr>
            <w:noProof/>
            <w:webHidden/>
          </w:rPr>
          <w:t>25</w:t>
        </w:r>
        <w:r w:rsidR="00BF6D68">
          <w:rPr>
            <w:noProof/>
            <w:webHidden/>
          </w:rPr>
          <w:fldChar w:fldCharType="end"/>
        </w:r>
      </w:hyperlink>
    </w:p>
    <w:p w14:paraId="4A29158B" w14:textId="2047AE68"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200" w:history="1">
        <w:r w:rsidR="00BF6D68" w:rsidRPr="004E3C44">
          <w:rPr>
            <w:rStyle w:val="Lienhypertexte"/>
            <w:noProof/>
          </w:rPr>
          <w:t>4.14.3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Facturation et paiement des services (art. 66 à 72 -160)</w:t>
        </w:r>
        <w:r w:rsidR="00BF6D68">
          <w:rPr>
            <w:noProof/>
            <w:webHidden/>
          </w:rPr>
          <w:tab/>
        </w:r>
        <w:r w:rsidR="00BF6D68">
          <w:rPr>
            <w:noProof/>
            <w:webHidden/>
          </w:rPr>
          <w:fldChar w:fldCharType="begin"/>
        </w:r>
        <w:r w:rsidR="00BF6D68">
          <w:rPr>
            <w:noProof/>
            <w:webHidden/>
          </w:rPr>
          <w:instrText xml:space="preserve"> PAGEREF _Toc144699200 \h </w:instrText>
        </w:r>
        <w:r w:rsidR="00BF6D68">
          <w:rPr>
            <w:noProof/>
            <w:webHidden/>
          </w:rPr>
        </w:r>
        <w:r w:rsidR="00BF6D68">
          <w:rPr>
            <w:noProof/>
            <w:webHidden/>
          </w:rPr>
          <w:fldChar w:fldCharType="separate"/>
        </w:r>
        <w:r w:rsidR="005B4C99">
          <w:rPr>
            <w:noProof/>
            <w:webHidden/>
          </w:rPr>
          <w:t>25</w:t>
        </w:r>
        <w:r w:rsidR="00BF6D68">
          <w:rPr>
            <w:noProof/>
            <w:webHidden/>
          </w:rPr>
          <w:fldChar w:fldCharType="end"/>
        </w:r>
      </w:hyperlink>
    </w:p>
    <w:p w14:paraId="252C4034" w14:textId="3E3E49A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01" w:history="1">
        <w:r w:rsidR="00BF6D68" w:rsidRPr="004E3C44">
          <w:rPr>
            <w:rStyle w:val="Lienhypertexte"/>
            <w:noProof/>
          </w:rPr>
          <w:t>4.15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Litiges (art. 73)</w:t>
        </w:r>
        <w:r w:rsidR="00BF6D68">
          <w:rPr>
            <w:noProof/>
            <w:webHidden/>
          </w:rPr>
          <w:tab/>
        </w:r>
        <w:r w:rsidR="00BF6D68">
          <w:rPr>
            <w:noProof/>
            <w:webHidden/>
          </w:rPr>
          <w:fldChar w:fldCharType="begin"/>
        </w:r>
        <w:r w:rsidR="00BF6D68">
          <w:rPr>
            <w:noProof/>
            <w:webHidden/>
          </w:rPr>
          <w:instrText xml:space="preserve"> PAGEREF _Toc144699201 \h </w:instrText>
        </w:r>
        <w:r w:rsidR="00BF6D68">
          <w:rPr>
            <w:noProof/>
            <w:webHidden/>
          </w:rPr>
        </w:r>
        <w:r w:rsidR="00BF6D68">
          <w:rPr>
            <w:noProof/>
            <w:webHidden/>
          </w:rPr>
          <w:fldChar w:fldCharType="separate"/>
        </w:r>
        <w:r w:rsidR="005B4C99">
          <w:rPr>
            <w:noProof/>
            <w:webHidden/>
          </w:rPr>
          <w:t>25</w:t>
        </w:r>
        <w:r w:rsidR="00BF6D68">
          <w:rPr>
            <w:noProof/>
            <w:webHidden/>
          </w:rPr>
          <w:fldChar w:fldCharType="end"/>
        </w:r>
      </w:hyperlink>
    </w:p>
    <w:p w14:paraId="2DA7C20A" w14:textId="607D5F26" w:rsidR="00BF6D68"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4699202" w:history="1">
        <w:r w:rsidR="00BF6D68" w:rsidRPr="004E3C44">
          <w:rPr>
            <w:rStyle w:val="Lienhypertexte"/>
            <w:noProof/>
          </w:rPr>
          <w:t>5</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Termes de référence</w:t>
        </w:r>
        <w:r w:rsidR="00BF6D68">
          <w:rPr>
            <w:noProof/>
            <w:webHidden/>
          </w:rPr>
          <w:tab/>
        </w:r>
        <w:r w:rsidR="00BF6D68">
          <w:rPr>
            <w:noProof/>
            <w:webHidden/>
          </w:rPr>
          <w:fldChar w:fldCharType="begin"/>
        </w:r>
        <w:r w:rsidR="00BF6D68">
          <w:rPr>
            <w:noProof/>
            <w:webHidden/>
          </w:rPr>
          <w:instrText xml:space="preserve"> PAGEREF _Toc144699202 \h </w:instrText>
        </w:r>
        <w:r w:rsidR="00BF6D68">
          <w:rPr>
            <w:noProof/>
            <w:webHidden/>
          </w:rPr>
        </w:r>
        <w:r w:rsidR="00BF6D68">
          <w:rPr>
            <w:noProof/>
            <w:webHidden/>
          </w:rPr>
          <w:fldChar w:fldCharType="separate"/>
        </w:r>
        <w:r w:rsidR="005B4C99">
          <w:rPr>
            <w:noProof/>
            <w:webHidden/>
          </w:rPr>
          <w:t>26</w:t>
        </w:r>
        <w:r w:rsidR="00BF6D68">
          <w:rPr>
            <w:noProof/>
            <w:webHidden/>
          </w:rPr>
          <w:fldChar w:fldCharType="end"/>
        </w:r>
      </w:hyperlink>
    </w:p>
    <w:p w14:paraId="17CBC77C" w14:textId="6888EE66" w:rsidR="00BF6D68"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4699203" w:history="1">
        <w:r w:rsidR="00BF6D68" w:rsidRPr="004E3C44">
          <w:rPr>
            <w:rStyle w:val="Lienhypertexte"/>
            <w:noProof/>
          </w:rPr>
          <w:t>6</w:t>
        </w:r>
        <w:r w:rsidR="00BF6D68">
          <w:rPr>
            <w:rFonts w:asciiTheme="minorHAnsi" w:eastAsiaTheme="minorEastAsia" w:hAnsiTheme="minorHAnsi" w:cstheme="minorBidi"/>
            <w:b w:val="0"/>
            <w:noProof/>
            <w:color w:val="auto"/>
            <w:kern w:val="2"/>
            <w:sz w:val="22"/>
            <w:lang w:val="fr-FR" w:eastAsia="fr-FR"/>
            <w14:ligatures w14:val="standardContextual"/>
          </w:rPr>
          <w:tab/>
        </w:r>
        <w:r w:rsidR="00BF6D68" w:rsidRPr="004E3C44">
          <w:rPr>
            <w:rStyle w:val="Lienhypertexte"/>
            <w:noProof/>
          </w:rPr>
          <w:t>Formulaires d’offre</w:t>
        </w:r>
        <w:r w:rsidR="00BF6D68">
          <w:rPr>
            <w:noProof/>
            <w:webHidden/>
          </w:rPr>
          <w:tab/>
        </w:r>
        <w:r w:rsidR="00BF6D68">
          <w:rPr>
            <w:noProof/>
            <w:webHidden/>
          </w:rPr>
          <w:fldChar w:fldCharType="begin"/>
        </w:r>
        <w:r w:rsidR="00BF6D68">
          <w:rPr>
            <w:noProof/>
            <w:webHidden/>
          </w:rPr>
          <w:instrText xml:space="preserve"> PAGEREF _Toc144699203 \h </w:instrText>
        </w:r>
        <w:r w:rsidR="00BF6D68">
          <w:rPr>
            <w:noProof/>
            <w:webHidden/>
          </w:rPr>
        </w:r>
        <w:r w:rsidR="00BF6D68">
          <w:rPr>
            <w:noProof/>
            <w:webHidden/>
          </w:rPr>
          <w:fldChar w:fldCharType="separate"/>
        </w:r>
        <w:r w:rsidR="005B4C99">
          <w:rPr>
            <w:noProof/>
            <w:webHidden/>
          </w:rPr>
          <w:t>28</w:t>
        </w:r>
        <w:r w:rsidR="00BF6D68">
          <w:rPr>
            <w:noProof/>
            <w:webHidden/>
          </w:rPr>
          <w:fldChar w:fldCharType="end"/>
        </w:r>
      </w:hyperlink>
    </w:p>
    <w:p w14:paraId="7FB0AF51" w14:textId="61417D1E"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04" w:history="1">
        <w:r w:rsidR="00BF6D68" w:rsidRPr="004E3C44">
          <w:rPr>
            <w:rStyle w:val="Lienhypertexte"/>
            <w:noProof/>
          </w:rPr>
          <w:t>6.1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Fiche d’identification</w:t>
        </w:r>
        <w:r w:rsidR="00BF6D68">
          <w:rPr>
            <w:noProof/>
            <w:webHidden/>
          </w:rPr>
          <w:tab/>
        </w:r>
        <w:r w:rsidR="00BF6D68">
          <w:rPr>
            <w:noProof/>
            <w:webHidden/>
          </w:rPr>
          <w:fldChar w:fldCharType="begin"/>
        </w:r>
        <w:r w:rsidR="00BF6D68">
          <w:rPr>
            <w:noProof/>
            <w:webHidden/>
          </w:rPr>
          <w:instrText xml:space="preserve"> PAGEREF _Toc144699204 \h </w:instrText>
        </w:r>
        <w:r w:rsidR="00BF6D68">
          <w:rPr>
            <w:noProof/>
            <w:webHidden/>
          </w:rPr>
        </w:r>
        <w:r w:rsidR="00BF6D68">
          <w:rPr>
            <w:noProof/>
            <w:webHidden/>
          </w:rPr>
          <w:fldChar w:fldCharType="separate"/>
        </w:r>
        <w:r w:rsidR="005B4C99">
          <w:rPr>
            <w:noProof/>
            <w:webHidden/>
          </w:rPr>
          <w:t>29</w:t>
        </w:r>
        <w:r w:rsidR="00BF6D68">
          <w:rPr>
            <w:noProof/>
            <w:webHidden/>
          </w:rPr>
          <w:fldChar w:fldCharType="end"/>
        </w:r>
      </w:hyperlink>
    </w:p>
    <w:p w14:paraId="3842BD5F" w14:textId="7DD82EB5"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205" w:history="1">
        <w:r w:rsidR="00BF6D68" w:rsidRPr="004E3C44">
          <w:rPr>
            <w:rStyle w:val="Lienhypertexte"/>
            <w:noProof/>
          </w:rPr>
          <w:t>6.1.1</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Personne physique</w:t>
        </w:r>
        <w:r w:rsidR="00BF6D68">
          <w:rPr>
            <w:noProof/>
            <w:webHidden/>
          </w:rPr>
          <w:tab/>
        </w:r>
        <w:r w:rsidR="00BF6D68">
          <w:rPr>
            <w:noProof/>
            <w:webHidden/>
          </w:rPr>
          <w:fldChar w:fldCharType="begin"/>
        </w:r>
        <w:r w:rsidR="00BF6D68">
          <w:rPr>
            <w:noProof/>
            <w:webHidden/>
          </w:rPr>
          <w:instrText xml:space="preserve"> PAGEREF _Toc144699205 \h </w:instrText>
        </w:r>
        <w:r w:rsidR="00BF6D68">
          <w:rPr>
            <w:noProof/>
            <w:webHidden/>
          </w:rPr>
        </w:r>
        <w:r w:rsidR="00BF6D68">
          <w:rPr>
            <w:noProof/>
            <w:webHidden/>
          </w:rPr>
          <w:fldChar w:fldCharType="separate"/>
        </w:r>
        <w:r w:rsidR="005B4C99">
          <w:rPr>
            <w:noProof/>
            <w:webHidden/>
          </w:rPr>
          <w:t>29</w:t>
        </w:r>
        <w:r w:rsidR="00BF6D68">
          <w:rPr>
            <w:noProof/>
            <w:webHidden/>
          </w:rPr>
          <w:fldChar w:fldCharType="end"/>
        </w:r>
      </w:hyperlink>
    </w:p>
    <w:p w14:paraId="7367C498" w14:textId="254DC991"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206" w:history="1">
        <w:r w:rsidR="00BF6D68" w:rsidRPr="004E3C44">
          <w:rPr>
            <w:rStyle w:val="Lienhypertexte"/>
            <w:noProof/>
          </w:rPr>
          <w:t>6.1.2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Entité de droit privé/public ayant une forme juridique</w:t>
        </w:r>
        <w:r w:rsidR="00BF6D68">
          <w:rPr>
            <w:noProof/>
            <w:webHidden/>
          </w:rPr>
          <w:tab/>
        </w:r>
        <w:r w:rsidR="00BF6D68">
          <w:rPr>
            <w:noProof/>
            <w:webHidden/>
          </w:rPr>
          <w:fldChar w:fldCharType="begin"/>
        </w:r>
        <w:r w:rsidR="00BF6D68">
          <w:rPr>
            <w:noProof/>
            <w:webHidden/>
          </w:rPr>
          <w:instrText xml:space="preserve"> PAGEREF _Toc144699206 \h </w:instrText>
        </w:r>
        <w:r w:rsidR="00BF6D68">
          <w:rPr>
            <w:noProof/>
            <w:webHidden/>
          </w:rPr>
        </w:r>
        <w:r w:rsidR="00BF6D68">
          <w:rPr>
            <w:noProof/>
            <w:webHidden/>
          </w:rPr>
          <w:fldChar w:fldCharType="separate"/>
        </w:r>
        <w:r w:rsidR="005B4C99">
          <w:rPr>
            <w:noProof/>
            <w:webHidden/>
          </w:rPr>
          <w:t>30</w:t>
        </w:r>
        <w:r w:rsidR="00BF6D68">
          <w:rPr>
            <w:noProof/>
            <w:webHidden/>
          </w:rPr>
          <w:fldChar w:fldCharType="end"/>
        </w:r>
      </w:hyperlink>
    </w:p>
    <w:p w14:paraId="6EEDE850" w14:textId="44CD2965"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207" w:history="1">
        <w:r w:rsidR="00BF6D68" w:rsidRPr="004E3C44">
          <w:rPr>
            <w:rStyle w:val="Lienhypertexte"/>
            <w:noProof/>
          </w:rPr>
          <w:t>6.1.3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Entité de droit public</w:t>
        </w:r>
        <w:r w:rsidR="00BF6D68">
          <w:rPr>
            <w:noProof/>
            <w:webHidden/>
          </w:rPr>
          <w:tab/>
        </w:r>
        <w:r w:rsidR="00BF6D68">
          <w:rPr>
            <w:noProof/>
            <w:webHidden/>
          </w:rPr>
          <w:fldChar w:fldCharType="begin"/>
        </w:r>
        <w:r w:rsidR="00BF6D68">
          <w:rPr>
            <w:noProof/>
            <w:webHidden/>
          </w:rPr>
          <w:instrText xml:space="preserve"> PAGEREF _Toc144699207 \h </w:instrText>
        </w:r>
        <w:r w:rsidR="00BF6D68">
          <w:rPr>
            <w:noProof/>
            <w:webHidden/>
          </w:rPr>
        </w:r>
        <w:r w:rsidR="00BF6D68">
          <w:rPr>
            <w:noProof/>
            <w:webHidden/>
          </w:rPr>
          <w:fldChar w:fldCharType="separate"/>
        </w:r>
        <w:r w:rsidR="005B4C99">
          <w:rPr>
            <w:noProof/>
            <w:webHidden/>
          </w:rPr>
          <w:t>31</w:t>
        </w:r>
        <w:r w:rsidR="00BF6D68">
          <w:rPr>
            <w:noProof/>
            <w:webHidden/>
          </w:rPr>
          <w:fldChar w:fldCharType="end"/>
        </w:r>
      </w:hyperlink>
    </w:p>
    <w:p w14:paraId="37F630E3" w14:textId="30588135" w:rsidR="00BF6D68"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4699208" w:history="1">
        <w:r w:rsidR="00BF6D68" w:rsidRPr="004E3C44">
          <w:rPr>
            <w:rStyle w:val="Lienhypertexte"/>
            <w:noProof/>
          </w:rPr>
          <w:t>6.1.4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Sous-traitants</w:t>
        </w:r>
        <w:r w:rsidR="00BF6D68">
          <w:rPr>
            <w:noProof/>
            <w:webHidden/>
          </w:rPr>
          <w:tab/>
        </w:r>
        <w:r w:rsidR="00BF6D68">
          <w:rPr>
            <w:noProof/>
            <w:webHidden/>
          </w:rPr>
          <w:fldChar w:fldCharType="begin"/>
        </w:r>
        <w:r w:rsidR="00BF6D68">
          <w:rPr>
            <w:noProof/>
            <w:webHidden/>
          </w:rPr>
          <w:instrText xml:space="preserve"> PAGEREF _Toc144699208 \h </w:instrText>
        </w:r>
        <w:r w:rsidR="00BF6D68">
          <w:rPr>
            <w:noProof/>
            <w:webHidden/>
          </w:rPr>
        </w:r>
        <w:r w:rsidR="00BF6D68">
          <w:rPr>
            <w:noProof/>
            <w:webHidden/>
          </w:rPr>
          <w:fldChar w:fldCharType="separate"/>
        </w:r>
        <w:r w:rsidR="005B4C99">
          <w:rPr>
            <w:noProof/>
            <w:webHidden/>
          </w:rPr>
          <w:t>31</w:t>
        </w:r>
        <w:r w:rsidR="00BF6D68">
          <w:rPr>
            <w:noProof/>
            <w:webHidden/>
          </w:rPr>
          <w:fldChar w:fldCharType="end"/>
        </w:r>
      </w:hyperlink>
    </w:p>
    <w:p w14:paraId="7ABE36A0" w14:textId="1160EA94"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09" w:history="1">
        <w:r w:rsidR="00BF6D68" w:rsidRPr="004E3C44">
          <w:rPr>
            <w:rStyle w:val="Lienhypertexte"/>
            <w:noProof/>
          </w:rPr>
          <w:t>6.2</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Signature autorisée</w:t>
        </w:r>
        <w:r w:rsidR="00BF6D68">
          <w:rPr>
            <w:noProof/>
            <w:webHidden/>
          </w:rPr>
          <w:tab/>
        </w:r>
        <w:r w:rsidR="00BF6D68">
          <w:rPr>
            <w:noProof/>
            <w:webHidden/>
          </w:rPr>
          <w:fldChar w:fldCharType="begin"/>
        </w:r>
        <w:r w:rsidR="00BF6D68">
          <w:rPr>
            <w:noProof/>
            <w:webHidden/>
          </w:rPr>
          <w:instrText xml:space="preserve"> PAGEREF _Toc144699209 \h </w:instrText>
        </w:r>
        <w:r w:rsidR="00BF6D68">
          <w:rPr>
            <w:noProof/>
            <w:webHidden/>
          </w:rPr>
        </w:r>
        <w:r w:rsidR="00BF6D68">
          <w:rPr>
            <w:noProof/>
            <w:webHidden/>
          </w:rPr>
          <w:fldChar w:fldCharType="separate"/>
        </w:r>
        <w:r w:rsidR="005B4C99">
          <w:rPr>
            <w:noProof/>
            <w:webHidden/>
          </w:rPr>
          <w:t>32</w:t>
        </w:r>
        <w:r w:rsidR="00BF6D68">
          <w:rPr>
            <w:noProof/>
            <w:webHidden/>
          </w:rPr>
          <w:fldChar w:fldCharType="end"/>
        </w:r>
      </w:hyperlink>
    </w:p>
    <w:p w14:paraId="6E4280DF" w14:textId="6C71AE26"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0" w:history="1">
        <w:r w:rsidR="00BF6D68" w:rsidRPr="004E3C44">
          <w:rPr>
            <w:rStyle w:val="Lienhypertexte"/>
            <w:noProof/>
          </w:rPr>
          <w:t>6.3</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Formulaire d’offre - Prix</w:t>
        </w:r>
        <w:r w:rsidR="00BF6D68">
          <w:rPr>
            <w:noProof/>
            <w:webHidden/>
          </w:rPr>
          <w:tab/>
        </w:r>
        <w:r w:rsidR="00BF6D68">
          <w:rPr>
            <w:noProof/>
            <w:webHidden/>
          </w:rPr>
          <w:fldChar w:fldCharType="begin"/>
        </w:r>
        <w:r w:rsidR="00BF6D68">
          <w:rPr>
            <w:noProof/>
            <w:webHidden/>
          </w:rPr>
          <w:instrText xml:space="preserve"> PAGEREF _Toc144699210 \h </w:instrText>
        </w:r>
        <w:r w:rsidR="00BF6D68">
          <w:rPr>
            <w:noProof/>
            <w:webHidden/>
          </w:rPr>
        </w:r>
        <w:r w:rsidR="00BF6D68">
          <w:rPr>
            <w:noProof/>
            <w:webHidden/>
          </w:rPr>
          <w:fldChar w:fldCharType="separate"/>
        </w:r>
        <w:r w:rsidR="005B4C99">
          <w:rPr>
            <w:noProof/>
            <w:webHidden/>
          </w:rPr>
          <w:t>32</w:t>
        </w:r>
        <w:r w:rsidR="00BF6D68">
          <w:rPr>
            <w:noProof/>
            <w:webHidden/>
          </w:rPr>
          <w:fldChar w:fldCharType="end"/>
        </w:r>
      </w:hyperlink>
    </w:p>
    <w:p w14:paraId="0856E8D2" w14:textId="1AD353B9"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1" w:history="1">
        <w:r w:rsidR="00BF6D68" w:rsidRPr="004E3C44">
          <w:rPr>
            <w:rStyle w:val="Lienhypertexte"/>
            <w:noProof/>
          </w:rPr>
          <w:t>6.4</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Déclaration sur l’honneur – motifs d’exclusion</w:t>
        </w:r>
        <w:r w:rsidR="00BF6D68">
          <w:rPr>
            <w:noProof/>
            <w:webHidden/>
          </w:rPr>
          <w:tab/>
        </w:r>
        <w:r w:rsidR="00BF6D68">
          <w:rPr>
            <w:noProof/>
            <w:webHidden/>
          </w:rPr>
          <w:fldChar w:fldCharType="begin"/>
        </w:r>
        <w:r w:rsidR="00BF6D68">
          <w:rPr>
            <w:noProof/>
            <w:webHidden/>
          </w:rPr>
          <w:instrText xml:space="preserve"> PAGEREF _Toc144699211 \h </w:instrText>
        </w:r>
        <w:r w:rsidR="00BF6D68">
          <w:rPr>
            <w:noProof/>
            <w:webHidden/>
          </w:rPr>
        </w:r>
        <w:r w:rsidR="00BF6D68">
          <w:rPr>
            <w:noProof/>
            <w:webHidden/>
          </w:rPr>
          <w:fldChar w:fldCharType="separate"/>
        </w:r>
        <w:r w:rsidR="005B4C99">
          <w:rPr>
            <w:noProof/>
            <w:webHidden/>
          </w:rPr>
          <w:t>33</w:t>
        </w:r>
        <w:r w:rsidR="00BF6D68">
          <w:rPr>
            <w:noProof/>
            <w:webHidden/>
          </w:rPr>
          <w:fldChar w:fldCharType="end"/>
        </w:r>
      </w:hyperlink>
    </w:p>
    <w:p w14:paraId="092E72DF" w14:textId="7A5F0EC0"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2" w:history="1">
        <w:r w:rsidR="00BF6D68" w:rsidRPr="004E3C44">
          <w:rPr>
            <w:rStyle w:val="Lienhypertexte"/>
            <w:noProof/>
            <w:highlight w:val="yellow"/>
          </w:rPr>
          <w:t>6.5</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highlight w:val="yellow"/>
          </w:rPr>
          <w:t>Déclaration intégrité soumissionnaires</w:t>
        </w:r>
        <w:r w:rsidR="00BF6D68">
          <w:rPr>
            <w:noProof/>
            <w:webHidden/>
          </w:rPr>
          <w:tab/>
        </w:r>
        <w:r w:rsidR="00BF6D68">
          <w:rPr>
            <w:noProof/>
            <w:webHidden/>
          </w:rPr>
          <w:fldChar w:fldCharType="begin"/>
        </w:r>
        <w:r w:rsidR="00BF6D68">
          <w:rPr>
            <w:noProof/>
            <w:webHidden/>
          </w:rPr>
          <w:instrText xml:space="preserve"> PAGEREF _Toc144699212 \h </w:instrText>
        </w:r>
        <w:r w:rsidR="00BF6D68">
          <w:rPr>
            <w:noProof/>
            <w:webHidden/>
          </w:rPr>
        </w:r>
        <w:r w:rsidR="00BF6D68">
          <w:rPr>
            <w:noProof/>
            <w:webHidden/>
          </w:rPr>
          <w:fldChar w:fldCharType="separate"/>
        </w:r>
        <w:r w:rsidR="005B4C99">
          <w:rPr>
            <w:noProof/>
            <w:webHidden/>
          </w:rPr>
          <w:t>35</w:t>
        </w:r>
        <w:r w:rsidR="00BF6D68">
          <w:rPr>
            <w:noProof/>
            <w:webHidden/>
          </w:rPr>
          <w:fldChar w:fldCharType="end"/>
        </w:r>
      </w:hyperlink>
    </w:p>
    <w:p w14:paraId="55F9796D" w14:textId="61154B7E"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3" w:history="1">
        <w:r w:rsidR="00BF6D68" w:rsidRPr="004E3C44">
          <w:rPr>
            <w:rStyle w:val="Lienhypertexte"/>
            <w:noProof/>
          </w:rPr>
          <w:t>6.6</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Dossier de sélection – aptitude technique</w:t>
        </w:r>
        <w:r w:rsidR="00BF6D68">
          <w:rPr>
            <w:noProof/>
            <w:webHidden/>
          </w:rPr>
          <w:tab/>
        </w:r>
        <w:r w:rsidR="00BF6D68">
          <w:rPr>
            <w:noProof/>
            <w:webHidden/>
          </w:rPr>
          <w:fldChar w:fldCharType="begin"/>
        </w:r>
        <w:r w:rsidR="00BF6D68">
          <w:rPr>
            <w:noProof/>
            <w:webHidden/>
          </w:rPr>
          <w:instrText xml:space="preserve"> PAGEREF _Toc144699213 \h </w:instrText>
        </w:r>
        <w:r w:rsidR="00BF6D68">
          <w:rPr>
            <w:noProof/>
            <w:webHidden/>
          </w:rPr>
        </w:r>
        <w:r w:rsidR="00BF6D68">
          <w:rPr>
            <w:noProof/>
            <w:webHidden/>
          </w:rPr>
          <w:fldChar w:fldCharType="separate"/>
        </w:r>
        <w:r w:rsidR="005B4C99">
          <w:rPr>
            <w:noProof/>
            <w:webHidden/>
          </w:rPr>
          <w:t>36</w:t>
        </w:r>
        <w:r w:rsidR="00BF6D68">
          <w:rPr>
            <w:noProof/>
            <w:webHidden/>
          </w:rPr>
          <w:fldChar w:fldCharType="end"/>
        </w:r>
      </w:hyperlink>
    </w:p>
    <w:p w14:paraId="5EB42F13" w14:textId="1367407E"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4" w:history="1">
        <w:r w:rsidR="00BF6D68" w:rsidRPr="004E3C44">
          <w:rPr>
            <w:rStyle w:val="Lienhypertexte"/>
            <w:noProof/>
          </w:rPr>
          <w:t>6.7</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Annexe 1 : Services similaires</w:t>
        </w:r>
        <w:r w:rsidR="00BF6D68">
          <w:rPr>
            <w:noProof/>
            <w:webHidden/>
          </w:rPr>
          <w:tab/>
        </w:r>
        <w:r w:rsidR="00BF6D68">
          <w:rPr>
            <w:noProof/>
            <w:webHidden/>
          </w:rPr>
          <w:fldChar w:fldCharType="begin"/>
        </w:r>
        <w:r w:rsidR="00BF6D68">
          <w:rPr>
            <w:noProof/>
            <w:webHidden/>
          </w:rPr>
          <w:instrText xml:space="preserve"> PAGEREF _Toc144699214 \h </w:instrText>
        </w:r>
        <w:r w:rsidR="00BF6D68">
          <w:rPr>
            <w:noProof/>
            <w:webHidden/>
          </w:rPr>
        </w:r>
        <w:r w:rsidR="00BF6D68">
          <w:rPr>
            <w:noProof/>
            <w:webHidden/>
          </w:rPr>
          <w:fldChar w:fldCharType="separate"/>
        </w:r>
        <w:r w:rsidR="005B4C99">
          <w:rPr>
            <w:noProof/>
            <w:webHidden/>
          </w:rPr>
          <w:t>36</w:t>
        </w:r>
        <w:r w:rsidR="00BF6D68">
          <w:rPr>
            <w:noProof/>
            <w:webHidden/>
          </w:rPr>
          <w:fldChar w:fldCharType="end"/>
        </w:r>
      </w:hyperlink>
    </w:p>
    <w:p w14:paraId="417EDBFF" w14:textId="5EE188AF" w:rsidR="00BF6D68"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4699215" w:history="1">
        <w:r w:rsidR="00BF6D68" w:rsidRPr="004E3C44">
          <w:rPr>
            <w:rStyle w:val="Lienhypertexte"/>
            <w:noProof/>
          </w:rPr>
          <w:t>6.8</w:t>
        </w:r>
        <w:r w:rsidR="00BF6D68">
          <w:rPr>
            <w:rFonts w:asciiTheme="minorHAnsi" w:eastAsiaTheme="minorEastAsia" w:hAnsiTheme="minorHAnsi" w:cstheme="minorBidi"/>
            <w:noProof/>
            <w:color w:val="auto"/>
            <w:kern w:val="2"/>
            <w:sz w:val="22"/>
            <w:lang w:val="fr-FR" w:eastAsia="fr-FR"/>
            <w14:ligatures w14:val="standardContextual"/>
          </w:rPr>
          <w:tab/>
        </w:r>
        <w:r w:rsidR="00BF6D68" w:rsidRPr="004E3C44">
          <w:rPr>
            <w:rStyle w:val="Lienhypertexte"/>
            <w:noProof/>
          </w:rPr>
          <w:t>Documents à remettre – liste exhaustive</w:t>
        </w:r>
        <w:r w:rsidR="00BF6D68">
          <w:rPr>
            <w:noProof/>
            <w:webHidden/>
          </w:rPr>
          <w:tab/>
        </w:r>
        <w:r w:rsidR="00BF6D68">
          <w:rPr>
            <w:noProof/>
            <w:webHidden/>
          </w:rPr>
          <w:fldChar w:fldCharType="begin"/>
        </w:r>
        <w:r w:rsidR="00BF6D68">
          <w:rPr>
            <w:noProof/>
            <w:webHidden/>
          </w:rPr>
          <w:instrText xml:space="preserve"> PAGEREF _Toc144699215 \h </w:instrText>
        </w:r>
        <w:r w:rsidR="00BF6D68">
          <w:rPr>
            <w:noProof/>
            <w:webHidden/>
          </w:rPr>
        </w:r>
        <w:r w:rsidR="00BF6D68">
          <w:rPr>
            <w:noProof/>
            <w:webHidden/>
          </w:rPr>
          <w:fldChar w:fldCharType="separate"/>
        </w:r>
        <w:r w:rsidR="005B4C99">
          <w:rPr>
            <w:noProof/>
            <w:webHidden/>
          </w:rPr>
          <w:t>36</w:t>
        </w:r>
        <w:r w:rsidR="00BF6D68">
          <w:rPr>
            <w:noProof/>
            <w:webHidden/>
          </w:rPr>
          <w:fldChar w:fldCharType="end"/>
        </w:r>
      </w:hyperlink>
    </w:p>
    <w:p w14:paraId="53FA1D91" w14:textId="3ACA9549"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44699125"/>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44699126"/>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2BDB2068" w14:textId="623AC67A" w:rsidR="002D2165" w:rsidRPr="006B32D6" w:rsidRDefault="002D2165" w:rsidP="002D2165">
      <w:pPr>
        <w:pStyle w:val="Corpsdetexte"/>
        <w:shd w:val="clear" w:color="auto" w:fill="FFFFFF" w:themeFill="background1"/>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6B32D6">
        <w:rPr>
          <w:rFonts w:ascii="Georgia" w:eastAsia="Calibri" w:hAnsi="Georgia" w:cs="Times New Roman"/>
          <w:color w:val="585756"/>
          <w:kern w:val="0"/>
          <w:sz w:val="21"/>
          <w:szCs w:val="22"/>
          <w:lang w:val="fr-BE"/>
        </w:rPr>
        <w:t xml:space="preserve">Dans le présent CSC, il </w:t>
      </w:r>
      <w:r w:rsidR="006374E2">
        <w:rPr>
          <w:rFonts w:ascii="Georgia" w:eastAsia="Calibri" w:hAnsi="Georgia" w:cs="Times New Roman"/>
          <w:color w:val="585756"/>
          <w:kern w:val="0"/>
          <w:sz w:val="21"/>
          <w:szCs w:val="22"/>
          <w:lang w:val="fr-BE"/>
        </w:rPr>
        <w:t>n’</w:t>
      </w:r>
      <w:r w:rsidRPr="006B32D6">
        <w:rPr>
          <w:rFonts w:ascii="Georgia" w:eastAsia="Calibri" w:hAnsi="Georgia" w:cs="Times New Roman"/>
          <w:color w:val="585756"/>
          <w:kern w:val="0"/>
          <w:sz w:val="21"/>
          <w:szCs w:val="22"/>
          <w:lang w:val="fr-BE"/>
        </w:rPr>
        <w:t xml:space="preserve">est dérogé </w:t>
      </w:r>
      <w:r w:rsidR="006374E2">
        <w:rPr>
          <w:rFonts w:ascii="Georgia" w:eastAsia="Calibri" w:hAnsi="Georgia" w:cs="Times New Roman"/>
          <w:color w:val="585756"/>
          <w:kern w:val="0"/>
          <w:sz w:val="21"/>
          <w:szCs w:val="22"/>
          <w:lang w:val="fr-BE"/>
        </w:rPr>
        <w:t>aux RGE</w:t>
      </w:r>
      <w:r w:rsidRPr="006B32D6">
        <w:rPr>
          <w:rFonts w:ascii="Georgia" w:eastAsia="Calibri" w:hAnsi="Georgia" w:cs="Times New Roman"/>
          <w:color w:val="585756"/>
          <w:kern w:val="0"/>
          <w:sz w:val="21"/>
          <w:szCs w:val="22"/>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5" w:name="_Toc14469912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5F5F53B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2D2165">
        <w:rPr>
          <w:rFonts w:ascii="Georgia" w:eastAsia="Calibri" w:hAnsi="Georgia" w:cs="Times New Roman"/>
          <w:color w:val="585756"/>
          <w:kern w:val="0"/>
          <w:sz w:val="21"/>
          <w:szCs w:val="22"/>
          <w:lang w:val="fr-BE"/>
        </w:rPr>
        <w:t>Madame Laura JACOBS, Contract Support Manager RDC/RCA</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44699128"/>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proofErr w:type="gramStart"/>
      <w:r w:rsidRPr="00E535C1">
        <w:rPr>
          <w:rFonts w:ascii="Georgia" w:eastAsia="Calibri" w:hAnsi="Georgia"/>
          <w:color w:val="585756"/>
          <w:sz w:val="21"/>
          <w:szCs w:val="22"/>
        </w:rPr>
        <w:t>2019;</w:t>
      </w:r>
      <w:proofErr w:type="gramEnd"/>
      <w:r w:rsidRPr="00E535C1">
        <w:rPr>
          <w:rFonts w:ascii="Georgia" w:eastAsia="Calibri" w:hAnsi="Georgia"/>
          <w:color w:val="585756"/>
          <w:sz w:val="21"/>
          <w:szCs w:val="22"/>
        </w:rPr>
        <w:t xml:space="preserve">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44699129"/>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5BD839E0" w:rsidR="00E535C1" w:rsidRDefault="0016243A" w:rsidP="00E535C1">
      <w:pPr>
        <w:pStyle w:val="Paragraphedeliste"/>
        <w:numPr>
          <w:ilvl w:val="0"/>
          <w:numId w:val="4"/>
        </w:numPr>
      </w:pPr>
      <w:r>
        <w:t>L</w:t>
      </w:r>
      <w:r w:rsidR="00E535C1">
        <w:t xml:space="preserve">a législation locale applicable relative </w:t>
      </w:r>
      <w:proofErr w:type="gramStart"/>
      <w:r w:rsidR="00E535C1">
        <w:t>à le</w:t>
      </w:r>
      <w:proofErr w:type="gramEnd"/>
      <w:r w:rsidR="00E535C1">
        <w:t xml:space="preserve"> harcèlement sexuel au travail’ ou similaire]</w:t>
      </w:r>
    </w:p>
    <w:p w14:paraId="46ED2335" w14:textId="27FAC9A2"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7846F049" w:rsidR="00ED5EA4" w:rsidRDefault="00ED5EA4" w:rsidP="00ED5EA4">
      <w:pPr>
        <w:pStyle w:val="Paragraphedeliste"/>
        <w:numPr>
          <w:ilvl w:val="0"/>
          <w:numId w:val="4"/>
        </w:numPr>
      </w:pPr>
      <w:r w:rsidRPr="00D14EA3">
        <w:lastRenderedPageBreak/>
        <w:t>Loi du 30 juillet 2018 relative à la protection des personnes physiques à l’égard des traitements de données à caractère personnel</w:t>
      </w:r>
    </w:p>
    <w:p w14:paraId="3BC94C73" w14:textId="5213F94B" w:rsidR="002A1F15" w:rsidRPr="00E535C1" w:rsidRDefault="00E535C1" w:rsidP="000E75B2">
      <w:pPr>
        <w:pStyle w:val="Paragraphedeliste"/>
        <w:numPr>
          <w:ilvl w:val="0"/>
          <w:numId w:val="4"/>
        </w:numPr>
      </w:pPr>
      <w:r>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44699130"/>
      <w:r>
        <w:t>Définitions</w:t>
      </w:r>
      <w:bookmarkEnd w:id="18"/>
      <w:bookmarkEnd w:id="19"/>
      <w:bookmarkEnd w:id="20"/>
      <w:bookmarkEnd w:id="21"/>
      <w:bookmarkEnd w:id="22"/>
    </w:p>
    <w:p w14:paraId="7866988D" w14:textId="77777777" w:rsidR="00633898" w:rsidRPr="00211A79" w:rsidRDefault="00633898" w:rsidP="0016243A">
      <w:pPr>
        <w:pStyle w:val="Corpsdetexte"/>
        <w:ind w:left="284"/>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4D045CF6" w14:textId="35DA81D0" w:rsidR="0016243A" w:rsidRPr="00C91137" w:rsidRDefault="00633898" w:rsidP="0016243A">
      <w:pPr>
        <w:pStyle w:val="Corpsdetexte"/>
        <w:ind w:left="284"/>
        <w:rPr>
          <w:rFonts w:ascii="Georgia" w:eastAsia="Calibri" w:hAnsi="Georgia" w:cs="Times New Roman"/>
          <w:color w:val="585756"/>
          <w:kern w:val="0"/>
          <w:sz w:val="21"/>
          <w:szCs w:val="22"/>
          <w:lang w:val="fr-BE"/>
        </w:rPr>
      </w:pPr>
      <w:r w:rsidRPr="00211A79">
        <w:rPr>
          <w:rFonts w:ascii="Georgia" w:eastAsia="Calibri" w:hAnsi="Georgia"/>
          <w:color w:val="585756"/>
          <w:sz w:val="21"/>
          <w:szCs w:val="22"/>
          <w:u w:val="single"/>
          <w:lang w:val="fr-BE"/>
        </w:rPr>
        <w:t xml:space="preserve">Le pouvoir adjudicateur ou </w:t>
      </w:r>
      <w:r w:rsidR="0016243A" w:rsidRPr="00211A79">
        <w:rPr>
          <w:rFonts w:ascii="Georgia" w:eastAsia="Calibri" w:hAnsi="Georgia"/>
          <w:color w:val="585756"/>
          <w:sz w:val="21"/>
          <w:szCs w:val="22"/>
          <w:u w:val="single"/>
          <w:lang w:val="fr-BE"/>
        </w:rPr>
        <w:t>l’adjudicateur</w:t>
      </w:r>
      <w:r w:rsidR="0016243A" w:rsidRPr="00211A79">
        <w:rPr>
          <w:rFonts w:ascii="Georgia" w:eastAsia="Calibri" w:hAnsi="Georgia"/>
          <w:color w:val="585756"/>
          <w:sz w:val="21"/>
          <w:szCs w:val="22"/>
          <w:lang w:val="fr-BE"/>
        </w:rPr>
        <w:t xml:space="preserve"> :</w:t>
      </w:r>
      <w:r w:rsidRPr="00211A79">
        <w:rPr>
          <w:rFonts w:ascii="Georgia" w:eastAsia="Calibri" w:hAnsi="Georgia"/>
          <w:color w:val="585756"/>
          <w:sz w:val="21"/>
          <w:szCs w:val="22"/>
          <w:lang w:val="fr-BE"/>
        </w:rPr>
        <w:t xml:space="preserve"> </w:t>
      </w:r>
      <w:r w:rsidR="0021448A">
        <w:rPr>
          <w:rFonts w:ascii="Georgia" w:eastAsia="Calibri" w:hAnsi="Georgia"/>
          <w:color w:val="585756"/>
          <w:sz w:val="21"/>
          <w:szCs w:val="22"/>
          <w:lang w:val="fr-BE"/>
        </w:rPr>
        <w:t>Enabel</w:t>
      </w:r>
      <w:r w:rsidRPr="00211A79">
        <w:rPr>
          <w:rFonts w:ascii="Georgia" w:eastAsia="Calibri" w:hAnsi="Georgia"/>
          <w:color w:val="585756"/>
          <w:sz w:val="21"/>
          <w:szCs w:val="22"/>
          <w:lang w:val="fr-BE"/>
        </w:rPr>
        <w:t xml:space="preserve">, représentée par </w:t>
      </w:r>
      <w:r w:rsidR="0016243A">
        <w:rPr>
          <w:rFonts w:ascii="Georgia" w:eastAsia="Calibri" w:hAnsi="Georgia" w:cs="Times New Roman"/>
          <w:color w:val="585756"/>
          <w:kern w:val="0"/>
          <w:sz w:val="21"/>
          <w:szCs w:val="22"/>
          <w:lang w:val="fr-BE"/>
        </w:rPr>
        <w:t>Madame Laura JACOBS, Contract Support Manager RDC/RCA</w:t>
      </w:r>
      <w:r w:rsidR="0016243A" w:rsidRPr="00C91137">
        <w:rPr>
          <w:rFonts w:ascii="Georgia" w:eastAsia="Calibri" w:hAnsi="Georgia" w:cs="Times New Roman"/>
          <w:color w:val="585756"/>
          <w:kern w:val="0"/>
          <w:sz w:val="21"/>
          <w:szCs w:val="22"/>
          <w:lang w:val="fr-BE"/>
        </w:rPr>
        <w:t>.</w:t>
      </w:r>
    </w:p>
    <w:p w14:paraId="6555E762" w14:textId="3B6F228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33E92436" w14:textId="24922FB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66A5B" w:rsidRPr="00211A79">
        <w:rPr>
          <w:rFonts w:ascii="Georgia" w:eastAsia="Calibri" w:hAnsi="Georgia"/>
          <w:bCs w:val="0"/>
          <w:color w:val="585756"/>
          <w:sz w:val="21"/>
          <w:szCs w:val="22"/>
          <w:u w:val="single"/>
          <w:lang w:val="fr-BE" w:eastAsia="en-US"/>
        </w:rPr>
        <w:t>soumissionnaire ;</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44699131"/>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44699132"/>
      <w:r w:rsidRPr="00D14EA3">
        <w:rPr>
          <w:lang w:val="fr-FR"/>
        </w:rPr>
        <w:t>Traitement des données à caractère personnel</w:t>
      </w:r>
      <w:bookmarkEnd w:id="28"/>
    </w:p>
    <w:p w14:paraId="7C84815E" w14:textId="77777777" w:rsidR="00DF01C6" w:rsidRPr="001478F6" w:rsidRDefault="00DF01C6" w:rsidP="00DF01C6">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144699133"/>
      <w:proofErr w:type="spellStart"/>
      <w:r w:rsidRPr="00873CB1">
        <w:t>Confidentialité</w:t>
      </w:r>
      <w:bookmarkEnd w:id="29"/>
      <w:proofErr w:type="spellEnd"/>
    </w:p>
    <w:p w14:paraId="4C28BBB9" w14:textId="77777777" w:rsidR="00DF01C6" w:rsidRPr="001478F6" w:rsidRDefault="00DF01C6" w:rsidP="00DF01C6">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lastRenderedPageBreak/>
        <w:t>Voir aussi : https://www.enabel.be/fr/content/declaration-de-confidentialite-denabel</w:t>
      </w:r>
    </w:p>
    <w:p w14:paraId="673DE741" w14:textId="0E5853E6" w:rsidR="002B7D5A" w:rsidRPr="00413425" w:rsidRDefault="00633898" w:rsidP="006A4D22">
      <w:pPr>
        <w:pStyle w:val="Titre2"/>
      </w:pPr>
      <w:bookmarkStart w:id="30" w:name="_Toc144699134"/>
      <w:r>
        <w:t>Obligations déontologiques</w:t>
      </w:r>
      <w:bookmarkEnd w:id="30"/>
    </w:p>
    <w:p w14:paraId="4BD40C80" w14:textId="77777777" w:rsidR="006A4D22" w:rsidRDefault="006A4D22" w:rsidP="006A4D22">
      <w:pPr>
        <w:pStyle w:val="Titre3"/>
      </w:pPr>
      <w:bookmarkStart w:id="31" w:name="_Toc144699135"/>
      <w:bookmarkEnd w:id="31"/>
    </w:p>
    <w:p w14:paraId="20F068D6"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Pr="00211A79">
        <w:rPr>
          <w:rFonts w:ascii="Georgia" w:eastAsia="Calibri" w:hAnsi="Georgia" w:cs="Times New Roman"/>
          <w:color w:val="585756"/>
          <w:kern w:val="0"/>
          <w:sz w:val="21"/>
          <w:szCs w:val="22"/>
          <w:lang w:val="fr-BE"/>
        </w:rPr>
        <w:t>peut</w:t>
      </w:r>
      <w:proofErr w:type="gramEnd"/>
      <w:r w:rsidRPr="00211A79">
        <w:rPr>
          <w:rFonts w:ascii="Georgia" w:eastAsia="Calibri" w:hAnsi="Georgia" w:cs="Times New Roman"/>
          <w:color w:val="585756"/>
          <w:kern w:val="0"/>
          <w:sz w:val="21"/>
          <w:szCs w:val="22"/>
          <w:lang w:val="fr-BE"/>
        </w:rPr>
        <w:t xml:space="preserve">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41F2A785" w14:textId="77777777" w:rsidR="006A4D22" w:rsidRPr="00415FB9" w:rsidRDefault="006A4D22" w:rsidP="006A4D22">
      <w:pPr>
        <w:pStyle w:val="Titre3"/>
        <w:rPr>
          <w:lang w:val="fr-BE"/>
        </w:rPr>
      </w:pPr>
      <w:r w:rsidRPr="00415FB9">
        <w:rPr>
          <w:lang w:val="fr-BE"/>
        </w:rPr>
        <w:t xml:space="preserve"> </w:t>
      </w:r>
      <w:bookmarkStart w:id="32" w:name="_Toc52268426"/>
      <w:bookmarkStart w:id="33" w:name="_Toc144699136"/>
      <w:bookmarkEnd w:id="32"/>
      <w:bookmarkEnd w:id="33"/>
    </w:p>
    <w:p w14:paraId="151161A0"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415FB9" w:rsidRDefault="006A4D22" w:rsidP="006A4D22">
      <w:pPr>
        <w:pStyle w:val="Titre3"/>
        <w:rPr>
          <w:lang w:val="fr-BE"/>
        </w:rPr>
      </w:pPr>
      <w:r w:rsidRPr="00415FB9">
        <w:rPr>
          <w:lang w:val="fr-BE"/>
        </w:rPr>
        <w:t xml:space="preserve"> </w:t>
      </w:r>
      <w:bookmarkStart w:id="34" w:name="_Toc52268427"/>
      <w:bookmarkStart w:id="35" w:name="_Toc144699137"/>
      <w:bookmarkEnd w:id="34"/>
      <w:bookmarkEnd w:id="35"/>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3A78476F" w:rsidR="006A4D22" w:rsidRDefault="006A4D22" w:rsidP="006A4D22">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552532">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415FB9" w:rsidRDefault="006A4D22" w:rsidP="006A4D22">
      <w:pPr>
        <w:pStyle w:val="Titre3"/>
        <w:rPr>
          <w:lang w:val="fr-BE"/>
        </w:rPr>
      </w:pPr>
      <w:r w:rsidRPr="00415FB9">
        <w:rPr>
          <w:lang w:val="fr-BE"/>
        </w:rPr>
        <w:t xml:space="preserve"> </w:t>
      </w:r>
      <w:bookmarkStart w:id="36" w:name="_Toc52268428"/>
      <w:bookmarkStart w:id="37" w:name="_Toc144699138"/>
      <w:bookmarkEnd w:id="36"/>
      <w:bookmarkEnd w:id="37"/>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415FB9" w:rsidRDefault="006A4D22" w:rsidP="006A4D22">
      <w:pPr>
        <w:pStyle w:val="Titre3"/>
        <w:rPr>
          <w:lang w:val="fr-BE"/>
        </w:rPr>
      </w:pPr>
      <w:r w:rsidRPr="00415FB9">
        <w:rPr>
          <w:lang w:val="fr-BE"/>
        </w:rPr>
        <w:t xml:space="preserve"> </w:t>
      </w:r>
      <w:bookmarkStart w:id="38" w:name="_Toc52268429"/>
      <w:bookmarkStart w:id="39" w:name="_Toc144699139"/>
      <w:bookmarkEnd w:id="38"/>
      <w:bookmarkEnd w:id="39"/>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69E5C30" w14:textId="77777777" w:rsidR="006A4D22" w:rsidRPr="00415FB9" w:rsidRDefault="006A4D22" w:rsidP="006A4D22">
      <w:pPr>
        <w:pStyle w:val="Titre3"/>
        <w:rPr>
          <w:lang w:val="fr-BE"/>
        </w:rPr>
      </w:pPr>
      <w:r w:rsidRPr="00415FB9">
        <w:rPr>
          <w:lang w:val="fr-BE"/>
        </w:rPr>
        <w:t xml:space="preserve"> </w:t>
      </w:r>
      <w:bookmarkStart w:id="40" w:name="_Toc52268430"/>
      <w:bookmarkStart w:id="41" w:name="_Toc144699140"/>
      <w:bookmarkEnd w:id="40"/>
      <w:bookmarkEnd w:id="41"/>
    </w:p>
    <w:p w14:paraId="04436466" w14:textId="77777777" w:rsidR="006A4D22" w:rsidRDefault="006A4D22" w:rsidP="006A4D2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5"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286F510F" w14:textId="77777777" w:rsidR="006A4D22" w:rsidRPr="00415FB9" w:rsidRDefault="006A4D22" w:rsidP="006A4D22">
      <w:pPr>
        <w:pStyle w:val="Titre3"/>
        <w:rPr>
          <w:lang w:val="fr-BE"/>
        </w:rPr>
      </w:pPr>
      <w:r w:rsidRPr="00415FB9">
        <w:rPr>
          <w:lang w:val="fr-BE"/>
        </w:rPr>
        <w:t xml:space="preserve">  </w:t>
      </w:r>
      <w:bookmarkStart w:id="42" w:name="_Toc52268431"/>
      <w:bookmarkStart w:id="43" w:name="_Toc144699141"/>
      <w:bookmarkEnd w:id="42"/>
      <w:bookmarkEnd w:id="43"/>
    </w:p>
    <w:p w14:paraId="35D37E2F" w14:textId="31059A2D"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w:t>
      </w:r>
      <w:r w:rsidRPr="00415FB9">
        <w:rPr>
          <w:rFonts w:ascii="Georgia" w:eastAsia="Calibri" w:hAnsi="Georgia" w:cs="Times New Roman"/>
          <w:color w:val="585756"/>
          <w:kern w:val="0"/>
          <w:sz w:val="21"/>
          <w:lang w:val="fr-BE"/>
        </w:rPr>
        <w:lastRenderedPageBreak/>
        <w:t xml:space="preserve">Politique de Enabel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44" w:name="_Ref228951536"/>
      <w:bookmarkStart w:id="45" w:name="_Toc257039818"/>
      <w:bookmarkStart w:id="46" w:name="_Toc366161151"/>
      <w:bookmarkStart w:id="47" w:name="_Toc144699142"/>
      <w:r w:rsidRPr="00633898">
        <w:t>Droit applicable et tribunaux compétents</w:t>
      </w:r>
      <w:bookmarkEnd w:id="44"/>
      <w:bookmarkEnd w:id="45"/>
      <w:bookmarkEnd w:id="46"/>
      <w:bookmarkEnd w:id="47"/>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t xml:space="preserve"> </w:t>
      </w:r>
      <w:bookmarkStart w:id="49" w:name="_Toc257380476"/>
      <w:bookmarkStart w:id="50" w:name="_Toc260134193"/>
      <w:bookmarkStart w:id="51" w:name="_Toc364253067"/>
      <w:bookmarkEnd w:id="48"/>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52" w:name="_Toc144699143"/>
      <w:bookmarkEnd w:id="49"/>
      <w:bookmarkEnd w:id="50"/>
      <w:bookmarkEnd w:id="51"/>
      <w:r>
        <w:t>Objet et portée du marché</w:t>
      </w:r>
      <w:bookmarkEnd w:id="5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53" w:name="_Toc144699144"/>
      <w:r>
        <w:t>Nature du marché</w:t>
      </w:r>
      <w:bookmarkEnd w:id="53"/>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44699145"/>
      <w:r>
        <w:t>Objet</w:t>
      </w:r>
      <w:bookmarkEnd w:id="54"/>
      <w:bookmarkEnd w:id="55"/>
      <w:r>
        <w:t xml:space="preserve"> du marché</w:t>
      </w:r>
      <w:bookmarkEnd w:id="56"/>
      <w:bookmarkEnd w:id="57"/>
    </w:p>
    <w:p w14:paraId="5C0B67C0" w14:textId="15AD995F" w:rsidR="00FB4DBA" w:rsidRPr="0016243A" w:rsidRDefault="00FB4DBA" w:rsidP="0016243A">
      <w:pPr>
        <w:pStyle w:val="Titrecouverture"/>
        <w:rPr>
          <w:rFonts w:ascii="Georgia" w:hAnsi="Georgia"/>
          <w:sz w:val="21"/>
        </w:rPr>
      </w:pPr>
      <w:r w:rsidRPr="00211A79">
        <w:rPr>
          <w:rFonts w:ascii="Georgia" w:hAnsi="Georgia"/>
          <w:sz w:val="21"/>
        </w:rPr>
        <w:t xml:space="preserve">Ce marché de services consiste en </w:t>
      </w:r>
      <w:r w:rsidR="002D1EFB" w:rsidRPr="00211A79">
        <w:rPr>
          <w:rFonts w:ascii="Georgia" w:hAnsi="Georgia"/>
          <w:sz w:val="21"/>
        </w:rPr>
        <w:t xml:space="preserve">des </w:t>
      </w:r>
      <w:r w:rsidR="0016243A" w:rsidRPr="00211A79">
        <w:rPr>
          <w:rFonts w:ascii="Georgia" w:hAnsi="Georgia"/>
          <w:sz w:val="21"/>
        </w:rPr>
        <w:t xml:space="preserve">prestations </w:t>
      </w:r>
      <w:r w:rsidR="0016243A">
        <w:rPr>
          <w:rFonts w:ascii="Georgia" w:hAnsi="Georgia"/>
          <w:sz w:val="21"/>
        </w:rPr>
        <w:t>d’</w:t>
      </w:r>
      <w:r w:rsidR="0016243A" w:rsidRPr="0016243A">
        <w:rPr>
          <w:rFonts w:ascii="Georgia" w:hAnsi="Georgia"/>
          <w:sz w:val="21"/>
        </w:rPr>
        <w:t>audit des comptes annuels du comité national de l’ITIE-RDC pour les Exercices 2021 et 2022 »</w:t>
      </w:r>
      <w:r w:rsidRPr="00211A79">
        <w:rPr>
          <w:rFonts w:ascii="Georgia" w:hAnsi="Georgia"/>
          <w:sz w:val="21"/>
        </w:rPr>
        <w:t>, conformément aux conditions du présent CSC.</w:t>
      </w:r>
    </w:p>
    <w:p w14:paraId="3C980BA3" w14:textId="19C0D4BA" w:rsidR="00FB4DBA" w:rsidRDefault="00FB4DBA" w:rsidP="00FB4DBA">
      <w:pPr>
        <w:pStyle w:val="Titre2"/>
        <w:keepLines w:val="0"/>
        <w:widowControl w:val="0"/>
        <w:tabs>
          <w:tab w:val="num" w:pos="576"/>
        </w:tabs>
        <w:suppressAutoHyphens/>
        <w:spacing w:after="240"/>
        <w:ind w:left="578" w:hanging="578"/>
      </w:pPr>
      <w:bookmarkStart w:id="58" w:name="_Toc144699146"/>
      <w:r>
        <w:t>Lots</w:t>
      </w:r>
      <w:r>
        <w:rPr>
          <w:rStyle w:val="Appelnotedebasdep"/>
        </w:rPr>
        <w:footnoteReference w:id="11"/>
      </w:r>
      <w:bookmarkEnd w:id="58"/>
    </w:p>
    <w:p w14:paraId="6883D5DB" w14:textId="64A54E8F" w:rsidR="00FB4DBA" w:rsidRPr="00C409C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16243A">
        <w:rPr>
          <w:rFonts w:ascii="Georgia" w:eastAsia="Calibri" w:hAnsi="Georgia" w:cs="Times New Roman"/>
          <w:color w:val="585756"/>
          <w:kern w:val="0"/>
          <w:sz w:val="21"/>
          <w:szCs w:val="22"/>
          <w:lang w:val="fr-BE"/>
        </w:rPr>
        <w:t>n’</w:t>
      </w:r>
      <w:r w:rsidRPr="00211A79">
        <w:rPr>
          <w:rFonts w:ascii="Georgia" w:eastAsia="Calibri" w:hAnsi="Georgia" w:cs="Times New Roman"/>
          <w:color w:val="585756"/>
          <w:kern w:val="0"/>
          <w:sz w:val="21"/>
          <w:szCs w:val="22"/>
          <w:lang w:val="fr-BE"/>
        </w:rPr>
        <w:t xml:space="preserve">est </w:t>
      </w:r>
      <w:r w:rsidR="0016243A">
        <w:rPr>
          <w:rFonts w:ascii="Georgia" w:eastAsia="Calibri" w:hAnsi="Georgia" w:cs="Times New Roman"/>
          <w:color w:val="585756"/>
          <w:kern w:val="0"/>
          <w:sz w:val="21"/>
          <w:szCs w:val="22"/>
          <w:lang w:val="fr-BE"/>
        </w:rPr>
        <w:t xml:space="preserve">pas </w:t>
      </w:r>
      <w:r w:rsidRPr="00211A79">
        <w:rPr>
          <w:rFonts w:ascii="Georgia" w:eastAsia="Calibri" w:hAnsi="Georgia" w:cs="Times New Roman"/>
          <w:color w:val="585756"/>
          <w:kern w:val="0"/>
          <w:sz w:val="21"/>
          <w:szCs w:val="22"/>
          <w:lang w:val="fr-BE"/>
        </w:rPr>
        <w:t xml:space="preserve">divisé en </w:t>
      </w:r>
      <w:r w:rsidR="0016243A">
        <w:rPr>
          <w:rFonts w:ascii="Georgia" w:eastAsia="Calibri" w:hAnsi="Georgia" w:cs="Times New Roman"/>
          <w:color w:val="585756"/>
          <w:kern w:val="0"/>
          <w:sz w:val="21"/>
          <w:szCs w:val="22"/>
          <w:lang w:val="fr-BE"/>
        </w:rPr>
        <w:t>lot</w:t>
      </w:r>
      <w:r w:rsidR="00C409CB">
        <w:rPr>
          <w:rFonts w:ascii="Georgia" w:eastAsia="Calibri" w:hAnsi="Georgia" w:cs="Times New Roman"/>
          <w:color w:val="585756"/>
          <w:kern w:val="0"/>
          <w:sz w:val="21"/>
          <w:szCs w:val="22"/>
          <w:lang w:val="fr-BE"/>
        </w:rPr>
        <w:t>s</w:t>
      </w:r>
    </w:p>
    <w:p w14:paraId="24B0129E" w14:textId="3E0ACAD2" w:rsidR="00FB4DBA" w:rsidRDefault="00FB4DBA" w:rsidP="00FB4DBA">
      <w:pPr>
        <w:pStyle w:val="Titre2"/>
        <w:keepLines w:val="0"/>
        <w:widowControl w:val="0"/>
        <w:tabs>
          <w:tab w:val="num" w:pos="576"/>
        </w:tabs>
        <w:suppressAutoHyphens/>
        <w:spacing w:after="240"/>
        <w:ind w:left="578" w:hanging="578"/>
      </w:pPr>
      <w:bookmarkStart w:id="59" w:name="_Toc144699147"/>
      <w:r>
        <w:t>Postes</w:t>
      </w:r>
      <w:bookmarkEnd w:id="59"/>
    </w:p>
    <w:p w14:paraId="5EF14B99" w14:textId="1F5928A0" w:rsidR="00FB4DBA" w:rsidRPr="00C409CB" w:rsidRDefault="00C409CB"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ce </w:t>
      </w:r>
      <w:proofErr w:type="gramStart"/>
      <w:r>
        <w:rPr>
          <w:rFonts w:ascii="Georgia" w:eastAsia="Calibri" w:hAnsi="Georgia" w:cs="Times New Roman"/>
          <w:color w:val="585756"/>
          <w:kern w:val="0"/>
          <w:sz w:val="21"/>
          <w:szCs w:val="22"/>
          <w:lang w:val="fr-BE"/>
        </w:rPr>
        <w:t>marché ,</w:t>
      </w:r>
      <w:proofErr w:type="gramEnd"/>
      <w:r>
        <w:rPr>
          <w:rFonts w:ascii="Georgia" w:eastAsia="Calibri" w:hAnsi="Georgia" w:cs="Times New Roman"/>
          <w:color w:val="585756"/>
          <w:kern w:val="0"/>
          <w:sz w:val="21"/>
          <w:szCs w:val="22"/>
          <w:lang w:val="fr-BE"/>
        </w:rPr>
        <w:t xml:space="preserve"> le(s) poste est (sont) repris dans le formulaire </w:t>
      </w:r>
      <w:r w:rsidR="00552532">
        <w:rPr>
          <w:rFonts w:ascii="Georgia" w:eastAsia="Calibri" w:hAnsi="Georgia" w:cs="Times New Roman"/>
          <w:color w:val="585756"/>
          <w:kern w:val="0"/>
          <w:sz w:val="21"/>
          <w:szCs w:val="22"/>
          <w:lang w:val="fr-BE"/>
        </w:rPr>
        <w:t>d’</w:t>
      </w:r>
      <w:r>
        <w:rPr>
          <w:rFonts w:ascii="Georgia" w:eastAsia="Calibri" w:hAnsi="Georgia" w:cs="Times New Roman"/>
          <w:color w:val="585756"/>
          <w:kern w:val="0"/>
          <w:sz w:val="21"/>
          <w:szCs w:val="22"/>
          <w:lang w:val="fr-BE"/>
        </w:rPr>
        <w:t>offre des prix</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60" w:name="_Toc364253069"/>
      <w:bookmarkStart w:id="61" w:name="_Toc144699148"/>
      <w:r>
        <w:t>Durée du marché</w:t>
      </w:r>
      <w:bookmarkEnd w:id="60"/>
      <w:r>
        <w:rPr>
          <w:rStyle w:val="Appelnotedebasdep"/>
        </w:rPr>
        <w:footnoteReference w:id="12"/>
      </w:r>
      <w:bookmarkEnd w:id="61"/>
    </w:p>
    <w:p w14:paraId="1260F247" w14:textId="73403F4F" w:rsidR="00FB4DBA" w:rsidRPr="0002206E" w:rsidRDefault="00FB4DBA" w:rsidP="00FB4DBA">
      <w:pPr>
        <w:pStyle w:val="Corpsdetexte"/>
        <w:rPr>
          <w:rFonts w:ascii="Georgia" w:eastAsia="Calibri" w:hAnsi="Georgia" w:cs="Times New Roman"/>
          <w:color w:val="585756"/>
          <w:kern w:val="0"/>
          <w:sz w:val="21"/>
          <w:szCs w:val="22"/>
        </w:rPr>
      </w:pPr>
      <w:r w:rsidRPr="00C409CB">
        <w:rPr>
          <w:rFonts w:ascii="Georgia" w:eastAsia="Calibri" w:hAnsi="Georgia" w:cs="Times New Roman"/>
          <w:color w:val="585756"/>
          <w:kern w:val="0"/>
          <w:sz w:val="21"/>
          <w:szCs w:val="22"/>
        </w:rPr>
        <w:t>Durée fixe</w:t>
      </w:r>
      <w:r w:rsidR="00C409CB" w:rsidRPr="00C409CB">
        <w:rPr>
          <w:rFonts w:ascii="Georgia" w:eastAsia="Calibri" w:hAnsi="Georgia" w:cs="Times New Roman"/>
          <w:color w:val="585756"/>
          <w:kern w:val="0"/>
          <w:sz w:val="21"/>
          <w:szCs w:val="22"/>
        </w:rPr>
        <w:t>.</w:t>
      </w:r>
      <w:r w:rsidR="00C409CB">
        <w:rPr>
          <w:rFonts w:ascii="Georgia" w:eastAsia="Calibri" w:hAnsi="Georgia" w:cs="Times New Roman"/>
          <w:color w:val="585756"/>
          <w:kern w:val="0"/>
          <w:sz w:val="21"/>
          <w:szCs w:val="22"/>
        </w:rPr>
        <w:t xml:space="preserve"> </w:t>
      </w:r>
      <w:r w:rsidRPr="00211A79">
        <w:rPr>
          <w:rFonts w:ascii="Georgia" w:eastAsia="Calibri" w:hAnsi="Georgia" w:cs="Times New Roman"/>
          <w:color w:val="585756"/>
          <w:kern w:val="0"/>
          <w:sz w:val="21"/>
          <w:szCs w:val="22"/>
          <w:lang w:val="fr-BE"/>
        </w:rPr>
        <w:t>Le marché débute</w:t>
      </w:r>
      <w:r w:rsidR="00C409C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à </w:t>
      </w:r>
      <w:proofErr w:type="gramStart"/>
      <w:r w:rsidRPr="00211A79">
        <w:rPr>
          <w:rFonts w:ascii="Georgia" w:eastAsia="Calibri" w:hAnsi="Georgia" w:cs="Times New Roman"/>
          <w:color w:val="585756"/>
          <w:kern w:val="0"/>
          <w:sz w:val="21"/>
          <w:szCs w:val="22"/>
          <w:lang w:val="fr-BE"/>
        </w:rPr>
        <w:t xml:space="preserve">la </w:t>
      </w:r>
      <w:r w:rsidR="00552532">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notification</w:t>
      </w:r>
      <w:proofErr w:type="gramEnd"/>
      <w:r w:rsidRPr="00211A79">
        <w:rPr>
          <w:rFonts w:ascii="Georgia" w:eastAsia="Calibri" w:hAnsi="Georgia" w:cs="Times New Roman"/>
          <w:color w:val="585756"/>
          <w:kern w:val="0"/>
          <w:sz w:val="21"/>
          <w:szCs w:val="22"/>
          <w:lang w:val="fr-BE"/>
        </w:rPr>
        <w:t xml:space="preserve"> de l’attribution</w:t>
      </w:r>
      <w:r w:rsidR="00C409C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et a une durée de </w:t>
      </w:r>
      <w:r w:rsidR="00C409CB">
        <w:rPr>
          <w:rFonts w:ascii="Georgia" w:eastAsia="Calibri" w:hAnsi="Georgia" w:cs="Times New Roman"/>
          <w:color w:val="585756"/>
          <w:kern w:val="0"/>
          <w:sz w:val="21"/>
          <w:szCs w:val="22"/>
          <w:lang w:val="fr-BE"/>
        </w:rPr>
        <w:t>3 mois soit 90 jours calendrier</w:t>
      </w:r>
      <w:r w:rsidRPr="00211A79">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62" w:name="_Toc257039826"/>
      <w:bookmarkStart w:id="63" w:name="_Toc366161158"/>
      <w:bookmarkStart w:id="64" w:name="_Toc144699149"/>
      <w:r w:rsidRPr="004846FD">
        <w:t xml:space="preserve">Variantes </w:t>
      </w:r>
      <w:r w:rsidRPr="000A1A2D">
        <w:t>♣</w:t>
      </w:r>
      <w:bookmarkEnd w:id="62"/>
      <w:bookmarkEnd w:id="63"/>
      <w:bookmarkEnd w:id="64"/>
      <w:r w:rsidRPr="000A1A2D">
        <w:t xml:space="preserve"> </w:t>
      </w:r>
    </w:p>
    <w:p w14:paraId="36F6FF4C" w14:textId="0B305DE4" w:rsidR="00FB4DBA" w:rsidRPr="00211A79" w:rsidRDefault="00C409CB"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variantes ne sont pas admises.</w:t>
      </w:r>
    </w:p>
    <w:p w14:paraId="5D6F0C99" w14:textId="77777777" w:rsidR="00FB4DBA" w:rsidRPr="00346006" w:rsidRDefault="00FB4DBA" w:rsidP="00FB4DBA">
      <w:pPr>
        <w:pStyle w:val="Corpsdetexte"/>
      </w:pPr>
      <w:bookmarkStart w:id="65" w:name="_Ref264270773"/>
    </w:p>
    <w:p w14:paraId="08433675" w14:textId="09D1B0FB" w:rsidR="00FB4DBA" w:rsidRDefault="00FB4DBA" w:rsidP="00FB4DBA">
      <w:pPr>
        <w:pStyle w:val="Titre2"/>
        <w:keepLines w:val="0"/>
        <w:widowControl w:val="0"/>
        <w:tabs>
          <w:tab w:val="num" w:pos="576"/>
        </w:tabs>
        <w:suppressAutoHyphens/>
        <w:spacing w:after="240"/>
        <w:ind w:left="578" w:hanging="578"/>
      </w:pPr>
      <w:bookmarkStart w:id="66" w:name="_Toc364253071"/>
      <w:r>
        <w:lastRenderedPageBreak/>
        <w:t xml:space="preserve"> </w:t>
      </w:r>
      <w:bookmarkStart w:id="67" w:name="_Toc144699150"/>
      <w:r>
        <w:t>Option</w:t>
      </w:r>
      <w:bookmarkEnd w:id="65"/>
      <w:bookmarkEnd w:id="66"/>
      <w:r w:rsidR="0002206E">
        <w:t>s</w:t>
      </w:r>
      <w:bookmarkEnd w:id="67"/>
    </w:p>
    <w:p w14:paraId="03973764" w14:textId="6F1E4BD6" w:rsidR="00C409CB" w:rsidRPr="00C409CB" w:rsidRDefault="00C409CB" w:rsidP="00C409CB">
      <w:proofErr w:type="gramStart"/>
      <w:r>
        <w:t xml:space="preserve">Les </w:t>
      </w:r>
      <w:r w:rsidR="0002206E">
        <w:t xml:space="preserve"> options</w:t>
      </w:r>
      <w:proofErr w:type="gramEnd"/>
      <w:r w:rsidR="0002206E">
        <w:t xml:space="preserve"> ne sont pas </w:t>
      </w:r>
      <w:r w:rsidR="0098147D">
        <w:t>admises</w:t>
      </w:r>
    </w:p>
    <w:p w14:paraId="0831D30A" w14:textId="6301812D" w:rsidR="0002206E" w:rsidRPr="0002206E" w:rsidRDefault="00FB4DBA" w:rsidP="00FB4DBA">
      <w:pPr>
        <w:pStyle w:val="Titre2"/>
        <w:keepLines w:val="0"/>
        <w:widowControl w:val="0"/>
        <w:tabs>
          <w:tab w:val="num" w:pos="576"/>
        </w:tabs>
        <w:suppressAutoHyphens/>
        <w:spacing w:after="240"/>
        <w:ind w:left="578" w:hanging="578"/>
      </w:pPr>
      <w:bookmarkStart w:id="68" w:name="_Toc364253072"/>
      <w:bookmarkStart w:id="69" w:name="_Toc144699151"/>
      <w:r>
        <w:t>Quantité</w:t>
      </w:r>
      <w:bookmarkEnd w:id="68"/>
      <w:bookmarkEnd w:id="69"/>
    </w:p>
    <w:p w14:paraId="57F07EB9" w14:textId="3CFA899C" w:rsidR="0002206E" w:rsidRDefault="0002206E"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ce marché, les quantités sont </w:t>
      </w:r>
      <w:r w:rsidR="0098147D">
        <w:rPr>
          <w:rFonts w:ascii="Georgia" w:eastAsia="Calibri" w:hAnsi="Georgia" w:cs="Times New Roman"/>
          <w:color w:val="585756"/>
          <w:kern w:val="0"/>
          <w:sz w:val="21"/>
          <w:szCs w:val="22"/>
          <w:lang w:val="fr-BE"/>
        </w:rPr>
        <w:t>définies</w:t>
      </w:r>
      <w:r>
        <w:rPr>
          <w:rFonts w:ascii="Georgia" w:eastAsia="Calibri" w:hAnsi="Georgia" w:cs="Times New Roman"/>
          <w:color w:val="585756"/>
          <w:kern w:val="0"/>
          <w:sz w:val="21"/>
          <w:szCs w:val="22"/>
          <w:lang w:val="fr-BE"/>
        </w:rPr>
        <w:t xml:space="preserve"> à titre </w:t>
      </w:r>
      <w:r w:rsidR="005210A5">
        <w:rPr>
          <w:rFonts w:ascii="Georgia" w:eastAsia="Calibri" w:hAnsi="Georgia" w:cs="Times New Roman"/>
          <w:color w:val="585756"/>
          <w:kern w:val="0"/>
          <w:sz w:val="21"/>
          <w:szCs w:val="22"/>
          <w:lang w:val="fr-BE"/>
        </w:rPr>
        <w:t>indicatif en</w:t>
      </w:r>
      <w:r>
        <w:rPr>
          <w:rFonts w:ascii="Georgia" w:eastAsia="Calibri" w:hAnsi="Georgia" w:cs="Times New Roman"/>
          <w:color w:val="585756"/>
          <w:kern w:val="0"/>
          <w:sz w:val="21"/>
          <w:szCs w:val="22"/>
          <w:lang w:val="fr-BE"/>
        </w:rPr>
        <w:t xml:space="preserve"> Homme jours (HJ) pour permettre au soumissionnaire déposer son offre comparable à celle de la concurrence. Le prix étant global et forfaitaire, toute différence éventuelle entre le nombre d’HJ prévu et celui réellement presté ne sera pas de nature à modifier le prix qui reste inchangé quel que soit le nombre d’HJ presté.</w:t>
      </w:r>
    </w:p>
    <w:p w14:paraId="7406E50E" w14:textId="77777777" w:rsidR="00D07797" w:rsidRDefault="00D07797" w:rsidP="00C72B94">
      <w:pPr>
        <w:pStyle w:val="Titre1"/>
        <w:numPr>
          <w:ilvl w:val="0"/>
          <w:numId w:val="5"/>
        </w:numPr>
      </w:pPr>
      <w:bookmarkStart w:id="70" w:name="_Toc144699152"/>
      <w:r>
        <w:t>Objet et portée du marché</w:t>
      </w:r>
      <w:bookmarkEnd w:id="7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71" w:name="_Toc364253074"/>
      <w:bookmarkStart w:id="72" w:name="_Toc144699153"/>
      <w:bookmarkStart w:id="73" w:name="_Ref224472424"/>
      <w:bookmarkStart w:id="74" w:name="_Ref224472425"/>
      <w:bookmarkStart w:id="75" w:name="_Toc257380481"/>
      <w:bookmarkStart w:id="76" w:name="_Toc260134198"/>
      <w:r>
        <w:t>Mode de passation</w:t>
      </w:r>
      <w:bookmarkEnd w:id="71"/>
      <w:bookmarkEnd w:id="72"/>
    </w:p>
    <w:p w14:paraId="2C6AB17B" w14:textId="5A62C50A"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r w:rsidR="002E3424">
        <w:rPr>
          <w:rFonts w:ascii="Georgia" w:eastAsia="Calibri" w:hAnsi="Georgia" w:cs="Times New Roman"/>
          <w:color w:val="585756"/>
          <w:kern w:val="0"/>
          <w:sz w:val="21"/>
          <w:szCs w:val="22"/>
          <w:lang w:val="fr-BE"/>
        </w:rPr>
        <w:t xml:space="preserve"> étant donné que l’estimation est </w:t>
      </w:r>
      <w:r w:rsidR="00552532">
        <w:rPr>
          <w:rFonts w:ascii="Georgia" w:eastAsia="Calibri" w:hAnsi="Georgia" w:cs="Times New Roman"/>
          <w:color w:val="585756"/>
          <w:kern w:val="0"/>
          <w:sz w:val="21"/>
          <w:szCs w:val="22"/>
          <w:lang w:val="fr-BE"/>
        </w:rPr>
        <w:t>inférieure</w:t>
      </w:r>
      <w:r w:rsidR="002E3424">
        <w:rPr>
          <w:rFonts w:ascii="Georgia" w:eastAsia="Calibri" w:hAnsi="Georgia" w:cs="Times New Roman"/>
          <w:color w:val="585756"/>
          <w:kern w:val="0"/>
          <w:sz w:val="21"/>
          <w:szCs w:val="22"/>
          <w:lang w:val="fr-BE"/>
        </w:rPr>
        <w:t xml:space="preserve"> </w:t>
      </w:r>
      <w:r w:rsidR="00552532">
        <w:rPr>
          <w:rFonts w:ascii="Georgia" w:eastAsia="Calibri" w:hAnsi="Georgia" w:cs="Times New Roman"/>
          <w:color w:val="585756"/>
          <w:kern w:val="0"/>
          <w:sz w:val="21"/>
          <w:szCs w:val="22"/>
          <w:lang w:val="fr-BE"/>
        </w:rPr>
        <w:t xml:space="preserve">à la limite de publication en PNSPP qui est de </w:t>
      </w:r>
      <w:r w:rsidR="002E3424">
        <w:rPr>
          <w:rFonts w:ascii="Georgia" w:eastAsia="Calibri" w:hAnsi="Georgia" w:cs="Times New Roman"/>
          <w:color w:val="585756"/>
          <w:kern w:val="0"/>
          <w:sz w:val="21"/>
          <w:szCs w:val="22"/>
          <w:lang w:val="fr-BE"/>
        </w:rPr>
        <w:t>140000euros.</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7" w:name="_Toc364253075"/>
      <w:bookmarkStart w:id="78" w:name="_Toc144699154"/>
      <w:r w:rsidRPr="0025515F">
        <w:t>Public</w:t>
      </w:r>
      <w:r>
        <w:t>ation</w:t>
      </w:r>
      <w:r w:rsidRPr="0025515F">
        <w:t xml:space="preserve"> officieuse</w:t>
      </w:r>
      <w:bookmarkEnd w:id="77"/>
      <w:bookmarkEnd w:id="78"/>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9" w:name="_Toc144699155"/>
      <w:r w:rsidRPr="002067EE">
        <w:t>Public</w:t>
      </w:r>
      <w:r>
        <w:t>ation</w:t>
      </w:r>
      <w:r w:rsidRPr="002067EE">
        <w:t xml:space="preserve"> </w:t>
      </w:r>
      <w:r w:rsidR="0021448A">
        <w:t>Enabel</w:t>
      </w:r>
      <w:bookmarkEnd w:id="79"/>
    </w:p>
    <w:p w14:paraId="34DF2B95" w14:textId="39B8BCC3"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AA12E8">
        <w:rPr>
          <w:rFonts w:ascii="Georgia" w:hAnsi="Georgia"/>
          <w:sz w:val="21"/>
          <w:szCs w:val="21"/>
          <w:highlight w:val="yellow"/>
        </w:rPr>
        <w:t xml:space="preserve">4 </w:t>
      </w:r>
      <w:r w:rsidR="002E3424" w:rsidRPr="002E3424">
        <w:rPr>
          <w:rFonts w:ascii="Georgia" w:hAnsi="Georgia"/>
          <w:sz w:val="21"/>
          <w:szCs w:val="21"/>
          <w:highlight w:val="yellow"/>
        </w:rPr>
        <w:t>Septembre au 1</w:t>
      </w:r>
      <w:r w:rsidR="00AA12E8">
        <w:rPr>
          <w:rFonts w:ascii="Georgia" w:hAnsi="Georgia"/>
          <w:sz w:val="21"/>
          <w:szCs w:val="21"/>
          <w:highlight w:val="yellow"/>
        </w:rPr>
        <w:t>8</w:t>
      </w:r>
      <w:r w:rsidR="002E3424" w:rsidRPr="002E3424">
        <w:rPr>
          <w:rFonts w:ascii="Georgia" w:hAnsi="Georgia"/>
          <w:sz w:val="21"/>
          <w:szCs w:val="21"/>
          <w:highlight w:val="yellow"/>
        </w:rPr>
        <w:t xml:space="preserve"> septembre 2023 à 1</w:t>
      </w:r>
      <w:r w:rsidR="00EB2523">
        <w:rPr>
          <w:rFonts w:ascii="Georgia" w:hAnsi="Georgia"/>
          <w:sz w:val="21"/>
          <w:szCs w:val="21"/>
          <w:highlight w:val="yellow"/>
        </w:rPr>
        <w:t>2</w:t>
      </w:r>
      <w:r w:rsidR="002E3424" w:rsidRPr="002E3424">
        <w:rPr>
          <w:rFonts w:ascii="Georgia" w:hAnsi="Georgia"/>
          <w:sz w:val="21"/>
          <w:szCs w:val="21"/>
          <w:highlight w:val="yellow"/>
        </w:rPr>
        <w:t>heures de Kinshasa</w:t>
      </w:r>
      <w:r w:rsidR="002E3424">
        <w:rPr>
          <w:rFonts w:ascii="Georgia" w:hAnsi="Georgia"/>
          <w:sz w:val="21"/>
          <w:szCs w:val="21"/>
        </w:rPr>
        <w:t>.</w:t>
      </w:r>
      <w:r w:rsidR="00632933">
        <w:rPr>
          <w:rFonts w:ascii="Georgia" w:hAnsi="Georgia"/>
          <w:sz w:val="21"/>
          <w:szCs w:val="21"/>
        </w:rPr>
        <w:t xml:space="preserve"> Cette publication constitue une invitation à soumettre une offre.</w:t>
      </w:r>
    </w:p>
    <w:p w14:paraId="2993561A" w14:textId="77777777" w:rsidR="002E3424" w:rsidRPr="00C9652C" w:rsidRDefault="002E3424" w:rsidP="002E3424">
      <w:pPr>
        <w:pStyle w:val="Corpsdetexte"/>
        <w:rPr>
          <w:rFonts w:ascii="Georgia" w:eastAsia="Calibri" w:hAnsi="Georgia" w:cs="Times New Roman"/>
          <w:color w:val="585756"/>
          <w:kern w:val="0"/>
          <w:sz w:val="21"/>
          <w:szCs w:val="22"/>
          <w:lang w:val="fr-BE"/>
        </w:rPr>
      </w:pPr>
      <w:bookmarkStart w:id="80" w:name="_Toc364253076"/>
      <w:r w:rsidRPr="002D2C70">
        <w:rPr>
          <w:rFonts w:ascii="Georgia" w:eastAsia="Calibri" w:hAnsi="Georgia" w:cs="Times New Roman"/>
          <w:color w:val="585756"/>
          <w:kern w:val="0"/>
          <w:sz w:val="21"/>
          <w:szCs w:val="22"/>
          <w:lang w:val="fr-BE"/>
        </w:rPr>
        <w:t>Le CSC de ce marché sera aussi partagé aux soumissionnaires potentiels pré-identifiés lors de la prospection faites par le projet.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81" w:name="_Toc144699156"/>
      <w:r>
        <w:t>Information</w:t>
      </w:r>
      <w:bookmarkEnd w:id="73"/>
      <w:bookmarkEnd w:id="74"/>
      <w:bookmarkEnd w:id="75"/>
      <w:bookmarkEnd w:id="76"/>
      <w:bookmarkEnd w:id="80"/>
      <w:bookmarkEnd w:id="81"/>
    </w:p>
    <w:p w14:paraId="47DAD96C" w14:textId="7E47B42E" w:rsidR="002E3424"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2E3424">
        <w:rPr>
          <w:rFonts w:ascii="Georgia" w:eastAsia="Calibri" w:hAnsi="Georgia"/>
          <w:color w:val="585756"/>
          <w:sz w:val="21"/>
          <w:szCs w:val="22"/>
        </w:rPr>
        <w:t xml:space="preserve"> la cellule de Marchés Publics au </w:t>
      </w:r>
      <w:hyperlink r:id="rId17" w:history="1">
        <w:r w:rsidR="002E3424" w:rsidRPr="00D325C7">
          <w:rPr>
            <w:rStyle w:val="Lienhypertexte"/>
            <w:rFonts w:ascii="Georgia" w:eastAsia="Calibri" w:hAnsi="Georgia"/>
            <w:sz w:val="21"/>
            <w:szCs w:val="22"/>
          </w:rPr>
          <w:t>procurement.cod@enabel.be</w:t>
        </w:r>
      </w:hyperlink>
    </w:p>
    <w:p w14:paraId="188AB31E" w14:textId="347D596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1CB3DAA3" w:rsidR="009804F1" w:rsidRPr="002E3424" w:rsidRDefault="009804F1" w:rsidP="002E3424">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2E3424">
        <w:rPr>
          <w:rFonts w:ascii="Georgia" w:eastAsia="Calibri" w:hAnsi="Georgia"/>
          <w:color w:val="585756"/>
          <w:sz w:val="21"/>
          <w:szCs w:val="22"/>
        </w:rPr>
        <w:t xml:space="preserve">6 </w:t>
      </w:r>
      <w:r w:rsidRPr="00211A79">
        <w:rPr>
          <w:rFonts w:ascii="Georgia" w:eastAsia="Calibri" w:hAnsi="Georgia"/>
          <w:color w:val="585756"/>
          <w:sz w:val="21"/>
          <w:szCs w:val="22"/>
        </w:rPr>
        <w:t xml:space="preserve">inclus, les candidats-soumissionnaires peuvent poser des questions concernant le CSC et le marché. Les questions seront posées par écrit à </w:t>
      </w:r>
      <w:r w:rsidR="002E3424">
        <w:rPr>
          <w:rFonts w:ascii="Georgia" w:eastAsia="Calibri" w:hAnsi="Georgia"/>
          <w:color w:val="585756"/>
          <w:sz w:val="21"/>
          <w:szCs w:val="22"/>
        </w:rPr>
        <w:t>l’adresse suivante : procurement.cod</w:t>
      </w:r>
      <w:r w:rsidR="0021448A">
        <w:rPr>
          <w:rFonts w:ascii="Georgia" w:eastAsia="Calibri" w:hAnsi="Georgia"/>
          <w:color w:val="585756"/>
          <w:sz w:val="21"/>
          <w:szCs w:val="22"/>
        </w:rPr>
        <w:t>@enabel.be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2E3424">
        <w:rPr>
          <w:rFonts w:ascii="Georgia" w:eastAsia="Calibri" w:hAnsi="Georgia"/>
          <w:color w:val="585756"/>
          <w:sz w:val="21"/>
          <w:szCs w:val="22"/>
        </w:rPr>
        <w:t xml:space="preserve">moment où </w:t>
      </w:r>
      <w:r w:rsidR="002E3424" w:rsidRPr="00211A79">
        <w:rPr>
          <w:rFonts w:ascii="Georgia" w:eastAsia="Calibri" w:hAnsi="Georgia"/>
          <w:color w:val="585756"/>
          <w:sz w:val="21"/>
          <w:szCs w:val="22"/>
        </w:rPr>
        <w:t>les</w:t>
      </w:r>
      <w:r w:rsidR="002E3424">
        <w:rPr>
          <w:rFonts w:ascii="Georgia" w:eastAsia="Calibri" w:hAnsi="Georgia"/>
          <w:color w:val="585756"/>
          <w:sz w:val="21"/>
          <w:szCs w:val="22"/>
        </w:rPr>
        <w:t xml:space="preserve"> questions seront posées 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74DC1BD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4BD5ECB7" w:rsidR="009804F1" w:rsidRPr="00900075" w:rsidRDefault="002E3424" w:rsidP="00C72B94">
      <w:pPr>
        <w:pStyle w:val="BTCtextCTB"/>
        <w:numPr>
          <w:ilvl w:val="0"/>
          <w:numId w:val="6"/>
        </w:numPr>
        <w:rPr>
          <w:rFonts w:ascii="Georgia" w:eastAsia="Calibri" w:hAnsi="Georgia"/>
          <w:color w:val="585756"/>
          <w:sz w:val="21"/>
          <w:szCs w:val="22"/>
          <w:lang w:val="en-US"/>
        </w:rPr>
      </w:pPr>
      <w:r>
        <w:rPr>
          <w:rFonts w:ascii="Georgia" w:eastAsia="Calibri" w:hAnsi="Georgia"/>
          <w:color w:val="585756"/>
          <w:sz w:val="21"/>
          <w:szCs w:val="22"/>
          <w:lang w:val="en-US"/>
        </w:rPr>
        <w:t>www.enabel.be</w:t>
      </w:r>
    </w:p>
    <w:p w14:paraId="631E436A" w14:textId="77777777" w:rsidR="009804F1" w:rsidRPr="00900075" w:rsidRDefault="009804F1" w:rsidP="009804F1">
      <w:pPr>
        <w:autoSpaceDE w:val="0"/>
        <w:autoSpaceDN w:val="0"/>
        <w:adjustRightInd w:val="0"/>
        <w:jc w:val="both"/>
        <w:rPr>
          <w:lang w:val="en-US"/>
        </w:rPr>
      </w:pP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lastRenderedPageBreak/>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82" w:name="_Toc260134199"/>
      <w:bookmarkStart w:id="83" w:name="_Toc364253077"/>
      <w:bookmarkStart w:id="84" w:name="_Toc144699157"/>
      <w:r>
        <w:t>Offre</w:t>
      </w:r>
      <w:bookmarkEnd w:id="82"/>
      <w:bookmarkEnd w:id="83"/>
      <w:bookmarkEnd w:id="84"/>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5" w:name="_Toc144699158"/>
      <w:bookmarkStart w:id="86" w:name="_Toc257380483"/>
      <w:bookmarkStart w:id="87" w:name="_Toc260134200"/>
      <w:r w:rsidRPr="0026251B">
        <w:t xml:space="preserve">Données à </w:t>
      </w:r>
      <w:proofErr w:type="spellStart"/>
      <w:r w:rsidRPr="0026251B">
        <w:t>mentionner</w:t>
      </w:r>
      <w:proofErr w:type="spellEnd"/>
      <w:r w:rsidRPr="0026251B">
        <w:t xml:space="preserve"> dans </w:t>
      </w:r>
      <w:proofErr w:type="spellStart"/>
      <w:r w:rsidRPr="0026251B">
        <w:t>l’offre</w:t>
      </w:r>
      <w:bookmarkEnd w:id="85"/>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54B68C9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CF61D6">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A3B9214" w:rsidR="009804F1" w:rsidRPr="00CF61D6"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F61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88" w:name="_Toc144699159"/>
      <w:r w:rsidRPr="00CF61D6">
        <w:rPr>
          <w:lang w:val="fr-FR"/>
        </w:rPr>
        <w:t>Durée de validité de l’offre</w:t>
      </w:r>
      <w:bookmarkEnd w:id="88"/>
    </w:p>
    <w:p w14:paraId="64C42FF0" w14:textId="74C213F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w:t>
      </w:r>
      <w:proofErr w:type="gramStart"/>
      <w:r w:rsidRPr="00211A79">
        <w:rPr>
          <w:rFonts w:ascii="Georgia" w:eastAsia="Calibri" w:hAnsi="Georgia" w:cs="Times New Roman"/>
          <w:color w:val="585756"/>
          <w:kern w:val="0"/>
          <w:sz w:val="21"/>
          <w:szCs w:val="22"/>
          <w:lang w:val="fr-BE"/>
        </w:rPr>
        <w:t xml:space="preserve">de </w:t>
      </w:r>
      <w:r w:rsidR="00791C2D">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90</w:t>
      </w:r>
      <w:proofErr w:type="gramEnd"/>
      <w:r w:rsidR="00791C2D">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 jours calendrier, à compter de la date limite de réception. </w:t>
      </w:r>
    </w:p>
    <w:p w14:paraId="4BAB3101" w14:textId="5A600FB0" w:rsidR="009804F1" w:rsidRPr="00CF61D6"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9" w:name="_Toc257380485"/>
      <w:bookmarkStart w:id="90" w:name="_Toc260134204"/>
      <w:bookmarkStart w:id="91" w:name="_Toc144699160"/>
      <w:bookmarkEnd w:id="86"/>
      <w:bookmarkEnd w:id="87"/>
      <w:proofErr w:type="spellStart"/>
      <w:r>
        <w:t>Détermination</w:t>
      </w:r>
      <w:proofErr w:type="spellEnd"/>
      <w:r>
        <w:t xml:space="preserve"> des prix</w:t>
      </w:r>
      <w:bookmarkEnd w:id="89"/>
      <w:bookmarkEnd w:id="90"/>
      <w:bookmarkEnd w:id="9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02C99A22"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92" w:name="_Toc144699161"/>
      <w:r>
        <w:t>Eléments inclus dans le prix</w:t>
      </w:r>
      <w:bookmarkEnd w:id="92"/>
    </w:p>
    <w:p w14:paraId="0E18D140" w14:textId="0D20C4B0"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Default="009804F1" w:rsidP="00791C2D">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lastRenderedPageBreak/>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29616929"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le</w:t>
      </w:r>
      <w:proofErr w:type="gramEnd"/>
      <w:r w:rsidRPr="00791C2D">
        <w:rPr>
          <w:rFonts w:ascii="Georgia" w:eastAsia="Calibri" w:hAnsi="Georgia" w:cs="Times New Roman"/>
          <w:color w:val="585756"/>
          <w:kern w:val="0"/>
          <w:sz w:val="21"/>
          <w:szCs w:val="22"/>
          <w:lang w:val="fr-BE"/>
        </w:rPr>
        <w:t xml:space="preserve"> déplacement, le transport et l'assurance;</w:t>
      </w:r>
    </w:p>
    <w:p w14:paraId="190C0790"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la</w:t>
      </w:r>
      <w:proofErr w:type="gramEnd"/>
      <w:r w:rsidRPr="00791C2D">
        <w:rPr>
          <w:rFonts w:ascii="Georgia" w:eastAsia="Calibri" w:hAnsi="Georgia" w:cs="Times New Roman"/>
          <w:color w:val="585756"/>
          <w:kern w:val="0"/>
          <w:sz w:val="21"/>
          <w:szCs w:val="22"/>
          <w:lang w:val="fr-BE"/>
        </w:rPr>
        <w:t xml:space="preserve"> documentation relative aux services;</w:t>
      </w:r>
    </w:p>
    <w:p w14:paraId="7D8AE598"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la</w:t>
      </w:r>
      <w:proofErr w:type="gramEnd"/>
      <w:r w:rsidRPr="00791C2D">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les</w:t>
      </w:r>
      <w:proofErr w:type="gramEnd"/>
      <w:r w:rsidRPr="00791C2D">
        <w:rPr>
          <w:rFonts w:ascii="Georgia" w:eastAsia="Calibri" w:hAnsi="Georgia" w:cs="Times New Roman"/>
          <w:color w:val="585756"/>
          <w:kern w:val="0"/>
          <w:sz w:val="21"/>
          <w:szCs w:val="22"/>
          <w:lang w:val="fr-BE"/>
        </w:rPr>
        <w:t xml:space="preserve"> emballages;</w:t>
      </w:r>
    </w:p>
    <w:p w14:paraId="3B33021B"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la</w:t>
      </w:r>
      <w:proofErr w:type="gramEnd"/>
      <w:r w:rsidRPr="00791C2D">
        <w:rPr>
          <w:rFonts w:ascii="Georgia" w:eastAsia="Calibri" w:hAnsi="Georgia" w:cs="Times New Roman"/>
          <w:color w:val="585756"/>
          <w:kern w:val="0"/>
          <w:sz w:val="21"/>
          <w:szCs w:val="22"/>
          <w:lang w:val="fr-BE"/>
        </w:rPr>
        <w:t xml:space="preserve"> formation nécessaire à l'usage;</w:t>
      </w:r>
    </w:p>
    <w:p w14:paraId="2EE4AC50"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proofErr w:type="gramStart"/>
      <w:r w:rsidRPr="00791C2D">
        <w:rPr>
          <w:rFonts w:ascii="Georgia" w:eastAsia="Calibri" w:hAnsi="Georgia" w:cs="Times New Roman"/>
          <w:color w:val="585756"/>
          <w:kern w:val="0"/>
          <w:sz w:val="21"/>
          <w:szCs w:val="22"/>
          <w:lang w:val="fr-BE"/>
        </w:rPr>
        <w:t>le</w:t>
      </w:r>
      <w:proofErr w:type="gramEnd"/>
      <w:r w:rsidRPr="00791C2D">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Default="009804F1" w:rsidP="00F27842">
      <w:pPr>
        <w:pStyle w:val="Corpsdetexte"/>
        <w:numPr>
          <w:ilvl w:val="0"/>
          <w:numId w:val="54"/>
        </w:numPr>
        <w:rPr>
          <w:rFonts w:ascii="Georgia" w:eastAsia="Calibri" w:hAnsi="Georgia" w:cs="Times New Roman"/>
          <w:color w:val="585756"/>
          <w:kern w:val="0"/>
          <w:sz w:val="21"/>
          <w:szCs w:val="22"/>
          <w:lang w:val="fr-BE"/>
        </w:rPr>
      </w:pPr>
      <w:r w:rsidRPr="00791C2D">
        <w:rPr>
          <w:rFonts w:ascii="Georgia" w:eastAsia="Calibri" w:hAnsi="Georgia" w:cs="Times New Roman"/>
          <w:color w:val="585756"/>
          <w:kern w:val="0"/>
          <w:sz w:val="21"/>
          <w:szCs w:val="22"/>
          <w:lang w:val="fr-BE"/>
        </w:rPr>
        <w:t>Les droits de douane et d’accise relatifs au matériel et aux produits utilisés ;</w:t>
      </w:r>
    </w:p>
    <w:p w14:paraId="6890FC1C" w14:textId="33DC9291" w:rsidR="009804F1" w:rsidRPr="00791C2D" w:rsidRDefault="00791C2D" w:rsidP="00791C2D">
      <w:pPr>
        <w:pStyle w:val="Corpsdetexte"/>
        <w:rPr>
          <w:rFonts w:ascii="Georgia" w:eastAsia="Calibri" w:hAnsi="Georgia" w:cs="Times New Roman"/>
          <w:color w:val="585756"/>
          <w:kern w:val="0"/>
          <w:sz w:val="21"/>
          <w:szCs w:val="22"/>
          <w:lang w:val="fr-BE"/>
        </w:rPr>
      </w:pPr>
      <w:r w:rsidRPr="006B32D6">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r>
        <w:rPr>
          <w:rFonts w:ascii="Georgia" w:eastAsia="Calibri" w:hAnsi="Georgia" w:cstheme="minorHAnsi"/>
          <w:color w:val="595959" w:themeColor="text1" w:themeTint="A6"/>
          <w:kern w:val="0"/>
          <w:sz w:val="22"/>
          <w:szCs w:val="22"/>
          <w:lang w:val="fr-BE"/>
        </w:rPr>
        <w:t>.</w:t>
      </w:r>
    </w:p>
    <w:p w14:paraId="1D249C95"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3" w:name="_Toc257380488"/>
      <w:bookmarkStart w:id="94" w:name="_Toc260134207"/>
      <w:bookmarkStart w:id="95" w:name="_Toc144699162"/>
      <w:r w:rsidRPr="00AA6400">
        <w:t xml:space="preserve">Introduction des </w:t>
      </w:r>
      <w:proofErr w:type="spellStart"/>
      <w:r w:rsidRPr="00AA6400">
        <w:t>offres</w:t>
      </w:r>
      <w:bookmarkEnd w:id="93"/>
      <w:bookmarkEnd w:id="94"/>
      <w:bookmarkEnd w:id="95"/>
      <w:proofErr w:type="spellEnd"/>
    </w:p>
    <w:p w14:paraId="06BA6EA6" w14:textId="77777777" w:rsidR="00791C2D" w:rsidRPr="00211A79" w:rsidRDefault="00791C2D" w:rsidP="00791C2D">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w:t>
      </w:r>
      <w:r>
        <w:rPr>
          <w:rFonts w:ascii="Georgia" w:eastAsia="Calibri" w:hAnsi="Georgia"/>
          <w:color w:val="585756"/>
          <w:sz w:val="21"/>
          <w:szCs w:val="22"/>
        </w:rPr>
        <w:t xml:space="preserve">  pour ce </w:t>
      </w:r>
      <w:r w:rsidRPr="00211A79">
        <w:rPr>
          <w:rFonts w:ascii="Georgia" w:eastAsia="Calibri" w:hAnsi="Georgia"/>
          <w:color w:val="585756"/>
          <w:sz w:val="21"/>
          <w:szCs w:val="22"/>
        </w:rPr>
        <w:t>marché</w:t>
      </w:r>
    </w:p>
    <w:p w14:paraId="39337CBE" w14:textId="77777777" w:rsidR="00791C2D" w:rsidRPr="00211A79" w:rsidRDefault="00791C2D" w:rsidP="00791C2D">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074565D6" w14:textId="76B8CC44" w:rsidR="00791C2D" w:rsidRPr="000A6C09" w:rsidRDefault="00791C2D" w:rsidP="00791C2D">
      <w:pPr>
        <w:pStyle w:val="BTCtextCTB"/>
        <w:rPr>
          <w:rFonts w:ascii="Georgia" w:eastAsia="Calibri" w:hAnsi="Georgia"/>
          <w:color w:val="585756"/>
          <w:sz w:val="21"/>
          <w:szCs w:val="22"/>
        </w:rPr>
      </w:pPr>
      <w:r w:rsidRPr="000A6C09">
        <w:rPr>
          <w:rFonts w:ascii="Georgia" w:eastAsia="Calibri" w:hAnsi="Georgia"/>
          <w:color w:val="585756"/>
          <w:sz w:val="21"/>
          <w:szCs w:val="22"/>
        </w:rPr>
        <w:t xml:space="preserve">L’offre devra être réceptionnée </w:t>
      </w:r>
      <w:r w:rsidRPr="00D160B8">
        <w:rPr>
          <w:rFonts w:ascii="Georgia" w:eastAsia="Calibri" w:hAnsi="Georgia"/>
          <w:color w:val="585756"/>
          <w:sz w:val="21"/>
          <w:szCs w:val="22"/>
        </w:rPr>
        <w:t xml:space="preserve">le </w:t>
      </w:r>
      <w:r>
        <w:rPr>
          <w:rFonts w:ascii="Georgia" w:eastAsia="Calibri" w:hAnsi="Georgia"/>
          <w:color w:val="585756"/>
          <w:sz w:val="21"/>
          <w:szCs w:val="22"/>
          <w:highlight w:val="yellow"/>
        </w:rPr>
        <w:t>1</w:t>
      </w:r>
      <w:r w:rsidR="00AA12E8">
        <w:rPr>
          <w:rFonts w:ascii="Georgia" w:eastAsia="Calibri" w:hAnsi="Georgia"/>
          <w:color w:val="585756"/>
          <w:sz w:val="21"/>
          <w:szCs w:val="22"/>
          <w:highlight w:val="yellow"/>
        </w:rPr>
        <w:t>8</w:t>
      </w:r>
      <w:r>
        <w:rPr>
          <w:rFonts w:ascii="Georgia" w:eastAsia="Calibri" w:hAnsi="Georgia"/>
          <w:color w:val="585756"/>
          <w:sz w:val="21"/>
          <w:szCs w:val="22"/>
          <w:highlight w:val="yellow"/>
        </w:rPr>
        <w:t xml:space="preserve"> septembre 2023 à </w:t>
      </w:r>
      <w:r w:rsidRPr="00661186">
        <w:rPr>
          <w:rFonts w:ascii="Georgia" w:eastAsia="Calibri" w:hAnsi="Georgia"/>
          <w:color w:val="585756"/>
          <w:sz w:val="21"/>
          <w:szCs w:val="22"/>
          <w:highlight w:val="yellow"/>
        </w:rPr>
        <w:t>1</w:t>
      </w:r>
      <w:r w:rsidR="00EB2523">
        <w:rPr>
          <w:rFonts w:ascii="Georgia" w:eastAsia="Calibri" w:hAnsi="Georgia"/>
          <w:color w:val="585756"/>
          <w:sz w:val="21"/>
          <w:szCs w:val="22"/>
          <w:highlight w:val="yellow"/>
        </w:rPr>
        <w:t>2</w:t>
      </w:r>
      <w:r w:rsidRPr="00661186">
        <w:rPr>
          <w:rFonts w:ascii="Georgia" w:eastAsia="Calibri" w:hAnsi="Georgia"/>
          <w:color w:val="585756"/>
          <w:sz w:val="21"/>
          <w:szCs w:val="22"/>
          <w:highlight w:val="yellow"/>
        </w:rPr>
        <w:t>h00 au plus tard</w:t>
      </w:r>
      <w:r w:rsidRPr="00D160B8">
        <w:rPr>
          <w:rFonts w:ascii="Georgia" w:eastAsia="Calibri" w:hAnsi="Georgia"/>
          <w:color w:val="585756"/>
          <w:sz w:val="21"/>
          <w:szCs w:val="22"/>
        </w:rPr>
        <w:t xml:space="preserve"> (heure de Kinshasa-RD Congo).</w:t>
      </w:r>
    </w:p>
    <w:p w14:paraId="0C6069EF" w14:textId="77777777" w:rsidR="00791C2D" w:rsidRPr="000A6C09" w:rsidRDefault="00791C2D" w:rsidP="00791C2D">
      <w:pPr>
        <w:pStyle w:val="BTCtextCTB"/>
        <w:rPr>
          <w:rFonts w:ascii="Georgia" w:eastAsia="Calibri" w:hAnsi="Georgia"/>
          <w:color w:val="585756"/>
          <w:sz w:val="21"/>
          <w:szCs w:val="22"/>
        </w:rPr>
      </w:pPr>
      <w:r w:rsidRPr="000A6C09">
        <w:rPr>
          <w:rFonts w:ascii="Georgia" w:eastAsia="Calibri" w:hAnsi="Georgia"/>
          <w:color w:val="585756"/>
          <w:sz w:val="21"/>
          <w:szCs w:val="22"/>
        </w:rPr>
        <w:t>Toute offre doit parvenir avant la date et l'heure ultime de dépôt.</w:t>
      </w:r>
    </w:p>
    <w:p w14:paraId="69CCA939" w14:textId="77777777" w:rsidR="00791C2D" w:rsidRPr="000A6C09" w:rsidRDefault="00791C2D" w:rsidP="00791C2D">
      <w:pPr>
        <w:pStyle w:val="BTCtextCTB"/>
        <w:rPr>
          <w:rFonts w:ascii="Georgia" w:eastAsia="Calibri" w:hAnsi="Georgia"/>
          <w:color w:val="585756"/>
          <w:sz w:val="21"/>
          <w:szCs w:val="22"/>
        </w:rPr>
      </w:pPr>
      <w:r w:rsidRPr="000A6C09">
        <w:rPr>
          <w:rFonts w:ascii="Georgia" w:eastAsia="Calibri" w:hAnsi="Georgia"/>
          <w:color w:val="585756"/>
          <w:sz w:val="21"/>
          <w:szCs w:val="22"/>
        </w:rPr>
        <w:t>Les offres parvenues tardivement ne seront pas acceptées (Article 83 de l’AR Passation).</w:t>
      </w:r>
    </w:p>
    <w:p w14:paraId="6B84E0C6" w14:textId="77777777" w:rsidR="00791C2D" w:rsidRPr="000A6C09" w:rsidRDefault="00791C2D" w:rsidP="00791C2D">
      <w:pPr>
        <w:pStyle w:val="BTCtextCTB"/>
        <w:rPr>
          <w:rFonts w:ascii="Georgia" w:eastAsia="Calibri" w:hAnsi="Georgia"/>
          <w:color w:val="585756"/>
          <w:sz w:val="21"/>
          <w:szCs w:val="22"/>
        </w:rPr>
      </w:pPr>
      <w:r w:rsidRPr="000A6C09">
        <w:rPr>
          <w:rFonts w:ascii="Georgia" w:eastAsia="Calibri" w:hAnsi="Georgia"/>
          <w:color w:val="585756"/>
          <w:sz w:val="21"/>
          <w:szCs w:val="22"/>
        </w:rPr>
        <w:t>Le soumissionnaire introduit son offre :</w:t>
      </w:r>
      <w:r>
        <w:rPr>
          <w:rFonts w:ascii="Georgia" w:eastAsia="Calibri" w:hAnsi="Georgia"/>
          <w:color w:val="585756"/>
          <w:sz w:val="21"/>
          <w:szCs w:val="22"/>
        </w:rPr>
        <w:t xml:space="preserve"> p</w:t>
      </w:r>
      <w:r w:rsidRPr="000A6C09">
        <w:rPr>
          <w:rFonts w:ascii="Georgia" w:eastAsia="Calibri" w:hAnsi="Georgia"/>
          <w:color w:val="585756"/>
          <w:sz w:val="21"/>
          <w:szCs w:val="22"/>
        </w:rPr>
        <w:t>ar mail à l’adresse</w:t>
      </w:r>
      <w:r w:rsidRPr="000A6C09">
        <w:rPr>
          <w:rFonts w:ascii="Georgia" w:eastAsia="Calibri" w:hAnsi="Georgia"/>
          <w:color w:val="00B0F0"/>
          <w:sz w:val="21"/>
          <w:szCs w:val="22"/>
        </w:rPr>
        <w:t xml:space="preserve"> </w:t>
      </w:r>
      <w:hyperlink r:id="rId18" w:history="1">
        <w:r w:rsidRPr="00EB2523">
          <w:rPr>
            <w:rFonts w:ascii="Georgia" w:eastAsia="Calibri" w:hAnsi="Georgia"/>
            <w:color w:val="0070C0"/>
            <w:sz w:val="21"/>
            <w:highlight w:val="yellow"/>
          </w:rPr>
          <w:t>procurement.cod@enabel.be</w:t>
        </w:r>
      </w:hyperlink>
      <w:r w:rsidRPr="00EB2523">
        <w:rPr>
          <w:rFonts w:ascii="Georgia" w:eastAsia="Calibri" w:hAnsi="Georgia"/>
          <w:color w:val="585756"/>
          <w:sz w:val="21"/>
          <w:highlight w:val="yellow"/>
        </w:rPr>
        <w:t>,</w:t>
      </w:r>
      <w:r w:rsidRPr="000A6C09">
        <w:rPr>
          <w:rFonts w:ascii="Georgia" w:eastAsia="Calibri" w:hAnsi="Georgia"/>
          <w:color w:val="585756"/>
          <w:sz w:val="21"/>
        </w:rPr>
        <w:t xml:space="preserve"> via un documents PDF en annexe.</w:t>
      </w:r>
    </w:p>
    <w:p w14:paraId="3B5E3932" w14:textId="7895A172" w:rsidR="00FD0EDC" w:rsidRPr="00791C2D" w:rsidRDefault="00791C2D" w:rsidP="00791C2D">
      <w:pPr>
        <w:rPr>
          <w:lang w:val="fr-FR"/>
        </w:rPr>
      </w:pPr>
      <w:r w:rsidRPr="000A6C09">
        <w:t>L’ouverture des offres aura lieu à huis clos</w:t>
      </w:r>
      <w:r>
        <w:t xml:space="preserve"> le lendemain de la  </w:t>
      </w:r>
      <w:r w:rsidR="006A372B">
        <w:t xml:space="preserve"> </w:t>
      </w:r>
      <w:r>
        <w:t>date de clôture du dépôt des offres</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6" w:name="_Toc144699163"/>
      <w:r w:rsidRPr="006A46F9">
        <w:rPr>
          <w:lang w:val="fr-BE"/>
        </w:rPr>
        <w:t>Modification ou retrait d’une offre déjà introduite</w:t>
      </w:r>
      <w:bookmarkEnd w:id="9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7226540E" w14:textId="77777777" w:rsidR="00791C2D" w:rsidRDefault="00791C2D" w:rsidP="009804F1">
      <w:pPr>
        <w:pStyle w:val="BTCtextCTB"/>
        <w:rPr>
          <w:rFonts w:ascii="Georgia" w:eastAsia="Calibri" w:hAnsi="Georgia"/>
          <w:color w:val="585756"/>
          <w:sz w:val="21"/>
          <w:szCs w:val="22"/>
        </w:rPr>
      </w:pPr>
    </w:p>
    <w:p w14:paraId="59896349" w14:textId="280C1249"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D7D4054" w:rsidR="009804F1" w:rsidRPr="00791C2D" w:rsidRDefault="009804F1" w:rsidP="00791C2D">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7EFBA023" w:rsidR="009804F1" w:rsidRPr="00791C2D"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7" w:name="_Toc144699164"/>
      <w:bookmarkStart w:id="98" w:name="_Ref233177124"/>
      <w:bookmarkStart w:id="99" w:name="_Ref233177126"/>
      <w:bookmarkStart w:id="100" w:name="_Toc257380489"/>
      <w:bookmarkStart w:id="101" w:name="_Toc260134208"/>
      <w:bookmarkStart w:id="102" w:name="_Toc364253078"/>
      <w:proofErr w:type="spellStart"/>
      <w:r>
        <w:t>Sélection</w:t>
      </w:r>
      <w:proofErr w:type="spellEnd"/>
      <w:r>
        <w:t xml:space="preserve"> des </w:t>
      </w:r>
      <w:r w:rsidR="00791C2D">
        <w:t>commissionaires’</w:t>
      </w:r>
      <w:bookmarkEnd w:id="97"/>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3" w:name="_Toc144699165"/>
      <w:r>
        <w:t>Motifs d’exclusion</w:t>
      </w:r>
      <w:bookmarkEnd w:id="103"/>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DC28390" w14:textId="77777777" w:rsidR="00EF09CB" w:rsidRPr="006E2B78" w:rsidRDefault="00EF09CB" w:rsidP="00EF09CB">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4" w:name="_Hlk115072112"/>
      <w:bookmarkStart w:id="105" w:name="_Hlk133501072"/>
      <w:r w:rsidRPr="00177800">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4"/>
      <w:bookmarkEnd w:id="105"/>
    </w:p>
    <w:p w14:paraId="5DFCD50E" w14:textId="77777777" w:rsidR="009804F1" w:rsidRPr="00EF09CB" w:rsidRDefault="009804F1" w:rsidP="009804F1">
      <w:pPr>
        <w:pStyle w:val="BTCtextCTB"/>
        <w:rPr>
          <w:rFonts w:ascii="Arial" w:eastAsia="Arial Unicode MS" w:hAnsi="Arial"/>
          <w:b/>
          <w:kern w:val="18"/>
          <w:sz w:val="22"/>
        </w:rPr>
      </w:pPr>
    </w:p>
    <w:p w14:paraId="06C482FB" w14:textId="3CEF0D57" w:rsidR="009804F1" w:rsidRPr="00EF09CB" w:rsidRDefault="009804F1" w:rsidP="009804F1">
      <w:pPr>
        <w:pStyle w:val="Titre4"/>
        <w:keepLines w:val="0"/>
        <w:widowControl w:val="0"/>
        <w:numPr>
          <w:ilvl w:val="3"/>
          <w:numId w:val="5"/>
        </w:numPr>
        <w:tabs>
          <w:tab w:val="num" w:pos="864"/>
        </w:tabs>
        <w:suppressAutoHyphens/>
        <w:spacing w:before="120" w:after="120" w:line="240" w:lineRule="auto"/>
      </w:pPr>
      <w:bookmarkStart w:id="106" w:name="_Toc144699166"/>
      <w:r w:rsidRPr="00335743">
        <w:t>Critères de sélection</w:t>
      </w:r>
      <w:bookmarkEnd w:id="106"/>
    </w:p>
    <w:p w14:paraId="3BE19034"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77777777" w:rsidR="009804F1" w:rsidRDefault="009804F1" w:rsidP="009804F1">
      <w:pPr>
        <w:autoSpaceDE w:val="0"/>
        <w:autoSpaceDN w:val="0"/>
        <w:adjustRightInd w:val="0"/>
        <w:jc w:val="both"/>
        <w:rPr>
          <w:kern w:val="18"/>
          <w:sz w:val="20"/>
        </w:rPr>
      </w:pP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144699167"/>
      <w:r>
        <w:t>Aperçu de la procédure</w:t>
      </w:r>
      <w:bookmarkEnd w:id="107"/>
    </w:p>
    <w:p w14:paraId="04708649" w14:textId="508D699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6E0CB55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006A372B">
        <w:rPr>
          <w:rFonts w:ascii="Georgia" w:eastAsia="Calibri" w:hAnsi="Georgia"/>
          <w:color w:val="585756"/>
          <w:sz w:val="21"/>
          <w:szCs w:val="22"/>
        </w:rPr>
        <w:t xml:space="preserve"> </w:t>
      </w:r>
      <w:r w:rsidRPr="008C4A21">
        <w:rPr>
          <w:rFonts w:ascii="Georgia" w:eastAsia="Calibri" w:hAnsi="Georgia"/>
          <w:color w:val="585756"/>
          <w:sz w:val="21"/>
          <w:szCs w:val="22"/>
        </w:rPr>
        <w:t xml:space="preserve">Maximum </w:t>
      </w:r>
      <w:r w:rsidR="006A372B">
        <w:rPr>
          <w:rFonts w:ascii="Georgia" w:eastAsia="Calibri" w:hAnsi="Georgia"/>
          <w:color w:val="585756"/>
          <w:sz w:val="21"/>
          <w:szCs w:val="22"/>
        </w:rPr>
        <w:t xml:space="preserve">trois (3) </w:t>
      </w:r>
      <w:r w:rsidRPr="008C4A21">
        <w:rPr>
          <w:rFonts w:ascii="Georgia" w:eastAsia="Calibri" w:hAnsi="Georgia"/>
          <w:color w:val="585756"/>
          <w:sz w:val="21"/>
          <w:szCs w:val="22"/>
        </w:rPr>
        <w:t xml:space="preserve">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w:t>
      </w:r>
      <w:r w:rsidRPr="008C4A21">
        <w:rPr>
          <w:rFonts w:ascii="Georgia" w:eastAsia="Calibri" w:hAnsi="Georgia"/>
          <w:color w:val="585756"/>
          <w:sz w:val="21"/>
          <w:szCs w:val="22"/>
        </w:rPr>
        <w:lastRenderedPageBreak/>
        <w:t>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2653DB8D" w:rsidR="009804F1" w:rsidRPr="00EF09CB" w:rsidRDefault="009804F1" w:rsidP="00EF09C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144699168"/>
      <w:r w:rsidRPr="0051154E">
        <w:t>Critères d’attribution ♣</w:t>
      </w:r>
      <w:bookmarkEnd w:id="108"/>
    </w:p>
    <w:p w14:paraId="232D11F8" w14:textId="3F08566E" w:rsidR="002B2CDD"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tbl>
      <w:tblPr>
        <w:tblStyle w:val="Grilledutableau"/>
        <w:tblW w:w="0" w:type="auto"/>
        <w:tblLook w:val="04A0" w:firstRow="1" w:lastRow="0" w:firstColumn="1" w:lastColumn="0" w:noHBand="0" w:noVBand="1"/>
      </w:tblPr>
      <w:tblGrid>
        <w:gridCol w:w="5939"/>
        <w:gridCol w:w="2555"/>
      </w:tblGrid>
      <w:tr w:rsidR="00EF09CB" w:rsidRPr="0023427A" w14:paraId="573883E3" w14:textId="77777777" w:rsidTr="00CB50F0">
        <w:tc>
          <w:tcPr>
            <w:tcW w:w="5939" w:type="dxa"/>
          </w:tcPr>
          <w:p w14:paraId="29DB9396" w14:textId="77777777" w:rsidR="00EF09CB" w:rsidRPr="0023427A" w:rsidRDefault="00EF09CB" w:rsidP="00CB50F0">
            <w:pPr>
              <w:jc w:val="both"/>
              <w:rPr>
                <w:rFonts w:ascii="Arial Narrow" w:hAnsi="Arial Narrow"/>
                <w:b/>
                <w:bCs/>
                <w:sz w:val="24"/>
                <w:szCs w:val="24"/>
              </w:rPr>
            </w:pPr>
            <w:r w:rsidRPr="0023427A">
              <w:rPr>
                <w:rFonts w:ascii="Arial Narrow" w:hAnsi="Arial Narrow"/>
                <w:b/>
                <w:bCs/>
                <w:sz w:val="24"/>
                <w:szCs w:val="24"/>
              </w:rPr>
              <w:t>Critères d’évaluation</w:t>
            </w:r>
          </w:p>
        </w:tc>
        <w:tc>
          <w:tcPr>
            <w:tcW w:w="2555" w:type="dxa"/>
          </w:tcPr>
          <w:p w14:paraId="67B99FE8" w14:textId="77777777" w:rsidR="00EF09CB" w:rsidRPr="0023427A" w:rsidRDefault="00EF09CB" w:rsidP="00CB50F0">
            <w:pPr>
              <w:jc w:val="center"/>
              <w:rPr>
                <w:rFonts w:ascii="Arial Narrow" w:hAnsi="Arial Narrow"/>
                <w:b/>
                <w:bCs/>
                <w:sz w:val="24"/>
                <w:szCs w:val="24"/>
              </w:rPr>
            </w:pPr>
            <w:r w:rsidRPr="0023427A">
              <w:rPr>
                <w:rFonts w:ascii="Arial Narrow" w:hAnsi="Arial Narrow"/>
                <w:b/>
                <w:bCs/>
                <w:sz w:val="24"/>
                <w:szCs w:val="24"/>
              </w:rPr>
              <w:t>Points attribués</w:t>
            </w:r>
          </w:p>
        </w:tc>
      </w:tr>
      <w:tr w:rsidR="00EF09CB" w:rsidRPr="0023427A" w14:paraId="1105B74B" w14:textId="77777777" w:rsidTr="00CB50F0">
        <w:tc>
          <w:tcPr>
            <w:tcW w:w="5939" w:type="dxa"/>
          </w:tcPr>
          <w:p w14:paraId="2E2877EE" w14:textId="684DCB0F" w:rsidR="00EF09CB" w:rsidRPr="0023427A" w:rsidRDefault="006A372B" w:rsidP="00CB50F0">
            <w:pPr>
              <w:jc w:val="both"/>
              <w:rPr>
                <w:rFonts w:ascii="Arial Narrow" w:hAnsi="Arial Narrow"/>
                <w:sz w:val="24"/>
                <w:szCs w:val="24"/>
              </w:rPr>
            </w:pPr>
            <w:r>
              <w:rPr>
                <w:rFonts w:ascii="Arial Narrow" w:hAnsi="Arial Narrow"/>
                <w:sz w:val="24"/>
                <w:szCs w:val="24"/>
              </w:rPr>
              <w:t xml:space="preserve">Analyse du </w:t>
            </w:r>
            <w:r w:rsidR="00EF09CB">
              <w:rPr>
                <w:rFonts w:ascii="Arial Narrow" w:hAnsi="Arial Narrow"/>
                <w:sz w:val="24"/>
                <w:szCs w:val="24"/>
              </w:rPr>
              <w:t>CV de l’auditeur (expert principal)</w:t>
            </w:r>
            <w:r>
              <w:rPr>
                <w:rFonts w:ascii="Arial Narrow" w:hAnsi="Arial Narrow"/>
                <w:sz w:val="24"/>
                <w:szCs w:val="24"/>
              </w:rPr>
              <w:t xml:space="preserve"> 30 points</w:t>
            </w:r>
          </w:p>
        </w:tc>
        <w:tc>
          <w:tcPr>
            <w:tcW w:w="2555" w:type="dxa"/>
          </w:tcPr>
          <w:p w14:paraId="618D9E7B" w14:textId="15EEF051" w:rsidR="00EF09CB" w:rsidRPr="0023427A" w:rsidRDefault="00EF09CB" w:rsidP="00CB50F0">
            <w:pPr>
              <w:jc w:val="center"/>
              <w:rPr>
                <w:rFonts w:ascii="Arial Narrow" w:hAnsi="Arial Narrow"/>
                <w:sz w:val="24"/>
                <w:szCs w:val="24"/>
              </w:rPr>
            </w:pPr>
            <w:r w:rsidRPr="0023427A">
              <w:rPr>
                <w:rFonts w:ascii="Arial Narrow" w:hAnsi="Arial Narrow"/>
                <w:sz w:val="24"/>
                <w:szCs w:val="24"/>
              </w:rPr>
              <w:t>/</w:t>
            </w:r>
            <w:r w:rsidR="00BF6D68">
              <w:rPr>
                <w:rFonts w:ascii="Arial Narrow" w:hAnsi="Arial Narrow"/>
                <w:sz w:val="24"/>
                <w:szCs w:val="24"/>
              </w:rPr>
              <w:t>3</w:t>
            </w:r>
            <w:r>
              <w:rPr>
                <w:rFonts w:ascii="Arial Narrow" w:hAnsi="Arial Narrow"/>
                <w:sz w:val="24"/>
                <w:szCs w:val="24"/>
              </w:rPr>
              <w:t>0</w:t>
            </w:r>
            <w:r w:rsidRPr="0023427A">
              <w:rPr>
                <w:rFonts w:ascii="Arial Narrow" w:hAnsi="Arial Narrow"/>
                <w:sz w:val="24"/>
                <w:szCs w:val="24"/>
              </w:rPr>
              <w:t xml:space="preserve"> pts</w:t>
            </w:r>
          </w:p>
        </w:tc>
      </w:tr>
      <w:tr w:rsidR="00EF09CB" w:rsidRPr="0023427A" w14:paraId="3DF4FBF1" w14:textId="77777777" w:rsidTr="00CB50F0">
        <w:tc>
          <w:tcPr>
            <w:tcW w:w="5939" w:type="dxa"/>
          </w:tcPr>
          <w:p w14:paraId="23556D39" w14:textId="364C00C9" w:rsidR="00EF09CB" w:rsidRPr="0023427A" w:rsidRDefault="006A372B" w:rsidP="00CB50F0">
            <w:pPr>
              <w:jc w:val="both"/>
              <w:rPr>
                <w:rFonts w:ascii="Arial Narrow" w:hAnsi="Arial Narrow"/>
                <w:sz w:val="24"/>
                <w:szCs w:val="24"/>
              </w:rPr>
            </w:pPr>
            <w:r>
              <w:rPr>
                <w:rFonts w:ascii="Arial Narrow" w:hAnsi="Arial Narrow"/>
                <w:sz w:val="24"/>
                <w:szCs w:val="24"/>
              </w:rPr>
              <w:t xml:space="preserve">Chronogramme </w:t>
            </w:r>
            <w:r w:rsidR="00BF6D68">
              <w:rPr>
                <w:rFonts w:ascii="Arial Narrow" w:hAnsi="Arial Narrow"/>
                <w:sz w:val="24"/>
                <w:szCs w:val="24"/>
              </w:rPr>
              <w:t xml:space="preserve">proposé (phasage, livrables, </w:t>
            </w:r>
            <w:proofErr w:type="gramStart"/>
            <w:r w:rsidR="00BF6D68">
              <w:rPr>
                <w:rFonts w:ascii="Arial Narrow" w:hAnsi="Arial Narrow"/>
                <w:sz w:val="24"/>
                <w:szCs w:val="24"/>
              </w:rPr>
              <w:t>délai )</w:t>
            </w:r>
            <w:proofErr w:type="gramEnd"/>
          </w:p>
        </w:tc>
        <w:tc>
          <w:tcPr>
            <w:tcW w:w="2555" w:type="dxa"/>
          </w:tcPr>
          <w:p w14:paraId="1F4BE74B" w14:textId="266BB703" w:rsidR="00EF09CB" w:rsidRPr="0023427A" w:rsidRDefault="00EF09CB" w:rsidP="00CB50F0">
            <w:pPr>
              <w:jc w:val="center"/>
              <w:rPr>
                <w:rFonts w:ascii="Arial Narrow" w:hAnsi="Arial Narrow"/>
                <w:sz w:val="24"/>
                <w:szCs w:val="24"/>
              </w:rPr>
            </w:pPr>
            <w:r w:rsidRPr="0023427A">
              <w:rPr>
                <w:rFonts w:ascii="Arial Narrow" w:hAnsi="Arial Narrow"/>
                <w:sz w:val="24"/>
                <w:szCs w:val="24"/>
              </w:rPr>
              <w:t>/</w:t>
            </w:r>
            <w:r w:rsidR="00BF6D68">
              <w:rPr>
                <w:rFonts w:ascii="Arial Narrow" w:hAnsi="Arial Narrow"/>
                <w:sz w:val="24"/>
                <w:szCs w:val="24"/>
              </w:rPr>
              <w:t>2</w:t>
            </w:r>
            <w:r>
              <w:rPr>
                <w:rFonts w:ascii="Arial Narrow" w:hAnsi="Arial Narrow"/>
                <w:sz w:val="24"/>
                <w:szCs w:val="24"/>
              </w:rPr>
              <w:t>0</w:t>
            </w:r>
            <w:r w:rsidRPr="0023427A">
              <w:rPr>
                <w:rFonts w:ascii="Arial Narrow" w:hAnsi="Arial Narrow"/>
                <w:sz w:val="24"/>
                <w:szCs w:val="24"/>
              </w:rPr>
              <w:t xml:space="preserve"> pts</w:t>
            </w:r>
          </w:p>
        </w:tc>
      </w:tr>
      <w:tr w:rsidR="00EF09CB" w:rsidRPr="0023427A" w14:paraId="076FC047" w14:textId="77777777" w:rsidTr="00CB50F0">
        <w:tc>
          <w:tcPr>
            <w:tcW w:w="5939" w:type="dxa"/>
          </w:tcPr>
          <w:p w14:paraId="0799831E" w14:textId="3D2330D9" w:rsidR="00EF09CB" w:rsidRPr="0023427A" w:rsidRDefault="00EF09CB" w:rsidP="00CB50F0">
            <w:pPr>
              <w:jc w:val="both"/>
              <w:rPr>
                <w:rFonts w:ascii="Arial Narrow" w:hAnsi="Arial Narrow"/>
                <w:sz w:val="24"/>
                <w:szCs w:val="24"/>
              </w:rPr>
            </w:pPr>
            <w:r>
              <w:rPr>
                <w:rFonts w:ascii="Arial Narrow" w:hAnsi="Arial Narrow"/>
                <w:sz w:val="24"/>
                <w:szCs w:val="24"/>
              </w:rPr>
              <w:t xml:space="preserve">Prix de prestation : </w:t>
            </w:r>
          </w:p>
        </w:tc>
        <w:tc>
          <w:tcPr>
            <w:tcW w:w="2555" w:type="dxa"/>
          </w:tcPr>
          <w:p w14:paraId="2747C57B" w14:textId="27CC6BBC" w:rsidR="00EF09CB" w:rsidRPr="0023427A" w:rsidRDefault="00BF6D68" w:rsidP="00CB50F0">
            <w:pPr>
              <w:jc w:val="center"/>
              <w:rPr>
                <w:rFonts w:ascii="Arial Narrow" w:hAnsi="Arial Narrow"/>
                <w:sz w:val="24"/>
                <w:szCs w:val="24"/>
              </w:rPr>
            </w:pPr>
            <w:r>
              <w:rPr>
                <w:rFonts w:ascii="Arial Narrow" w:hAnsi="Arial Narrow"/>
                <w:sz w:val="24"/>
                <w:szCs w:val="24"/>
              </w:rPr>
              <w:t>/50 pts</w:t>
            </w:r>
          </w:p>
        </w:tc>
      </w:tr>
      <w:tr w:rsidR="00EF09CB" w:rsidRPr="0023427A" w14:paraId="174996E3" w14:textId="77777777" w:rsidTr="00CB50F0">
        <w:tc>
          <w:tcPr>
            <w:tcW w:w="5939" w:type="dxa"/>
          </w:tcPr>
          <w:p w14:paraId="653006EF" w14:textId="77777777" w:rsidR="00EF09CB" w:rsidRPr="0023427A" w:rsidRDefault="00EF09CB" w:rsidP="00CB50F0">
            <w:pPr>
              <w:jc w:val="both"/>
              <w:rPr>
                <w:rFonts w:ascii="Arial Narrow" w:hAnsi="Arial Narrow"/>
                <w:b/>
                <w:bCs/>
                <w:sz w:val="24"/>
                <w:szCs w:val="24"/>
              </w:rPr>
            </w:pPr>
            <w:r w:rsidRPr="0023427A">
              <w:rPr>
                <w:rFonts w:ascii="Arial Narrow" w:hAnsi="Arial Narrow"/>
                <w:b/>
                <w:bCs/>
                <w:sz w:val="24"/>
                <w:szCs w:val="24"/>
              </w:rPr>
              <w:t xml:space="preserve">Total </w:t>
            </w:r>
          </w:p>
        </w:tc>
        <w:tc>
          <w:tcPr>
            <w:tcW w:w="2555" w:type="dxa"/>
          </w:tcPr>
          <w:p w14:paraId="7E86DFEE" w14:textId="77777777" w:rsidR="00EF09CB" w:rsidRPr="0023427A" w:rsidRDefault="00EF09CB" w:rsidP="00CB50F0">
            <w:pPr>
              <w:jc w:val="center"/>
              <w:rPr>
                <w:rFonts w:ascii="Arial Narrow" w:hAnsi="Arial Narrow"/>
                <w:b/>
                <w:bCs/>
                <w:sz w:val="24"/>
                <w:szCs w:val="24"/>
              </w:rPr>
            </w:pPr>
            <w:r w:rsidRPr="0023427A">
              <w:rPr>
                <w:rFonts w:ascii="Arial Narrow" w:hAnsi="Arial Narrow"/>
                <w:b/>
                <w:bCs/>
                <w:sz w:val="24"/>
                <w:szCs w:val="24"/>
              </w:rPr>
              <w:t>/100 pts</w:t>
            </w:r>
          </w:p>
        </w:tc>
      </w:tr>
    </w:tbl>
    <w:p w14:paraId="01788A8E" w14:textId="77777777" w:rsidR="009804F1" w:rsidRDefault="009804F1" w:rsidP="009804F1">
      <w:pPr>
        <w:pStyle w:val="Corpsdetexte"/>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9" w:name="_Toc144699169"/>
      <w:r w:rsidRPr="00D707B6">
        <w:t>Cotation finale</w:t>
      </w:r>
      <w:bookmarkEnd w:id="109"/>
    </w:p>
    <w:p w14:paraId="056F38D3" w14:textId="24D4EFB6" w:rsidR="009804F1" w:rsidRPr="009C378D"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10" w:name="_Toc257039853"/>
      <w:bookmarkStart w:id="111" w:name="_Toc144699170"/>
      <w:r>
        <w:t>Attribution du marché</w:t>
      </w:r>
      <w:bookmarkEnd w:id="110"/>
      <w:bookmarkEnd w:id="111"/>
    </w:p>
    <w:p w14:paraId="5D355BDB" w14:textId="77777777" w:rsidR="009C378D" w:rsidRPr="00C33BE2" w:rsidRDefault="009C378D" w:rsidP="009C378D">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Le </w:t>
      </w:r>
      <w:r w:rsidRPr="00C33BE2">
        <w:rPr>
          <w:rFonts w:ascii="Georgia" w:eastAsia="DejaVu Sans" w:hAnsi="Georgia" w:cs="Tahoma"/>
          <w:color w:val="404040" w:themeColor="text1" w:themeTint="BF"/>
          <w:kern w:val="18"/>
          <w:sz w:val="21"/>
          <w:szCs w:val="21"/>
          <w:lang w:val="fr-FR"/>
        </w:rPr>
        <w:t>marché sera attribué au</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 qui a remis l’offre régulière économiquement la plus avantageuse</w:t>
      </w:r>
      <w:r>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7A2A5DEE" w14:textId="77777777" w:rsidR="009C378D"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2" w:name="_Toc257039854"/>
      <w:bookmarkStart w:id="113" w:name="_Toc366161168"/>
      <w:bookmarkStart w:id="114" w:name="_Toc144699171"/>
      <w:r>
        <w:t>Conclusion du contrat</w:t>
      </w:r>
      <w:bookmarkEnd w:id="112"/>
      <w:bookmarkEnd w:id="113"/>
      <w:bookmarkEnd w:id="114"/>
    </w:p>
    <w:p w14:paraId="1F2FE771"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proofErr w:type="gramStart"/>
      <w:r w:rsidRPr="00C33BE2">
        <w:rPr>
          <w:rFonts w:ascii="Georgia" w:eastAsia="DejaVu Sans" w:hAnsi="Georgia" w:cs="Tahoma"/>
          <w:color w:val="404040" w:themeColor="text1" w:themeTint="BF"/>
          <w:kern w:val="18"/>
          <w:sz w:val="21"/>
          <w:szCs w:val="21"/>
          <w:lang w:val="fr-FR"/>
        </w:rPr>
        <w:t>88  de</w:t>
      </w:r>
      <w:proofErr w:type="gramEnd"/>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lastRenderedPageBreak/>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2C7FA775"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proofErr w:type="gramStart"/>
      <w:r w:rsidRPr="0083528E">
        <w:rPr>
          <w:rFonts w:ascii="Georgia" w:hAnsi="Georgia"/>
          <w:color w:val="404040" w:themeColor="text1" w:themeTint="BF"/>
          <w:sz w:val="21"/>
          <w:szCs w:val="21"/>
          <w:lang w:val="fr-FR"/>
        </w:rPr>
        <w:t>contrat,  la</w:t>
      </w:r>
      <w:proofErr w:type="gramEnd"/>
      <w:r w:rsidRPr="0083528E">
        <w:rPr>
          <w:rFonts w:ascii="Georgia" w:hAnsi="Georgia"/>
          <w:color w:val="404040" w:themeColor="text1" w:themeTint="BF"/>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15" w:name="_Toc144699172"/>
      <w:bookmarkEnd w:id="98"/>
      <w:bookmarkEnd w:id="99"/>
      <w:bookmarkEnd w:id="100"/>
      <w:bookmarkEnd w:id="101"/>
      <w:bookmarkEnd w:id="102"/>
      <w:r>
        <w:lastRenderedPageBreak/>
        <w:t>Dispositions contractuelles particulères</w:t>
      </w:r>
      <w:bookmarkEnd w:id="115"/>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2F954F0" w14:textId="31A687E0" w:rsidR="009C378D" w:rsidRPr="001C4E0F" w:rsidRDefault="009C378D" w:rsidP="009C378D">
      <w:pPr>
        <w:pStyle w:val="BTCtextCTB"/>
        <w:rPr>
          <w:rFonts w:ascii="Georgia" w:eastAsia="DejaVu Sans" w:hAnsi="Georgia" w:cs="Tahoma"/>
          <w:color w:val="404040" w:themeColor="text1" w:themeTint="BF"/>
          <w:kern w:val="18"/>
          <w:sz w:val="21"/>
          <w:szCs w:val="21"/>
          <w:lang w:val="fr-FR"/>
        </w:rPr>
      </w:pPr>
      <w:bookmarkStart w:id="116" w:name="_Ref223946633"/>
      <w:bookmarkStart w:id="117" w:name="_Ref223946647"/>
      <w:bookmarkStart w:id="118" w:name="_Toc257380496"/>
      <w:bookmarkStart w:id="119" w:name="_Toc260134215"/>
      <w:bookmarkStart w:id="120" w:name="_Toc364253083"/>
      <w:r>
        <w:rPr>
          <w:rFonts w:ascii="Georgia" w:eastAsia="DejaVu Sans" w:hAnsi="Georgia" w:cs="Tahoma"/>
          <w:color w:val="404040"/>
          <w:kern w:val="18"/>
          <w:sz w:val="21"/>
          <w:szCs w:val="21"/>
          <w:lang w:val="fr-FR"/>
        </w:rPr>
        <w:t>Les dérogations sont mentionnées au point 1.1 Dérogations aux règles générales d’exécution</w:t>
      </w:r>
      <w:r w:rsidR="006A372B">
        <w:rPr>
          <w:rFonts w:ascii="Georgia" w:eastAsia="DejaVu Sans" w:hAnsi="Georgia" w:cs="Tahoma"/>
          <w:color w:val="404040"/>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121" w:name="_Toc144699173"/>
      <w:r>
        <w:t>Fonctionnaire dirigeant</w:t>
      </w:r>
      <w:bookmarkEnd w:id="116"/>
      <w:bookmarkEnd w:id="117"/>
      <w:bookmarkEnd w:id="118"/>
      <w:bookmarkEnd w:id="119"/>
      <w:r>
        <w:t xml:space="preserve"> (art. 11)</w:t>
      </w:r>
      <w:bookmarkEnd w:id="120"/>
      <w:bookmarkEnd w:id="121"/>
    </w:p>
    <w:p w14:paraId="63FDC236" w14:textId="05A59A91" w:rsidR="005F2003" w:rsidRPr="009C378D"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rsidRPr="009C378D">
        <w:rPr>
          <w:rFonts w:ascii="Georgia" w:hAnsi="Georgia"/>
          <w:color w:val="404040" w:themeColor="text1" w:themeTint="BF"/>
          <w:sz w:val="21"/>
          <w:szCs w:val="21"/>
        </w:rPr>
        <w:t xml:space="preserve"> </w:t>
      </w:r>
      <w:r w:rsidR="009C378D" w:rsidRPr="009C378D">
        <w:rPr>
          <w:rFonts w:ascii="Georgia" w:hAnsi="Georgia"/>
          <w:color w:val="404040" w:themeColor="text1" w:themeTint="BF"/>
          <w:sz w:val="21"/>
          <w:szCs w:val="21"/>
        </w:rPr>
        <w:t>Monsieur</w:t>
      </w:r>
      <w:r w:rsidRPr="009C378D">
        <w:rPr>
          <w:rFonts w:ascii="Georgia" w:hAnsi="Georgia"/>
          <w:color w:val="404040" w:themeColor="text1" w:themeTint="BF"/>
          <w:sz w:val="21"/>
          <w:szCs w:val="21"/>
        </w:rPr>
        <w:t>.</w:t>
      </w:r>
      <w:r w:rsidR="009C378D" w:rsidRPr="009C378D">
        <w:rPr>
          <w:rFonts w:ascii="Georgia" w:hAnsi="Georgia"/>
          <w:color w:val="404040" w:themeColor="text1" w:themeTint="BF"/>
          <w:sz w:val="21"/>
          <w:szCs w:val="21"/>
        </w:rPr>
        <w:t xml:space="preserve"> ODDOS Gilles</w:t>
      </w:r>
      <w:r w:rsidR="009C378D">
        <w:rPr>
          <w:rFonts w:ascii="Georgia" w:hAnsi="Georgia"/>
          <w:color w:val="404040" w:themeColor="text1" w:themeTint="BF"/>
          <w:sz w:val="21"/>
          <w:szCs w:val="21"/>
        </w:rPr>
        <w:t xml:space="preserve">, Intervention Manager du projet gouvernance Financière et Appui Institutionnel ; joignable par E-mail : </w:t>
      </w:r>
      <w:hyperlink r:id="rId19" w:history="1">
        <w:r w:rsidR="009C378D">
          <w:rPr>
            <w:rStyle w:val="Lienhypertexte"/>
            <w:lang w:eastAsia="fr-FR"/>
          </w:rPr>
          <w:t>gilles.oddos@enabel.be</w:t>
        </w:r>
      </w:hyperlink>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proofErr w:type="gramStart"/>
      <w:r w:rsidRPr="0017001A">
        <w:rPr>
          <w:rFonts w:ascii="Georgia" w:hAnsi="Georgia"/>
          <w:color w:val="404040" w:themeColor="text1" w:themeTint="BF"/>
          <w:sz w:val="21"/>
          <w:szCs w:val="21"/>
        </w:rPr>
        <w:t>l’ exécution</w:t>
      </w:r>
      <w:proofErr w:type="gramEnd"/>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CA92B6C"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2" w:name="_Toc361408323"/>
      <w:bookmarkStart w:id="123" w:name="_Toc144699174"/>
      <w:bookmarkStart w:id="124" w:name="_Toc361408324"/>
      <w:r w:rsidRPr="00441577">
        <w:t>Sous-traitants (art. 12 à 15)</w:t>
      </w:r>
      <w:bookmarkEnd w:id="122"/>
      <w:bookmarkEnd w:id="123"/>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30AC599C" w:rsidR="00E8612D" w:rsidRPr="009C378D" w:rsidRDefault="00E8612D" w:rsidP="00E8612D">
      <w:pPr>
        <w:pStyle w:val="Corpsdetexte"/>
        <w:rPr>
          <w:rFonts w:cs="Arial"/>
          <w:i/>
          <w:sz w:val="18"/>
          <w:szCs w:val="18"/>
        </w:rPr>
      </w:pPr>
      <w:bookmarkStart w:id="125" w:name="_Toc361408325"/>
      <w:bookmarkEnd w:id="124"/>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F289F" w:rsidRDefault="00E8612D" w:rsidP="00E8612D">
      <w:pPr>
        <w:pStyle w:val="Titre2"/>
        <w:keepLines w:val="0"/>
        <w:widowControl w:val="0"/>
        <w:tabs>
          <w:tab w:val="num" w:pos="576"/>
        </w:tabs>
        <w:suppressAutoHyphens/>
        <w:spacing w:after="240"/>
        <w:rPr>
          <w:highlight w:val="yellow"/>
        </w:rPr>
      </w:pPr>
      <w:bookmarkStart w:id="126" w:name="_Toc52503024"/>
      <w:bookmarkStart w:id="127" w:name="_Toc144699175"/>
      <w:r w:rsidRPr="006F289F">
        <w:rPr>
          <w:highlight w:val="yellow"/>
        </w:rPr>
        <w:t>Confidentialité (art. 18)</w:t>
      </w:r>
      <w:bookmarkEnd w:id="126"/>
      <w:bookmarkEnd w:id="127"/>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0C4DBEC2" w14:textId="77777777" w:rsidR="00E8612D" w:rsidRPr="00D14EA3" w:rsidRDefault="00E8612D" w:rsidP="00E8612D">
      <w:pPr>
        <w:pStyle w:val="Corpsdetexte"/>
        <w:rPr>
          <w:rFonts w:ascii="Georgia" w:hAnsi="Georgia"/>
          <w:color w:val="404040"/>
          <w:sz w:val="21"/>
          <w:szCs w:val="21"/>
        </w:rPr>
      </w:pP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F289F" w:rsidRDefault="00E8612D" w:rsidP="00E8612D">
      <w:pPr>
        <w:pStyle w:val="Titre2"/>
        <w:rPr>
          <w:highlight w:val="yellow"/>
          <w:lang w:val="fr-FR"/>
        </w:rPr>
      </w:pPr>
      <w:bookmarkStart w:id="128" w:name="_Toc144699176"/>
      <w:r w:rsidRPr="006F289F">
        <w:rPr>
          <w:highlight w:val="yellow"/>
          <w:lang w:val="fr-FR"/>
        </w:rPr>
        <w:lastRenderedPageBreak/>
        <w:t>Protection des données personnelles</w:t>
      </w:r>
      <w:bookmarkEnd w:id="128"/>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E861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9C378D">
      <w:pPr>
        <w:jc w:val="both"/>
        <w:rPr>
          <w:lang w:val="fr-FR"/>
        </w:rPr>
      </w:pPr>
      <w:r w:rsidRPr="001478F6">
        <w:rPr>
          <w:lang w:val="fr-FR"/>
        </w:rPr>
        <w:t>4.4.2</w:t>
      </w:r>
      <w:r w:rsidRPr="001478F6">
        <w:rPr>
          <w:lang w:val="fr-FR"/>
        </w:rPr>
        <w:tab/>
        <w:t xml:space="preserve">Traitement des données personnelles par l’adjudicataire </w:t>
      </w:r>
    </w:p>
    <w:p w14:paraId="13F4B19D" w14:textId="314604C9" w:rsidR="00E8612D" w:rsidRPr="001478F6" w:rsidRDefault="00E8612D" w:rsidP="009C378D">
      <w:pPr>
        <w:jc w:val="both"/>
        <w:rPr>
          <w:caps/>
          <w:lang w:val="fr-FR"/>
        </w:rPr>
      </w:pPr>
      <w:r w:rsidRPr="001478F6">
        <w:rPr>
          <w:caps/>
          <w:lang w:val="fr-FR"/>
        </w:rPr>
        <w:t xml:space="preserve"> OPTION 1 : Traitement des données à caractère personnel par un sous-traitant =</w:t>
      </w:r>
    </w:p>
    <w:p w14:paraId="2D4E87F6" w14:textId="77777777" w:rsidR="00E8612D" w:rsidRPr="001478F6" w:rsidRDefault="00E8612D" w:rsidP="009C378D">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9C378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9C378D">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9C378D">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9C378D">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1478F6" w:rsidRDefault="00E8612D" w:rsidP="009C378D">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142714D7" w14:textId="77777777" w:rsidR="00E8612D" w:rsidRPr="001478F6" w:rsidRDefault="00E8612D" w:rsidP="009C378D">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77777777" w:rsidR="00E8612D" w:rsidRPr="001478F6" w:rsidRDefault="00E8612D" w:rsidP="009C378D">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9C378D">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9C378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9C378D">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9C378D">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9C378D">
      <w:pPr>
        <w:pStyle w:val="Titre2"/>
        <w:keepLines w:val="0"/>
        <w:widowControl w:val="0"/>
        <w:tabs>
          <w:tab w:val="num" w:pos="576"/>
        </w:tabs>
        <w:suppressAutoHyphens/>
        <w:spacing w:after="240"/>
        <w:jc w:val="both"/>
      </w:pPr>
      <w:bookmarkStart w:id="129" w:name="_Toc144699177"/>
      <w:r w:rsidRPr="00441577">
        <w:t>Droits intellectuels (art. 19 à 23)</w:t>
      </w:r>
      <w:bookmarkEnd w:id="125"/>
      <w:bookmarkEnd w:id="129"/>
    </w:p>
    <w:p w14:paraId="3976BDB0" w14:textId="3699A17B"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6D169547" w:rsidR="005F2003" w:rsidRPr="00F00B01"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30" w:name="_Ref233108956"/>
      <w:bookmarkStart w:id="131" w:name="_Ref233108960"/>
      <w:bookmarkStart w:id="132" w:name="_Toc257380497"/>
      <w:bookmarkStart w:id="133" w:name="_Toc260134216"/>
      <w:bookmarkStart w:id="134" w:name="_Toc364253084"/>
      <w:bookmarkStart w:id="135" w:name="_Toc144699178"/>
      <w:r>
        <w:t>Cautionnement</w:t>
      </w:r>
      <w:bookmarkEnd w:id="130"/>
      <w:bookmarkEnd w:id="131"/>
      <w:bookmarkEnd w:id="132"/>
      <w:bookmarkEnd w:id="133"/>
      <w:r>
        <w:t xml:space="preserve"> (art.25 à 33)</w:t>
      </w:r>
      <w:bookmarkEnd w:id="134"/>
      <w:bookmarkEnd w:id="135"/>
    </w:p>
    <w:p w14:paraId="67F66F82" w14:textId="6055E9A8" w:rsidR="00A83F3E" w:rsidRPr="00A83F3E" w:rsidRDefault="006374E2" w:rsidP="00A83F3E">
      <w:r>
        <w:t>Le cautionnement n’est pas exigé dans ce marché</w:t>
      </w:r>
    </w:p>
    <w:p w14:paraId="4CF0D38B" w14:textId="77777777" w:rsidR="005F2003" w:rsidRDefault="005F2003" w:rsidP="000534B9">
      <w:pPr>
        <w:pStyle w:val="Titre2"/>
        <w:keepLines w:val="0"/>
        <w:widowControl w:val="0"/>
        <w:tabs>
          <w:tab w:val="num" w:pos="576"/>
        </w:tabs>
        <w:suppressAutoHyphens/>
        <w:spacing w:after="240"/>
      </w:pPr>
      <w:bookmarkStart w:id="136" w:name="_Toc361393825"/>
      <w:bookmarkStart w:id="137" w:name="_Toc361408327"/>
      <w:bookmarkStart w:id="138" w:name="_Toc144699179"/>
      <w:r>
        <w:t>Conformité de l’exécution (art. 34)</w:t>
      </w:r>
      <w:bookmarkEnd w:id="136"/>
      <w:bookmarkEnd w:id="137"/>
      <w:bookmarkEnd w:id="138"/>
      <w:r>
        <w:t xml:space="preserve"> </w:t>
      </w:r>
    </w:p>
    <w:p w14:paraId="1B900D2E" w14:textId="306E2293" w:rsidR="005F2003" w:rsidRPr="006D491E" w:rsidRDefault="005F2003" w:rsidP="006D491E">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9" w:name="_Toc144699180"/>
      <w:r w:rsidRPr="005F2003">
        <w:t>Modifications du marché (art. 37 à 38/19)</w:t>
      </w:r>
      <w:bookmarkEnd w:id="139"/>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144699181"/>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4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w:t>
      </w:r>
      <w:r w:rsidRPr="0017001A">
        <w:rPr>
          <w:rFonts w:ascii="Georgia" w:eastAsia="Calibri" w:hAnsi="Georgia" w:cs="Arial"/>
          <w:color w:val="585756"/>
          <w:szCs w:val="22"/>
          <w:lang w:val="fr-BE"/>
        </w:rPr>
        <w:lastRenderedPageBreak/>
        <w:t xml:space="preserve">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C313EB1" w:rsidR="005F2003" w:rsidRPr="006D491E"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44699182"/>
      <w:r w:rsidRPr="000534B9">
        <w:t>Révision des prix (art. 38/7)</w:t>
      </w:r>
      <w:bookmarkEnd w:id="141"/>
    </w:p>
    <w:p w14:paraId="570BE057" w14:textId="583EC53F" w:rsidR="005F2003" w:rsidRPr="006D491E" w:rsidRDefault="005F2003" w:rsidP="006D491E">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44699183"/>
      <w:r w:rsidRPr="006A46F9">
        <w:rPr>
          <w:lang w:val="fr-BE"/>
        </w:rPr>
        <w:t>Indemnités suite aux suspensions ordonnées par l’adjudicateur durant l’exécution (art. 38/12)</w:t>
      </w:r>
      <w:bookmarkEnd w:id="14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144699184"/>
      <w:proofErr w:type="spellStart"/>
      <w:r w:rsidRPr="000534B9">
        <w:t>Circonstances</w:t>
      </w:r>
      <w:proofErr w:type="spellEnd"/>
      <w:r w:rsidRPr="000534B9">
        <w:t xml:space="preserve"> </w:t>
      </w:r>
      <w:proofErr w:type="spellStart"/>
      <w:r w:rsidRPr="000534B9">
        <w:t>imprévisibles</w:t>
      </w:r>
      <w:bookmarkEnd w:id="143"/>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5ECBBD46" w:rsidR="005F2003" w:rsidRPr="001525D4" w:rsidRDefault="005F2003" w:rsidP="001525D4">
      <w:pPr>
        <w:jc w:val="both"/>
        <w:rPr>
          <w:kern w:val="18"/>
          <w:sz w:val="20"/>
        </w:rPr>
      </w:pPr>
      <w:r w:rsidRPr="006D491E">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6D491E">
        <w:rPr>
          <w:kern w:val="18"/>
          <w:sz w:val="20"/>
        </w:rPr>
        <w:t>Enabel</w:t>
      </w:r>
      <w:r w:rsidRPr="006D491E">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44" w:name="_Toc361393826"/>
      <w:bookmarkStart w:id="145" w:name="_Toc361408328"/>
      <w:bookmarkStart w:id="146" w:name="_Toc144699185"/>
      <w:r>
        <w:lastRenderedPageBreak/>
        <w:t>Réception techniq</w:t>
      </w:r>
      <w:r w:rsidRPr="00596246">
        <w:t>ue préalable (art. 42)</w:t>
      </w:r>
      <w:bookmarkEnd w:id="144"/>
      <w:bookmarkEnd w:id="145"/>
      <w:bookmarkEnd w:id="146"/>
    </w:p>
    <w:p w14:paraId="61AA390E" w14:textId="27267EA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47" w:name="_Toc361393827"/>
      <w:bookmarkStart w:id="148" w:name="_Toc361408329"/>
      <w:bookmarkStart w:id="149" w:name="_Toc144699186"/>
      <w:r>
        <w:t>Modalités d’exécution (art. 146 es)</w:t>
      </w:r>
      <w:bookmarkEnd w:id="147"/>
      <w:bookmarkEnd w:id="148"/>
      <w:bookmarkEnd w:id="149"/>
    </w:p>
    <w:p w14:paraId="0AC16FB4" w14:textId="7777777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144699187"/>
      <w:proofErr w:type="spellStart"/>
      <w:r w:rsidRPr="00F12A5E">
        <w:t>Délais</w:t>
      </w:r>
      <w:proofErr w:type="spellEnd"/>
      <w:r w:rsidRPr="00F12A5E">
        <w:t xml:space="preserve"> et clauses</w:t>
      </w:r>
      <w:r>
        <w:t xml:space="preserve"> (art. 147)</w:t>
      </w:r>
      <w:bookmarkEnd w:id="150"/>
    </w:p>
    <w:p w14:paraId="1EFA486F" w14:textId="3CE78077" w:rsidR="006D491E" w:rsidRDefault="006D491E" w:rsidP="001525D4">
      <w:pPr>
        <w:jc w:val="both"/>
      </w:pPr>
      <w:r w:rsidRPr="00C55D53">
        <w:t>Les services doivent être exécutés dans un délai</w:t>
      </w:r>
      <w:r>
        <w:t xml:space="preserve"> indiqué dans le chronogramme du soumissionnaire à</w:t>
      </w:r>
      <w:r w:rsidRPr="00C55D53">
        <w:t xml:space="preserve"> compter du jour qui suit celui où le prestataire de services a reçu la notification de la conclusion du marché</w:t>
      </w:r>
      <w:r>
        <w:t xml:space="preserve"> à exécuter,</w:t>
      </w:r>
      <w:r w:rsidRPr="006D491E">
        <w:rPr>
          <w:sz w:val="20"/>
        </w:rPr>
        <w:t xml:space="preserve"> </w:t>
      </w:r>
      <w:r>
        <w:t xml:space="preserve">c’est-à-dire du </w:t>
      </w:r>
      <w:r w:rsidRPr="006D491E">
        <w:rPr>
          <w:sz w:val="20"/>
        </w:rPr>
        <w:t xml:space="preserve">début de la mission jusqu’à l’adoption des rapports par le Comité </w:t>
      </w:r>
      <w:r w:rsidRPr="001525D4">
        <w:t>Exécutif de l’ITIE-RDC</w:t>
      </w:r>
      <w:r>
        <w:t xml:space="preserve">, mais avec un maximum de </w:t>
      </w:r>
      <w:r w:rsidRPr="006D491E">
        <w:t>60 jour calendaire</w:t>
      </w:r>
      <w:r w:rsidR="00816AB3">
        <w:t xml:space="preserve">. </w:t>
      </w:r>
      <w:r w:rsidR="00816AB3" w:rsidRPr="001525D4">
        <w:t xml:space="preserve">Dans tous les cas, ce délai ne saurait être prorogé au-delà du 31 décembre 2023.  </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144699188"/>
      <w:r w:rsidRPr="00764E84">
        <w:rPr>
          <w:lang w:val="fr-BE"/>
        </w:rPr>
        <w:t>Lieu où les services doivent être exécutés et formalités (art. 149)</w:t>
      </w:r>
      <w:bookmarkEnd w:id="151"/>
    </w:p>
    <w:p w14:paraId="3799313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proofErr w:type="gramStart"/>
      <w:r w:rsidRPr="00C55D53">
        <w:rPr>
          <w:rFonts w:ascii="Georgia" w:eastAsia="Calibri" w:hAnsi="Georgia" w:cs="Times New Roman"/>
          <w:color w:val="585756"/>
          <w:szCs w:val="22"/>
          <w:lang w:val="fr-BE"/>
        </w:rPr>
        <w:t>suivante:</w:t>
      </w:r>
      <w:proofErr w:type="gramEnd"/>
    </w:p>
    <w:p w14:paraId="0B0216F3" w14:textId="7FD808DE" w:rsidR="005F2003" w:rsidRPr="00816AB3" w:rsidRDefault="006D491E" w:rsidP="00816AB3">
      <w:pPr>
        <w:jc w:val="both"/>
        <w:rPr>
          <w:rFonts w:ascii="Garamond" w:hAnsi="Garamond"/>
          <w:bCs/>
          <w:color w:val="000000"/>
          <w:sz w:val="24"/>
          <w:szCs w:val="24"/>
        </w:rPr>
      </w:pPr>
      <w:r w:rsidRPr="005116D2">
        <w:rPr>
          <w:rFonts w:ascii="Garamond" w:hAnsi="Garamond"/>
          <w:bCs/>
          <w:color w:val="000000"/>
          <w:sz w:val="24"/>
          <w:szCs w:val="24"/>
        </w:rPr>
        <w:t xml:space="preserve">Les travaux de l’auditeur se dérouleront </w:t>
      </w:r>
      <w:r>
        <w:rPr>
          <w:rFonts w:ascii="Garamond" w:hAnsi="Garamond"/>
          <w:bCs/>
          <w:color w:val="000000"/>
          <w:sz w:val="24"/>
          <w:szCs w:val="24"/>
        </w:rPr>
        <w:t xml:space="preserve">dans les installations du Secrétariat Technique de l’ITIE-RDC </w:t>
      </w:r>
      <w:r w:rsidRPr="005116D2">
        <w:rPr>
          <w:rFonts w:ascii="Garamond" w:hAnsi="Garamond"/>
          <w:bCs/>
          <w:color w:val="000000"/>
          <w:sz w:val="24"/>
          <w:szCs w:val="24"/>
        </w:rPr>
        <w:t xml:space="preserve">à Kinshasa et </w:t>
      </w:r>
      <w:r>
        <w:rPr>
          <w:rFonts w:ascii="Garamond" w:hAnsi="Garamond"/>
          <w:bCs/>
          <w:color w:val="000000"/>
          <w:sz w:val="24"/>
          <w:szCs w:val="24"/>
        </w:rPr>
        <w:t xml:space="preserve">dans celles de son Antenne située à </w:t>
      </w:r>
      <w:r w:rsidRPr="005116D2">
        <w:rPr>
          <w:rFonts w:ascii="Garamond" w:hAnsi="Garamond"/>
          <w:bCs/>
          <w:color w:val="000000"/>
          <w:sz w:val="24"/>
          <w:szCs w:val="24"/>
        </w:rPr>
        <w:t>Lubumbashi</w:t>
      </w:r>
      <w:r w:rsidR="00816AB3">
        <w:rPr>
          <w:rFonts w:ascii="Garamond" w:hAnsi="Garamond"/>
          <w:bCs/>
          <w:color w:val="000000"/>
          <w:sz w:val="24"/>
          <w:szCs w:val="24"/>
        </w:rPr>
        <w:t>.</w:t>
      </w:r>
    </w:p>
    <w:p w14:paraId="7E38E0B4" w14:textId="77777777" w:rsidR="009A7C3A" w:rsidRPr="006F289F" w:rsidRDefault="009A7C3A" w:rsidP="00DF3CD1">
      <w:pPr>
        <w:pStyle w:val="Titre3"/>
        <w:keepNext/>
        <w:widowControl w:val="0"/>
        <w:numPr>
          <w:ilvl w:val="2"/>
          <w:numId w:val="22"/>
        </w:numPr>
        <w:tabs>
          <w:tab w:val="num" w:pos="810"/>
        </w:tabs>
        <w:suppressAutoHyphens/>
        <w:autoSpaceDE/>
        <w:autoSpaceDN/>
        <w:adjustRightInd/>
        <w:spacing w:before="180" w:after="180"/>
        <w:contextualSpacing w:val="0"/>
        <w:rPr>
          <w:highlight w:val="yellow"/>
        </w:rPr>
      </w:pPr>
      <w:bookmarkStart w:id="152" w:name="_Toc52268483"/>
      <w:bookmarkStart w:id="153" w:name="_Toc144699189"/>
      <w:r w:rsidRPr="006F289F">
        <w:rPr>
          <w:highlight w:val="yellow"/>
          <w:lang w:val="fr-BE"/>
        </w:rPr>
        <w:t>Egalité des genres</w:t>
      </w:r>
      <w:bookmarkEnd w:id="152"/>
      <w:bookmarkEnd w:id="153"/>
    </w:p>
    <w:p w14:paraId="671158FE" w14:textId="77777777" w:rsidR="009A7C3A" w:rsidRDefault="009A7C3A" w:rsidP="009A7C3A">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proofErr w:type="gramStart"/>
      <w:r>
        <w:t>( la</w:t>
      </w:r>
      <w:proofErr w:type="gramEnd"/>
      <w:r>
        <w:t xml:space="preserve"> dimension de genre). L’adjudicataire doit donc analyser en fonction du domaine concerné par le marché, </w:t>
      </w:r>
      <w:proofErr w:type="gramStart"/>
      <w:r>
        <w:t>s’ il</w:t>
      </w:r>
      <w:proofErr w:type="gramEnd"/>
      <w:r>
        <w:t xml:space="preserve">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6F289F"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highlight w:val="yellow"/>
          <w:lang w:val="fr-BE"/>
        </w:rPr>
      </w:pPr>
      <w:bookmarkStart w:id="154" w:name="_Toc144699190"/>
      <w:r w:rsidRPr="006F289F">
        <w:rPr>
          <w:highlight w:val="yellow"/>
          <w:lang w:val="fr-BE"/>
        </w:rPr>
        <w:t>Tolérance zéro exploitation et abus sexuels</w:t>
      </w:r>
      <w:bookmarkEnd w:id="154"/>
    </w:p>
    <w:p w14:paraId="177E5B5B" w14:textId="1838301F" w:rsidR="005F2003" w:rsidRDefault="009A7C3A" w:rsidP="001525D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5" w:name="_Toc144699191"/>
      <w:r>
        <w:t>Vérification</w:t>
      </w:r>
      <w:r w:rsidRPr="00DD690B">
        <w:t xml:space="preserve"> des services</w:t>
      </w:r>
      <w:r>
        <w:t xml:space="preserve"> (art. 150)</w:t>
      </w:r>
      <w:bookmarkEnd w:id="155"/>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3E9AD567"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6" w:name="_Toc361393828"/>
      <w:bookmarkStart w:id="157" w:name="_Toc361408330"/>
      <w:bookmarkStart w:id="158" w:name="_Toc144699192"/>
      <w:r w:rsidRPr="005F2003">
        <w:lastRenderedPageBreak/>
        <w:t>Responsabilité du prestataire de services (art. 152-153)</w:t>
      </w:r>
      <w:bookmarkEnd w:id="156"/>
      <w:bookmarkEnd w:id="157"/>
      <w:bookmarkEnd w:id="158"/>
    </w:p>
    <w:p w14:paraId="745FED0B" w14:textId="54F9967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060E99CB" w:rsidR="005F2003" w:rsidRPr="001525D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9" w:name="_Toc361393829"/>
      <w:bookmarkStart w:id="160" w:name="_Toc361408331"/>
      <w:bookmarkStart w:id="161" w:name="_Toc144699193"/>
      <w:r w:rsidRPr="005F2003">
        <w:t>Moyens d’action du Pouvoir Adjudicateur (art. 44-51 et 154-155)</w:t>
      </w:r>
      <w:bookmarkEnd w:id="159"/>
      <w:bookmarkEnd w:id="160"/>
      <w:bookmarkEnd w:id="16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2" w:name="_Toc144699194"/>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6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92EC18E" w:rsidR="005F2003" w:rsidRPr="001525D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3" w:name="_Toc144699195"/>
      <w:r w:rsidRPr="006A46F9">
        <w:rPr>
          <w:lang w:val="fr-BE"/>
        </w:rPr>
        <w:t>Amendes pour retard (art. 46 et 154)</w:t>
      </w:r>
      <w:bookmarkEnd w:id="163"/>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amendes pour retard sont indépendantes des pénalités prévues à l'article 45. Elles sont dues, </w:t>
      </w:r>
      <w:r w:rsidRPr="00C55D53">
        <w:rPr>
          <w:rFonts w:ascii="Georgia" w:eastAsia="Calibri" w:hAnsi="Georgia" w:cs="Times New Roman"/>
          <w:color w:val="585756"/>
          <w:szCs w:val="22"/>
          <w:lang w:val="fr-BE"/>
        </w:rPr>
        <w:lastRenderedPageBreak/>
        <w:t>sans mise en demeure, par la seule expiration du délai d'exécution sans intervention d'un procès-verbal et appliquées de plein droit pour la totalité des jours de retard.</w:t>
      </w:r>
    </w:p>
    <w:p w14:paraId="6E01D66B" w14:textId="11C4695D" w:rsidR="005F2003" w:rsidRPr="001525D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4" w:name="_Toc144699196"/>
      <w:r w:rsidRPr="00E2704E">
        <w:t xml:space="preserve">Mesures </w:t>
      </w:r>
      <w:proofErr w:type="spellStart"/>
      <w:r w:rsidRPr="00E2704E">
        <w:t>d’office</w:t>
      </w:r>
      <w:proofErr w:type="spellEnd"/>
      <w:r w:rsidRPr="00E2704E">
        <w:t xml:space="preserve"> (art. 47</w:t>
      </w:r>
      <w:r>
        <w:t xml:space="preserve"> et </w:t>
      </w:r>
      <w:r w:rsidRPr="00E2704E">
        <w:t>155)</w:t>
      </w:r>
      <w:bookmarkEnd w:id="16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65" w:name="_Toc361393830"/>
      <w:bookmarkStart w:id="166" w:name="_Toc361408332"/>
      <w:bookmarkStart w:id="167" w:name="_Toc144699197"/>
      <w:r>
        <w:t>Fin du marché</w:t>
      </w:r>
      <w:bookmarkEnd w:id="165"/>
      <w:bookmarkEnd w:id="166"/>
      <w:bookmarkEnd w:id="167"/>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8" w:name="_Toc144699198"/>
      <w:r w:rsidRPr="006A46F9">
        <w:rPr>
          <w:lang w:val="fr-BE"/>
        </w:rPr>
        <w:t>Réception des services exécutés (art. 64-65 et 156)</w:t>
      </w:r>
      <w:bookmarkEnd w:id="168"/>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323CFF66" w14:textId="716E1FE9" w:rsidR="005F2003" w:rsidRPr="001525D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0045F6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113614F6"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9" w:name="_Toc144699199"/>
      <w:r>
        <w:lastRenderedPageBreak/>
        <w:t xml:space="preserve">Frais de </w:t>
      </w:r>
      <w:r w:rsidR="002B52F4">
        <w:t>reception</w:t>
      </w:r>
      <w:bookmarkEnd w:id="169"/>
    </w:p>
    <w:p w14:paraId="1DF55922" w14:textId="77777777" w:rsidR="001525D4" w:rsidRPr="00C55D53" w:rsidRDefault="001525D4" w:rsidP="001525D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697FB6BD" w:rsidR="005F2003" w:rsidRPr="001525D4" w:rsidRDefault="001525D4"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 de la rédaction de son offre le soumissionnaire tient compte des frais de</w:t>
      </w:r>
      <w:r>
        <w:rPr>
          <w:rFonts w:ascii="Georgia" w:eastAsia="Calibri" w:hAnsi="Georgia" w:cs="Times New Roman"/>
          <w:color w:val="585756"/>
          <w:szCs w:val="22"/>
          <w:lang w:val="fr-BE"/>
        </w:rPr>
        <w:t xml:space="preserve"> de réception </w:t>
      </w:r>
      <w:r w:rsidRPr="00AF1F8B">
        <w:rPr>
          <w:rFonts w:ascii="Georgia" w:eastAsia="Calibri" w:hAnsi="Georgia" w:cs="Times New Roman"/>
          <w:color w:val="585756"/>
          <w:szCs w:val="22"/>
          <w:lang w:val="fr-BE"/>
        </w:rPr>
        <w:t>prévoir en parfaite concordance avec l’article 1.3.4.4 ci-dessus</w:t>
      </w:r>
      <w:r>
        <w:rPr>
          <w:rFonts w:ascii="Georgia" w:eastAsia="Calibri" w:hAnsi="Georgia" w:cs="Times New Roman"/>
          <w:color w:val="585756"/>
          <w:szCs w:val="22"/>
          <w:lang w:val="fr-BE"/>
        </w:rPr>
        <w:t>.</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0" w:name="_Toc361393831"/>
      <w:bookmarkStart w:id="171" w:name="_Toc361408333"/>
      <w:bookmarkStart w:id="172" w:name="_Toc144699200"/>
      <w:r w:rsidRPr="006A46F9">
        <w:rPr>
          <w:lang w:val="fr-BE"/>
        </w:rPr>
        <w:t>Facturation et paiement des services (art. 66 à 72 -160)</w:t>
      </w:r>
      <w:bookmarkEnd w:id="170"/>
      <w:bookmarkEnd w:id="171"/>
      <w:bookmarkEnd w:id="172"/>
    </w:p>
    <w:p w14:paraId="4C9B033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388CE704" w14:textId="7622EC7D" w:rsidR="001525D4" w:rsidRDefault="001525D4" w:rsidP="001525D4">
      <w:pPr>
        <w:spacing w:after="0" w:line="240" w:lineRule="auto"/>
        <w:jc w:val="center"/>
        <w:rPr>
          <w:kern w:val="18"/>
          <w:sz w:val="20"/>
        </w:rPr>
      </w:pPr>
      <w:r>
        <w:rPr>
          <w:kern w:val="18"/>
          <w:sz w:val="20"/>
        </w:rPr>
        <w:t>ODDOS GILLES</w:t>
      </w:r>
    </w:p>
    <w:p w14:paraId="4A0EA89B" w14:textId="77777777" w:rsidR="001525D4" w:rsidRDefault="001525D4" w:rsidP="001525D4">
      <w:pPr>
        <w:spacing w:after="0" w:line="240" w:lineRule="auto"/>
        <w:jc w:val="center"/>
        <w:rPr>
          <w:kern w:val="18"/>
          <w:sz w:val="20"/>
        </w:rPr>
      </w:pPr>
      <w:r>
        <w:rPr>
          <w:kern w:val="18"/>
          <w:sz w:val="20"/>
        </w:rPr>
        <w:t>Intervention Manager du projet</w:t>
      </w:r>
    </w:p>
    <w:p w14:paraId="716550B1" w14:textId="34D77E22" w:rsidR="001525D4" w:rsidRPr="00A016D0" w:rsidRDefault="001525D4" w:rsidP="001525D4">
      <w:pPr>
        <w:spacing w:after="0" w:line="240" w:lineRule="auto"/>
        <w:jc w:val="center"/>
        <w:rPr>
          <w:kern w:val="18"/>
          <w:sz w:val="20"/>
        </w:rPr>
      </w:pPr>
      <w:r>
        <w:rPr>
          <w:kern w:val="18"/>
          <w:sz w:val="20"/>
        </w:rPr>
        <w:t xml:space="preserve"> Gouvernance Financière et appui institutionnel</w:t>
      </w:r>
    </w:p>
    <w:p w14:paraId="21B84F17" w14:textId="77777777" w:rsidR="001525D4" w:rsidRDefault="001525D4" w:rsidP="001525D4">
      <w:pPr>
        <w:spacing w:after="0" w:line="240" w:lineRule="auto"/>
        <w:jc w:val="center"/>
        <w:rPr>
          <w:kern w:val="18"/>
          <w:sz w:val="20"/>
        </w:rPr>
      </w:pPr>
      <w:r w:rsidRPr="00A016D0">
        <w:rPr>
          <w:kern w:val="18"/>
          <w:sz w:val="20"/>
        </w:rPr>
        <w:t>Enabel, Agence Belge de Developpement</w:t>
      </w:r>
      <w:r>
        <w:rPr>
          <w:kern w:val="18"/>
          <w:sz w:val="20"/>
        </w:rPr>
        <w:t xml:space="preserve">, </w:t>
      </w:r>
    </w:p>
    <w:p w14:paraId="0B7819D5" w14:textId="77777777" w:rsidR="001525D4" w:rsidRDefault="001525D4" w:rsidP="001525D4">
      <w:pPr>
        <w:spacing w:after="0" w:line="240" w:lineRule="auto"/>
        <w:jc w:val="center"/>
        <w:rPr>
          <w:kern w:val="18"/>
          <w:sz w:val="20"/>
        </w:rPr>
      </w:pPr>
      <w:proofErr w:type="gramStart"/>
      <w:r>
        <w:rPr>
          <w:kern w:val="18"/>
          <w:sz w:val="20"/>
        </w:rPr>
        <w:t>sis</w:t>
      </w:r>
      <w:proofErr w:type="gramEnd"/>
      <w:r>
        <w:rPr>
          <w:kern w:val="18"/>
          <w:sz w:val="20"/>
        </w:rPr>
        <w:t xml:space="preserve"> 133, Boulevard du 30 juin , Commune de la Gombe, </w:t>
      </w:r>
    </w:p>
    <w:p w14:paraId="4BD77ABD" w14:textId="1983B4E8" w:rsidR="005F2003" w:rsidRPr="001525D4" w:rsidRDefault="001525D4" w:rsidP="001525D4">
      <w:pPr>
        <w:spacing w:after="0" w:line="240" w:lineRule="auto"/>
        <w:jc w:val="center"/>
        <w:rPr>
          <w:kern w:val="18"/>
          <w:sz w:val="20"/>
        </w:rPr>
      </w:pPr>
      <w:r>
        <w:rPr>
          <w:kern w:val="18"/>
          <w:sz w:val="20"/>
        </w:rPr>
        <w:t>Ville de Kinshasa en RDC</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9443D4C" w14:textId="77777777" w:rsidR="001525D4"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2ECBD15D" w14:textId="00872DAA"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 et le paiement sera effectué après réception provisoire</w:t>
      </w:r>
      <w:r w:rsidR="008A4E78">
        <w:rPr>
          <w:rFonts w:ascii="Georgia" w:eastAsia="Calibri" w:hAnsi="Georgia"/>
          <w:color w:val="585756"/>
          <w:kern w:val="18"/>
          <w:sz w:val="20"/>
          <w:szCs w:val="22"/>
        </w:rPr>
        <w:t xml:space="preserve">  </w:t>
      </w:r>
      <w:r w:rsidRPr="00C55D53">
        <w:rPr>
          <w:rFonts w:ascii="Georgia" w:eastAsia="Calibri" w:hAnsi="Georgia"/>
          <w:color w:val="585756"/>
          <w:kern w:val="18"/>
          <w:sz w:val="20"/>
          <w:szCs w:val="22"/>
        </w:rPr>
        <w:t xml:space="preserve"> prestation de services faisant l’objet </w:t>
      </w:r>
      <w:r w:rsidR="008A4E78">
        <w:rPr>
          <w:rFonts w:ascii="Georgia" w:eastAsia="Calibri" w:hAnsi="Georgia"/>
          <w:color w:val="585756"/>
          <w:kern w:val="18"/>
          <w:sz w:val="20"/>
          <w:szCs w:val="22"/>
        </w:rPr>
        <w:t>de ce marché.</w:t>
      </w:r>
    </w:p>
    <w:p w14:paraId="53DE9D59" w14:textId="77777777" w:rsidR="005F2003" w:rsidRDefault="005F2003" w:rsidP="000534B9">
      <w:pPr>
        <w:pStyle w:val="Titre2"/>
        <w:keepLines w:val="0"/>
        <w:widowControl w:val="0"/>
        <w:tabs>
          <w:tab w:val="num" w:pos="576"/>
        </w:tabs>
        <w:suppressAutoHyphens/>
        <w:spacing w:after="240"/>
      </w:pPr>
      <w:bookmarkStart w:id="173" w:name="_Toc361393832"/>
      <w:bookmarkStart w:id="174" w:name="_Toc361408334"/>
      <w:bookmarkStart w:id="175" w:name="_Toc144699201"/>
      <w:r>
        <w:t xml:space="preserve">Litiges </w:t>
      </w:r>
      <w:r w:rsidRPr="001A7281">
        <w:t>(art. 73)</w:t>
      </w:r>
      <w:bookmarkEnd w:id="173"/>
      <w:bookmarkEnd w:id="174"/>
      <w:bookmarkEnd w:id="17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176E4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176E4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176E4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176E42">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176E4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176E4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642CA8AF" w14:textId="5E2A18C0" w:rsidR="00176E42" w:rsidRPr="00F00B01" w:rsidRDefault="005F2003" w:rsidP="00F00B01">
      <w:pPr>
        <w:pStyle w:val="Titre1"/>
        <w:numPr>
          <w:ilvl w:val="0"/>
          <w:numId w:val="5"/>
        </w:numPr>
      </w:pPr>
      <w:bookmarkStart w:id="176" w:name="_Toc144699202"/>
      <w:r>
        <w:lastRenderedPageBreak/>
        <w:t>Termes de référence</w:t>
      </w:r>
      <w:bookmarkEnd w:id="176"/>
    </w:p>
    <w:p w14:paraId="3E776951" w14:textId="5CA11EA0" w:rsidR="00176E42" w:rsidRPr="00176E42" w:rsidRDefault="00176E42" w:rsidP="00176E42">
      <w:pPr>
        <w:pStyle w:val="Paragraphedeliste"/>
        <w:numPr>
          <w:ilvl w:val="0"/>
          <w:numId w:val="55"/>
        </w:numPr>
        <w:suppressAutoHyphens/>
        <w:autoSpaceDN w:val="0"/>
        <w:spacing w:before="23" w:after="200"/>
        <w:ind w:left="426" w:hanging="142"/>
        <w:contextualSpacing w:val="0"/>
        <w:jc w:val="both"/>
        <w:textAlignment w:val="baseline"/>
        <w:rPr>
          <w:b/>
          <w:szCs w:val="21"/>
        </w:rPr>
      </w:pPr>
      <w:r w:rsidRPr="00176E42">
        <w:rPr>
          <w:b/>
          <w:szCs w:val="21"/>
        </w:rPr>
        <w:t>Contexte et justification</w:t>
      </w:r>
    </w:p>
    <w:p w14:paraId="06100F3D" w14:textId="77777777" w:rsidR="00176E42" w:rsidRPr="00176E42" w:rsidRDefault="00176E42" w:rsidP="00176E42">
      <w:pPr>
        <w:autoSpaceDE w:val="0"/>
        <w:jc w:val="both"/>
        <w:rPr>
          <w:color w:val="000000"/>
          <w:szCs w:val="21"/>
        </w:rPr>
      </w:pPr>
      <w:r w:rsidRPr="00176E42">
        <w:rPr>
          <w:color w:val="000000"/>
          <w:szCs w:val="21"/>
        </w:rPr>
        <w:t xml:space="preserve">L’Initiative pour la Transparence dans les Industries Extractives (ITIE) est une Norme mondiale qui promeut la transparence et la bonne gouvernance dans la gestion des ressources naturelles à laquelle la République Démocratique du Congo a adhéré en 2005. </w:t>
      </w:r>
    </w:p>
    <w:p w14:paraId="31253D3A" w14:textId="77777777" w:rsidR="00176E42" w:rsidRPr="00176E42" w:rsidRDefault="00176E42" w:rsidP="00176E42">
      <w:pPr>
        <w:autoSpaceDE w:val="0"/>
        <w:jc w:val="both"/>
        <w:rPr>
          <w:color w:val="000000"/>
          <w:szCs w:val="21"/>
        </w:rPr>
      </w:pPr>
      <w:r w:rsidRPr="00176E42">
        <w:rPr>
          <w:color w:val="000000"/>
          <w:szCs w:val="21"/>
        </w:rPr>
        <w:t>Depuis 2007, l’ITIE-RDC publie sur son site web</w:t>
      </w:r>
      <w:r w:rsidRPr="00176E42">
        <w:rPr>
          <w:rStyle w:val="Appelnotedebasdep"/>
          <w:color w:val="000000"/>
          <w:szCs w:val="21"/>
        </w:rPr>
        <w:footnoteReference w:id="13"/>
      </w:r>
      <w:r w:rsidRPr="00176E42">
        <w:rPr>
          <w:color w:val="000000"/>
          <w:szCs w:val="21"/>
        </w:rPr>
        <w:t>, chaque année, au moins un Rapport standard ITIE contenant des informations pertinentes sur les revenus issus de l’exploitation des minerais et des hydrocarbures congolais ainsi que sur les conditions et le contexte dans lesquels cette exploitation est réalisée.</w:t>
      </w:r>
    </w:p>
    <w:p w14:paraId="7CAA9808" w14:textId="77777777" w:rsidR="00176E42" w:rsidRPr="00176E42" w:rsidRDefault="00176E42" w:rsidP="00176E42">
      <w:pPr>
        <w:pStyle w:val="Paragraphedeliste"/>
        <w:ind w:left="0"/>
        <w:jc w:val="both"/>
        <w:rPr>
          <w:color w:val="000000"/>
          <w:szCs w:val="21"/>
        </w:rPr>
      </w:pPr>
      <w:r w:rsidRPr="00176E42">
        <w:rPr>
          <w:color w:val="000000"/>
          <w:szCs w:val="21"/>
        </w:rPr>
        <w:t>Du point de vue de sa structuration, le Comité National de l’ITIE-RDC est composé, d’une part, du Comité Exécutif qui est l’organe de pilotage et de décision et, d’autre part, du Secrétariat Technique qui est l’organe d’exécution et dont les bureaux sont situés à Kinshasa et à Lubumbashi.</w:t>
      </w:r>
    </w:p>
    <w:p w14:paraId="3797736D" w14:textId="77777777" w:rsidR="00176E42" w:rsidRPr="00176E42" w:rsidRDefault="00176E42" w:rsidP="00176E42">
      <w:pPr>
        <w:pStyle w:val="Paragraphedeliste"/>
        <w:ind w:left="0"/>
        <w:jc w:val="both"/>
        <w:rPr>
          <w:color w:val="000000"/>
          <w:szCs w:val="21"/>
        </w:rPr>
      </w:pPr>
      <w:r w:rsidRPr="00176E42">
        <w:rPr>
          <w:color w:val="000000"/>
          <w:szCs w:val="21"/>
        </w:rPr>
        <w:t xml:space="preserve">En exécution de son Plan de Travail Triennal 2021-2023, et particulièrement de son Plan de Travail et Budget Annuel de l’Exercice 2023 (PTBA 2023), le Comité National a, à travers l’activité n°11, prévu de recruter un Cabinet indépendant pour auditer ses comptes annuels des Exercices 2021 et 2022 suivant les standards internationaux et ce, dans le but de renforcer sa viabilité institutionnelle et technique. Il s’agit, pour le Comité National, de s’assurer </w:t>
      </w:r>
      <w:r w:rsidRPr="00176E42">
        <w:rPr>
          <w:bCs/>
          <w:color w:val="000000"/>
          <w:szCs w:val="21"/>
        </w:rPr>
        <w:t>que les processus, les procédures, les exigences et les lignes directrices répondent aux normes requises.</w:t>
      </w:r>
    </w:p>
    <w:p w14:paraId="4833F4A3" w14:textId="77777777" w:rsidR="00176E42" w:rsidRPr="00176E42" w:rsidRDefault="00176E42" w:rsidP="00176E42">
      <w:pPr>
        <w:pStyle w:val="Paragraphedeliste"/>
        <w:ind w:left="0"/>
        <w:jc w:val="both"/>
        <w:rPr>
          <w:color w:val="000000"/>
          <w:szCs w:val="21"/>
        </w:rPr>
      </w:pPr>
      <w:r w:rsidRPr="00176E42">
        <w:rPr>
          <w:color w:val="000000"/>
          <w:szCs w:val="21"/>
        </w:rPr>
        <w:t xml:space="preserve">Le dernier audit réalisé en 2021 a porté sur cinq Exercices à la fois, à savoir les Exercices 2016, 2017, 2018, 2019 et 2020.  Il a été effectué par le Cabinet Deloitte RDC avec l’appui financier d’ENABEL-Belgique. </w:t>
      </w:r>
    </w:p>
    <w:p w14:paraId="0C3CFB77" w14:textId="77777777" w:rsidR="00176E42" w:rsidRPr="00176E42" w:rsidRDefault="00176E42" w:rsidP="00176E42">
      <w:pPr>
        <w:pStyle w:val="Paragraphedeliste"/>
        <w:ind w:left="0"/>
        <w:jc w:val="both"/>
        <w:rPr>
          <w:color w:val="000000"/>
          <w:szCs w:val="21"/>
        </w:rPr>
      </w:pPr>
      <w:r w:rsidRPr="00176E42">
        <w:rPr>
          <w:color w:val="000000"/>
          <w:szCs w:val="21"/>
        </w:rPr>
        <w:t>En vue de poursuivre avec les bonnes pratiques et d’être désormais à jour, conformément au PTBA 2023, le Comité Exécutif a décidé de faire auditer les Comptes annuels du Comité National des Exercices 2021 et 2022 avant la fin cette année 2023.</w:t>
      </w:r>
    </w:p>
    <w:p w14:paraId="1A87CD70" w14:textId="77777777" w:rsidR="00176E42" w:rsidRPr="00176E42" w:rsidRDefault="00176E42" w:rsidP="00176E42">
      <w:pPr>
        <w:pStyle w:val="Paragraphedeliste"/>
        <w:ind w:left="0"/>
        <w:jc w:val="both"/>
        <w:rPr>
          <w:color w:val="000000"/>
          <w:szCs w:val="21"/>
        </w:rPr>
      </w:pPr>
      <w:r w:rsidRPr="00176E42">
        <w:rPr>
          <w:color w:val="000000"/>
          <w:szCs w:val="21"/>
        </w:rPr>
        <w:t xml:space="preserve">C’est dans ce cadre que les présents termes de référence sont élaborés. </w:t>
      </w:r>
    </w:p>
    <w:p w14:paraId="66E106EB" w14:textId="77777777" w:rsidR="00176E42" w:rsidRPr="00176E42" w:rsidRDefault="00176E42" w:rsidP="00176E42">
      <w:pPr>
        <w:spacing w:after="0" w:line="240" w:lineRule="auto"/>
        <w:rPr>
          <w:b/>
          <w:szCs w:val="21"/>
        </w:rPr>
      </w:pPr>
      <w:r w:rsidRPr="00176E42">
        <w:rPr>
          <w:b/>
          <w:szCs w:val="21"/>
        </w:rPr>
        <w:br w:type="page"/>
      </w:r>
    </w:p>
    <w:p w14:paraId="61D35F47" w14:textId="77777777" w:rsidR="00176E42" w:rsidRPr="00176E42" w:rsidRDefault="00176E42" w:rsidP="00176E42">
      <w:pPr>
        <w:pStyle w:val="Paragraphedeliste"/>
        <w:numPr>
          <w:ilvl w:val="0"/>
          <w:numId w:val="55"/>
        </w:numPr>
        <w:suppressAutoHyphens/>
        <w:autoSpaceDN w:val="0"/>
        <w:spacing w:before="23" w:after="200"/>
        <w:ind w:left="426" w:hanging="142"/>
        <w:contextualSpacing w:val="0"/>
        <w:jc w:val="both"/>
        <w:textAlignment w:val="baseline"/>
        <w:rPr>
          <w:b/>
          <w:szCs w:val="21"/>
        </w:rPr>
      </w:pPr>
      <w:r w:rsidRPr="00176E42">
        <w:rPr>
          <w:b/>
          <w:szCs w:val="21"/>
        </w:rPr>
        <w:lastRenderedPageBreak/>
        <w:t>Objectifs visés et résultats attendus</w:t>
      </w:r>
    </w:p>
    <w:p w14:paraId="04FB14F1" w14:textId="77777777" w:rsidR="00176E42" w:rsidRPr="00176E42" w:rsidRDefault="00176E42" w:rsidP="00176E42">
      <w:pPr>
        <w:pStyle w:val="Paragraphedeliste"/>
        <w:numPr>
          <w:ilvl w:val="0"/>
          <w:numId w:val="58"/>
        </w:numPr>
        <w:suppressAutoHyphens/>
        <w:autoSpaceDN w:val="0"/>
        <w:spacing w:after="200"/>
        <w:contextualSpacing w:val="0"/>
        <w:textAlignment w:val="baseline"/>
        <w:rPr>
          <w:szCs w:val="21"/>
        </w:rPr>
      </w:pPr>
      <w:r w:rsidRPr="00176E42">
        <w:rPr>
          <w:b/>
          <w:i/>
          <w:color w:val="000000"/>
          <w:szCs w:val="21"/>
        </w:rPr>
        <w:t>Objectif global</w:t>
      </w:r>
    </w:p>
    <w:p w14:paraId="2F5F157A" w14:textId="77777777" w:rsidR="00176E42" w:rsidRPr="00176E42" w:rsidRDefault="00176E42" w:rsidP="00176E42">
      <w:pPr>
        <w:pStyle w:val="Paragraphedeliste"/>
        <w:spacing w:after="0"/>
        <w:ind w:left="0"/>
        <w:jc w:val="both"/>
        <w:rPr>
          <w:color w:val="000000"/>
          <w:szCs w:val="21"/>
        </w:rPr>
      </w:pPr>
      <w:r w:rsidRPr="00176E42">
        <w:rPr>
          <w:color w:val="000000"/>
          <w:szCs w:val="21"/>
        </w:rPr>
        <w:t>Contribuer à la crédibilisation de la mise en œuvre du processus ITIE en République Démocratique du Congo.</w:t>
      </w:r>
    </w:p>
    <w:p w14:paraId="6DC7BE70" w14:textId="77777777" w:rsidR="00176E42" w:rsidRPr="00176E42" w:rsidRDefault="00176E42" w:rsidP="00176E42">
      <w:pPr>
        <w:rPr>
          <w:b/>
          <w:i/>
          <w:color w:val="000000"/>
          <w:szCs w:val="21"/>
        </w:rPr>
      </w:pPr>
    </w:p>
    <w:p w14:paraId="22E1B5B7" w14:textId="77777777" w:rsidR="00176E42" w:rsidRPr="00176E42" w:rsidRDefault="00176E42" w:rsidP="00176E42">
      <w:pPr>
        <w:pStyle w:val="Paragraphedeliste"/>
        <w:numPr>
          <w:ilvl w:val="0"/>
          <w:numId w:val="58"/>
        </w:numPr>
        <w:suppressAutoHyphens/>
        <w:autoSpaceDN w:val="0"/>
        <w:spacing w:after="200"/>
        <w:contextualSpacing w:val="0"/>
        <w:textAlignment w:val="baseline"/>
        <w:rPr>
          <w:b/>
          <w:i/>
          <w:color w:val="000000"/>
          <w:szCs w:val="21"/>
        </w:rPr>
      </w:pPr>
      <w:r w:rsidRPr="00176E42">
        <w:rPr>
          <w:b/>
          <w:i/>
          <w:color w:val="000000"/>
          <w:szCs w:val="21"/>
        </w:rPr>
        <w:t xml:space="preserve">Objectifs spécifiques </w:t>
      </w:r>
    </w:p>
    <w:p w14:paraId="4804FE07" w14:textId="77777777" w:rsidR="00176E42" w:rsidRPr="00176E42" w:rsidRDefault="00176E42"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Faire certifier les comptes annuels du Comité National de l’ITIE-RDC suivant les normes requises en la matière ;</w:t>
      </w:r>
    </w:p>
    <w:p w14:paraId="02923680" w14:textId="77777777" w:rsidR="00176E42" w:rsidRPr="00176E42" w:rsidRDefault="00176E42" w:rsidP="00176E42">
      <w:pPr>
        <w:pStyle w:val="Paragraphedeliste"/>
        <w:spacing w:after="0"/>
        <w:ind w:left="568"/>
        <w:jc w:val="both"/>
        <w:rPr>
          <w:bCs/>
          <w:color w:val="000000"/>
          <w:szCs w:val="21"/>
        </w:rPr>
      </w:pPr>
    </w:p>
    <w:p w14:paraId="3E418BD1" w14:textId="77777777" w:rsidR="00176E42" w:rsidRPr="00176E42" w:rsidRDefault="00176E42"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Recueillir des auditeurs qualifiés les recommandations dont la mise en œuvre tendrait à améliorer davantage la gouvernance interne du Comité National. </w:t>
      </w:r>
    </w:p>
    <w:p w14:paraId="739D970F" w14:textId="77777777" w:rsidR="00176E42" w:rsidRPr="00176E42" w:rsidRDefault="00176E42" w:rsidP="00176E42">
      <w:pPr>
        <w:spacing w:after="0"/>
        <w:rPr>
          <w:bCs/>
          <w:color w:val="000000"/>
          <w:szCs w:val="21"/>
        </w:rPr>
      </w:pPr>
    </w:p>
    <w:p w14:paraId="7FB90BE3" w14:textId="77777777" w:rsidR="00176E42" w:rsidRPr="00176E42" w:rsidRDefault="00176E42" w:rsidP="00176E42">
      <w:pPr>
        <w:pStyle w:val="Paragraphedeliste"/>
        <w:numPr>
          <w:ilvl w:val="0"/>
          <w:numId w:val="58"/>
        </w:numPr>
        <w:suppressAutoHyphens/>
        <w:autoSpaceDN w:val="0"/>
        <w:spacing w:after="200"/>
        <w:contextualSpacing w:val="0"/>
        <w:textAlignment w:val="baseline"/>
        <w:rPr>
          <w:b/>
          <w:i/>
          <w:color w:val="000000"/>
          <w:szCs w:val="21"/>
        </w:rPr>
      </w:pPr>
      <w:r w:rsidRPr="00176E42">
        <w:rPr>
          <w:b/>
          <w:i/>
          <w:color w:val="000000"/>
          <w:szCs w:val="21"/>
        </w:rPr>
        <w:t xml:space="preserve">Résultats et livrables attendus </w:t>
      </w:r>
    </w:p>
    <w:p w14:paraId="790A03F7" w14:textId="77777777" w:rsidR="00176E42" w:rsidRPr="00176E42" w:rsidRDefault="00176E42"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Les comptes du Comité National de l’ITIE-RDC des Exercices 2021 et 2022 sont certifiés par un Cabinet d’audit compétent ;</w:t>
      </w:r>
    </w:p>
    <w:p w14:paraId="1047085B" w14:textId="77777777" w:rsidR="00176E42" w:rsidRPr="00176E42" w:rsidRDefault="00176E42"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Les rapports d’audit contenant des recommandations idoines et l’opinion de l’auditeur sont adoptés par le Comité Exécutif et publiés sur le site web de l’ITIE-RDC.</w:t>
      </w:r>
    </w:p>
    <w:p w14:paraId="101834A6" w14:textId="77777777" w:rsidR="00176E42" w:rsidRPr="00176E42" w:rsidRDefault="00176E42" w:rsidP="00176E42">
      <w:pPr>
        <w:pStyle w:val="Paragraphedeliste"/>
        <w:spacing w:after="0"/>
        <w:ind w:left="1418"/>
        <w:rPr>
          <w:bCs/>
          <w:color w:val="000000"/>
          <w:szCs w:val="21"/>
        </w:rPr>
      </w:pPr>
    </w:p>
    <w:p w14:paraId="0BA87084" w14:textId="77777777" w:rsidR="00176E42" w:rsidRPr="00176E42" w:rsidRDefault="00176E42" w:rsidP="00176E42">
      <w:pPr>
        <w:pStyle w:val="Paragraphedeliste"/>
        <w:numPr>
          <w:ilvl w:val="0"/>
          <w:numId w:val="58"/>
        </w:numPr>
        <w:suppressAutoHyphens/>
        <w:autoSpaceDN w:val="0"/>
        <w:spacing w:after="200"/>
        <w:contextualSpacing w:val="0"/>
        <w:textAlignment w:val="baseline"/>
        <w:rPr>
          <w:b/>
          <w:i/>
          <w:color w:val="000000"/>
          <w:szCs w:val="21"/>
        </w:rPr>
      </w:pPr>
      <w:r w:rsidRPr="00176E42">
        <w:rPr>
          <w:b/>
          <w:i/>
          <w:color w:val="000000"/>
          <w:szCs w:val="21"/>
        </w:rPr>
        <w:t>Indicateurs pour les résultats attendus</w:t>
      </w:r>
    </w:p>
    <w:p w14:paraId="57F131DF" w14:textId="77777777" w:rsidR="00176E42" w:rsidRPr="00176E42" w:rsidRDefault="00176E42"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Deux rapports d’audit produits avant le 31 décembre 2023 par le Cabinet sélectionné à l’issue d’un processus transparent de passation des marchés et contenant chacun l’opinion de l’auditeur ainsi qu’une grille de recommandations.</w:t>
      </w:r>
    </w:p>
    <w:p w14:paraId="5B132182" w14:textId="77777777" w:rsidR="00176E42" w:rsidRPr="00176E42" w:rsidRDefault="00176E42" w:rsidP="00176E42">
      <w:pPr>
        <w:pStyle w:val="Paragraphedeliste"/>
        <w:spacing w:after="0"/>
        <w:ind w:left="1418"/>
        <w:rPr>
          <w:bCs/>
          <w:color w:val="000000"/>
          <w:szCs w:val="21"/>
        </w:rPr>
      </w:pPr>
    </w:p>
    <w:p w14:paraId="07F96ED7" w14:textId="77777777" w:rsidR="00176E42" w:rsidRPr="00176E42" w:rsidRDefault="00176E42" w:rsidP="00176E42">
      <w:pPr>
        <w:pStyle w:val="Paragraphedeliste"/>
        <w:numPr>
          <w:ilvl w:val="0"/>
          <w:numId w:val="55"/>
        </w:numPr>
        <w:suppressAutoHyphens/>
        <w:autoSpaceDN w:val="0"/>
        <w:spacing w:before="23" w:after="200"/>
        <w:ind w:left="426" w:hanging="142"/>
        <w:contextualSpacing w:val="0"/>
        <w:jc w:val="both"/>
        <w:textAlignment w:val="baseline"/>
        <w:rPr>
          <w:b/>
          <w:szCs w:val="21"/>
        </w:rPr>
      </w:pPr>
      <w:r w:rsidRPr="00176E42">
        <w:rPr>
          <w:b/>
          <w:szCs w:val="21"/>
        </w:rPr>
        <w:t>Méthodologie / Approche</w:t>
      </w:r>
    </w:p>
    <w:p w14:paraId="071DF631" w14:textId="77777777" w:rsidR="00176E42" w:rsidRPr="00176E42" w:rsidRDefault="00176E42" w:rsidP="00176E42">
      <w:pPr>
        <w:jc w:val="both"/>
        <w:rPr>
          <w:bCs/>
          <w:color w:val="000000"/>
          <w:szCs w:val="21"/>
        </w:rPr>
      </w:pPr>
      <w:r w:rsidRPr="00176E42">
        <w:rPr>
          <w:bCs/>
          <w:color w:val="000000"/>
          <w:szCs w:val="21"/>
        </w:rPr>
        <w:t xml:space="preserve">Faire usage des normes en matière d’audit et des diligences pour : </w:t>
      </w:r>
    </w:p>
    <w:p w14:paraId="237A5F3D" w14:textId="76BE63B5" w:rsidR="00176E42" w:rsidRPr="00176E42" w:rsidRDefault="00F00B01"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Vérifier</w:t>
      </w:r>
      <w:r w:rsidR="00176E42" w:rsidRPr="00176E42">
        <w:rPr>
          <w:bCs/>
          <w:color w:val="000000"/>
          <w:szCs w:val="21"/>
        </w:rPr>
        <w:t xml:space="preserve"> que les états financiers préparés par le Secrétariat Technique de l’ITIE-RDC sont conformes aux normes comptables en vigueur et donnent une image fidèle de la situation financière et patrimoniale du Comité National de l’ITIE-RDC ;</w:t>
      </w:r>
    </w:p>
    <w:p w14:paraId="28A46BCC" w14:textId="184243E2" w:rsidR="00176E42" w:rsidRPr="00176E42" w:rsidRDefault="00F00B01"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Vérifier</w:t>
      </w:r>
      <w:r w:rsidR="00176E42" w:rsidRPr="00176E42">
        <w:rPr>
          <w:bCs/>
          <w:color w:val="000000"/>
          <w:szCs w:val="21"/>
        </w:rPr>
        <w:t xml:space="preserve"> que les fonds alloués à l’ITIE-RDC par le Gouvernement et par les Partenaires Techniques et Financiers ont été reçus et utilisés conformément aux procédures internes de gestion et aux dispositions des accords de don ;</w:t>
      </w:r>
    </w:p>
    <w:p w14:paraId="46C83345" w14:textId="3DE2F04B" w:rsidR="00176E42" w:rsidRPr="00176E42" w:rsidRDefault="00F00B01" w:rsidP="00176E42">
      <w:pPr>
        <w:pStyle w:val="Paragraphedeliste"/>
        <w:numPr>
          <w:ilvl w:val="0"/>
          <w:numId w:val="56"/>
        </w:numPr>
        <w:suppressAutoHyphens/>
        <w:autoSpaceDN w:val="0"/>
        <w:spacing w:after="0"/>
        <w:ind w:left="568" w:hanging="284"/>
        <w:contextualSpacing w:val="0"/>
        <w:jc w:val="both"/>
        <w:textAlignment w:val="baseline"/>
        <w:rPr>
          <w:bCs/>
          <w:color w:val="000000"/>
          <w:szCs w:val="21"/>
        </w:rPr>
      </w:pPr>
      <w:r w:rsidRPr="00176E42">
        <w:rPr>
          <w:bCs/>
          <w:color w:val="000000"/>
          <w:szCs w:val="21"/>
        </w:rPr>
        <w:t>Vérifier</w:t>
      </w:r>
      <w:r w:rsidR="00176E42" w:rsidRPr="00176E42">
        <w:rPr>
          <w:bCs/>
          <w:color w:val="000000"/>
          <w:szCs w:val="21"/>
        </w:rPr>
        <w:t xml:space="preserve"> que les dépenses effectuées pour le fonctionnement et la réalisation des activités de mise en œuvre de l’ITIE sont prévues, autorisées et justifiées ;</w:t>
      </w:r>
    </w:p>
    <w:p w14:paraId="53CF1737" w14:textId="7297C579" w:rsidR="00176E42" w:rsidRPr="009B62C2" w:rsidRDefault="00176E42" w:rsidP="009B62C2">
      <w:pPr>
        <w:pStyle w:val="Paragraphedeliste"/>
        <w:numPr>
          <w:ilvl w:val="0"/>
          <w:numId w:val="56"/>
        </w:numPr>
        <w:suppressAutoHyphens/>
        <w:autoSpaceDN w:val="0"/>
        <w:spacing w:after="0"/>
        <w:ind w:left="568" w:hanging="284"/>
        <w:contextualSpacing w:val="0"/>
        <w:jc w:val="both"/>
        <w:textAlignment w:val="baseline"/>
        <w:rPr>
          <w:bCs/>
          <w:color w:val="000000"/>
          <w:szCs w:val="21"/>
        </w:rPr>
      </w:pPr>
      <w:proofErr w:type="gramStart"/>
      <w:r w:rsidRPr="00176E42">
        <w:rPr>
          <w:bCs/>
          <w:color w:val="000000"/>
          <w:szCs w:val="21"/>
        </w:rPr>
        <w:t>vérifier</w:t>
      </w:r>
      <w:proofErr w:type="gramEnd"/>
      <w:r w:rsidRPr="00176E42">
        <w:rPr>
          <w:bCs/>
          <w:color w:val="000000"/>
          <w:szCs w:val="21"/>
        </w:rPr>
        <w:t xml:space="preserve"> que les acquisitions de biens, travaux et services ont été effectuées dans le respect des règles et procédures de passation des marchés et des dispositions des accords de don.</w:t>
      </w:r>
    </w:p>
    <w:p w14:paraId="78E249C2" w14:textId="40DE73C1" w:rsidR="00176E42" w:rsidRDefault="00176E42" w:rsidP="00217826">
      <w:pPr>
        <w:spacing w:after="0" w:line="240" w:lineRule="auto"/>
        <w:rPr>
          <w:b/>
          <w:szCs w:val="21"/>
          <w:u w:val="single"/>
        </w:rPr>
      </w:pPr>
    </w:p>
    <w:p w14:paraId="213714D1" w14:textId="662A9475" w:rsidR="00217826" w:rsidRDefault="009B62C2" w:rsidP="009B62C2">
      <w:pPr>
        <w:pStyle w:val="Paragraphedeliste"/>
        <w:numPr>
          <w:ilvl w:val="0"/>
          <w:numId w:val="55"/>
        </w:numPr>
        <w:spacing w:after="0" w:line="240" w:lineRule="auto"/>
        <w:rPr>
          <w:b/>
          <w:szCs w:val="21"/>
          <w:u w:val="single"/>
        </w:rPr>
      </w:pPr>
      <w:r>
        <w:rPr>
          <w:b/>
          <w:szCs w:val="21"/>
          <w:u w:val="single"/>
        </w:rPr>
        <w:t>Profil de l’Auditeur</w:t>
      </w:r>
    </w:p>
    <w:p w14:paraId="0D500DE4" w14:textId="77777777" w:rsidR="009B62C2" w:rsidRDefault="009B62C2" w:rsidP="009B62C2">
      <w:pPr>
        <w:spacing w:after="0" w:line="240" w:lineRule="auto"/>
        <w:rPr>
          <w:b/>
          <w:szCs w:val="21"/>
          <w:u w:val="single"/>
        </w:rPr>
      </w:pPr>
    </w:p>
    <w:p w14:paraId="4B2AC5BA" w14:textId="77777777" w:rsidR="009B62C2" w:rsidRPr="00176E42" w:rsidRDefault="009B62C2" w:rsidP="009B62C2">
      <w:pPr>
        <w:pStyle w:val="Paragraphedeliste"/>
        <w:numPr>
          <w:ilvl w:val="0"/>
          <w:numId w:val="59"/>
        </w:numPr>
        <w:suppressAutoHyphens/>
        <w:autoSpaceDN w:val="0"/>
        <w:spacing w:after="200"/>
        <w:contextualSpacing w:val="0"/>
        <w:textAlignment w:val="baseline"/>
        <w:rPr>
          <w:b/>
          <w:i/>
          <w:color w:val="000000"/>
          <w:szCs w:val="21"/>
        </w:rPr>
      </w:pPr>
      <w:r w:rsidRPr="00176E42">
        <w:rPr>
          <w:b/>
          <w:i/>
          <w:color w:val="000000"/>
          <w:szCs w:val="21"/>
        </w:rPr>
        <w:t>Qualifications</w:t>
      </w:r>
    </w:p>
    <w:p w14:paraId="42F04B89"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 xml:space="preserve">Être un Cabinet d’Audit et d’Expertise comptable faisant profession habituelle de réviser des comptes, </w:t>
      </w:r>
    </w:p>
    <w:p w14:paraId="178E8DE1"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proofErr w:type="spellStart"/>
      <w:r w:rsidRPr="00176E42">
        <w:rPr>
          <w:bCs/>
          <w:color w:val="000000"/>
          <w:szCs w:val="21"/>
        </w:rPr>
        <w:t>Etre</w:t>
      </w:r>
      <w:proofErr w:type="spellEnd"/>
      <w:r w:rsidRPr="00176E42">
        <w:rPr>
          <w:bCs/>
          <w:color w:val="000000"/>
          <w:szCs w:val="21"/>
        </w:rPr>
        <w:t xml:space="preserve"> inscrit au Tableau de l’Ordre National des Experts-Comptables en RDC pour l’exercice 2023</w:t>
      </w:r>
      <w:r>
        <w:rPr>
          <w:bCs/>
          <w:color w:val="000000"/>
          <w:szCs w:val="21"/>
        </w:rPr>
        <w:t xml:space="preserve"> </w:t>
      </w:r>
      <w:r w:rsidRPr="00176E42">
        <w:rPr>
          <w:bCs/>
          <w:color w:val="000000"/>
          <w:szCs w:val="21"/>
        </w:rPr>
        <w:t>;</w:t>
      </w:r>
    </w:p>
    <w:p w14:paraId="3AD7A4DE" w14:textId="566925E4" w:rsidR="009B62C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lastRenderedPageBreak/>
        <w:t>Disposer d'un personnel hautement qualifié et expérimenté dans les travaux d'audit</w:t>
      </w:r>
      <w:r>
        <w:rPr>
          <w:bCs/>
          <w:color w:val="000000"/>
          <w:szCs w:val="21"/>
        </w:rPr>
        <w:t xml:space="preserve"> : CV détaillé des missions déjà réalisées, qualification de chaque auditeur, plus grand diplôme obtenu </w:t>
      </w:r>
      <w:r w:rsidR="00750236">
        <w:rPr>
          <w:bCs/>
          <w:color w:val="000000"/>
          <w:szCs w:val="21"/>
        </w:rPr>
        <w:t>en Economie, Comptabilité, Audit ou domaines équivalent</w:t>
      </w:r>
      <w:r w:rsidR="00F00B01">
        <w:rPr>
          <w:bCs/>
          <w:color w:val="000000"/>
          <w:szCs w:val="21"/>
        </w:rPr>
        <w:t> ;</w:t>
      </w:r>
    </w:p>
    <w:p w14:paraId="52E5B2AD" w14:textId="5E1AFFEB" w:rsidR="009B62C2" w:rsidRPr="00176E42" w:rsidRDefault="00750236" w:rsidP="009B62C2">
      <w:pPr>
        <w:pStyle w:val="Paragraphedeliste"/>
        <w:numPr>
          <w:ilvl w:val="0"/>
          <w:numId w:val="57"/>
        </w:numPr>
        <w:suppressAutoHyphens/>
        <w:autoSpaceDN w:val="0"/>
        <w:spacing w:after="0"/>
        <w:contextualSpacing w:val="0"/>
        <w:jc w:val="both"/>
        <w:textAlignment w:val="baseline"/>
        <w:rPr>
          <w:bCs/>
          <w:color w:val="000000"/>
          <w:szCs w:val="21"/>
        </w:rPr>
      </w:pPr>
      <w:r>
        <w:rPr>
          <w:bCs/>
          <w:color w:val="000000"/>
          <w:szCs w:val="21"/>
        </w:rPr>
        <w:t>CV du</w:t>
      </w:r>
      <w:r w:rsidR="009B62C2">
        <w:rPr>
          <w:bCs/>
          <w:color w:val="000000"/>
          <w:szCs w:val="21"/>
        </w:rPr>
        <w:t xml:space="preserve"> chef de mission/ l’expert principal </w:t>
      </w:r>
      <w:r>
        <w:rPr>
          <w:bCs/>
          <w:color w:val="000000"/>
          <w:szCs w:val="21"/>
        </w:rPr>
        <w:t>avec un diplôme,</w:t>
      </w:r>
      <w:r w:rsidR="009B62C2">
        <w:rPr>
          <w:bCs/>
          <w:color w:val="000000"/>
          <w:szCs w:val="21"/>
        </w:rPr>
        <w:t xml:space="preserve"> au minimum un BAC+5 en Economie, </w:t>
      </w:r>
      <w:r>
        <w:rPr>
          <w:bCs/>
          <w:color w:val="000000"/>
          <w:szCs w:val="21"/>
        </w:rPr>
        <w:t>Comptabilité,</w:t>
      </w:r>
      <w:r w:rsidR="009B62C2">
        <w:rPr>
          <w:bCs/>
          <w:color w:val="000000"/>
          <w:szCs w:val="21"/>
        </w:rPr>
        <w:t xml:space="preserve"> Audit ou domaines équivalent, expérience générale et spécifique repris dans le cv </w:t>
      </w:r>
      <w:r>
        <w:rPr>
          <w:bCs/>
          <w:color w:val="000000"/>
          <w:szCs w:val="21"/>
        </w:rPr>
        <w:t>avec forces détails</w:t>
      </w:r>
      <w:r w:rsidR="009B62C2">
        <w:rPr>
          <w:bCs/>
          <w:color w:val="000000"/>
          <w:szCs w:val="21"/>
        </w:rPr>
        <w:t>.</w:t>
      </w:r>
    </w:p>
    <w:p w14:paraId="51046AB1" w14:textId="77777777" w:rsidR="009B62C2" w:rsidRPr="00176E42" w:rsidRDefault="009B62C2" w:rsidP="009B62C2">
      <w:pPr>
        <w:pStyle w:val="Paragraphedeliste"/>
        <w:spacing w:after="0"/>
        <w:jc w:val="both"/>
        <w:rPr>
          <w:bCs/>
          <w:color w:val="000000"/>
          <w:szCs w:val="21"/>
        </w:rPr>
      </w:pPr>
    </w:p>
    <w:p w14:paraId="317DEBF5" w14:textId="77777777" w:rsidR="009B62C2" w:rsidRPr="00176E42" w:rsidRDefault="009B62C2" w:rsidP="009B62C2">
      <w:pPr>
        <w:pStyle w:val="Paragraphedeliste"/>
        <w:numPr>
          <w:ilvl w:val="0"/>
          <w:numId w:val="59"/>
        </w:numPr>
        <w:suppressAutoHyphens/>
        <w:autoSpaceDN w:val="0"/>
        <w:spacing w:after="200"/>
        <w:contextualSpacing w:val="0"/>
        <w:textAlignment w:val="baseline"/>
        <w:rPr>
          <w:b/>
          <w:i/>
          <w:color w:val="000000"/>
          <w:szCs w:val="21"/>
        </w:rPr>
      </w:pPr>
      <w:r w:rsidRPr="00176E42">
        <w:rPr>
          <w:b/>
          <w:i/>
          <w:color w:val="000000"/>
          <w:szCs w:val="21"/>
        </w:rPr>
        <w:t>Expérience générale</w:t>
      </w:r>
    </w:p>
    <w:p w14:paraId="7C83DED0" w14:textId="404D6A15" w:rsidR="009B62C2" w:rsidRPr="001E22A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 xml:space="preserve">Avoir une expérience confirmée en audit financier et organisationnel des institutions. </w:t>
      </w:r>
    </w:p>
    <w:p w14:paraId="6A07D0DD" w14:textId="77777777" w:rsidR="009B62C2" w:rsidRPr="00176E42" w:rsidRDefault="009B62C2" w:rsidP="009B62C2">
      <w:pPr>
        <w:pStyle w:val="Paragraphedeliste"/>
        <w:numPr>
          <w:ilvl w:val="0"/>
          <w:numId w:val="59"/>
        </w:numPr>
        <w:suppressAutoHyphens/>
        <w:autoSpaceDN w:val="0"/>
        <w:spacing w:after="200"/>
        <w:contextualSpacing w:val="0"/>
        <w:textAlignment w:val="baseline"/>
        <w:rPr>
          <w:b/>
          <w:i/>
          <w:color w:val="000000"/>
          <w:szCs w:val="21"/>
        </w:rPr>
      </w:pPr>
      <w:r w:rsidRPr="00176E42">
        <w:rPr>
          <w:b/>
          <w:i/>
          <w:color w:val="000000"/>
          <w:szCs w:val="21"/>
        </w:rPr>
        <w:t>Expériences spécifiques</w:t>
      </w:r>
    </w:p>
    <w:p w14:paraId="48E49F80"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Avoir effectué des missions d’audit dans les organisations ou institutions œuvrant dans le secteur extractif.</w:t>
      </w:r>
    </w:p>
    <w:p w14:paraId="05C7DCF3"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Connaissance de la Norme ITIE souhaitée.</w:t>
      </w:r>
    </w:p>
    <w:p w14:paraId="5F741BE2"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Connaissances approfondies des normes d’audit international (ISA)</w:t>
      </w:r>
    </w:p>
    <w:p w14:paraId="045EA37E" w14:textId="77777777" w:rsidR="009B62C2" w:rsidRPr="00176E42" w:rsidRDefault="009B62C2" w:rsidP="009B62C2">
      <w:pPr>
        <w:pStyle w:val="Paragraphedeliste"/>
        <w:numPr>
          <w:ilvl w:val="0"/>
          <w:numId w:val="57"/>
        </w:numPr>
        <w:suppressAutoHyphens/>
        <w:autoSpaceDN w:val="0"/>
        <w:spacing w:after="0"/>
        <w:contextualSpacing w:val="0"/>
        <w:jc w:val="both"/>
        <w:textAlignment w:val="baseline"/>
        <w:rPr>
          <w:bCs/>
          <w:color w:val="000000"/>
          <w:szCs w:val="21"/>
        </w:rPr>
      </w:pPr>
      <w:r w:rsidRPr="00176E42">
        <w:rPr>
          <w:bCs/>
          <w:color w:val="000000"/>
          <w:szCs w:val="21"/>
        </w:rPr>
        <w:t>Maîtrise de l’Acte Uniforme relatif au droit comptable et à l’information financière de l’OHADA.</w:t>
      </w:r>
    </w:p>
    <w:p w14:paraId="3DB2CBF3" w14:textId="77777777" w:rsidR="009B62C2" w:rsidRPr="00176E42" w:rsidRDefault="009B62C2" w:rsidP="009B62C2">
      <w:pPr>
        <w:autoSpaceDE w:val="0"/>
        <w:autoSpaceDN w:val="0"/>
        <w:adjustRightInd w:val="0"/>
        <w:spacing w:after="0"/>
        <w:rPr>
          <w:rFonts w:cs="Calibri"/>
          <w:color w:val="333333"/>
          <w:szCs w:val="21"/>
        </w:rPr>
      </w:pPr>
    </w:p>
    <w:p w14:paraId="0F470571" w14:textId="77777777" w:rsidR="009B62C2" w:rsidRDefault="009B62C2" w:rsidP="009B62C2">
      <w:pPr>
        <w:rPr>
          <w:szCs w:val="21"/>
          <w:lang w:val="fr-FR"/>
        </w:rPr>
      </w:pPr>
    </w:p>
    <w:p w14:paraId="55196B00" w14:textId="77777777" w:rsidR="009B62C2" w:rsidRPr="009B62C2" w:rsidRDefault="009B62C2" w:rsidP="009B62C2">
      <w:pPr>
        <w:spacing w:after="0" w:line="240" w:lineRule="auto"/>
        <w:rPr>
          <w:b/>
          <w:szCs w:val="21"/>
          <w:u w:val="single"/>
          <w:lang w:val="fr-FR"/>
        </w:rPr>
      </w:pPr>
    </w:p>
    <w:p w14:paraId="30C31916" w14:textId="77777777" w:rsidR="00217826" w:rsidRDefault="00217826" w:rsidP="00217826">
      <w:pPr>
        <w:spacing w:after="0" w:line="240" w:lineRule="auto"/>
        <w:rPr>
          <w:b/>
          <w:szCs w:val="21"/>
          <w:u w:val="single"/>
        </w:rPr>
      </w:pPr>
    </w:p>
    <w:p w14:paraId="355D358D" w14:textId="77777777" w:rsidR="00750236" w:rsidRDefault="00750236" w:rsidP="00217826">
      <w:pPr>
        <w:spacing w:after="0" w:line="240" w:lineRule="auto"/>
        <w:rPr>
          <w:b/>
          <w:szCs w:val="21"/>
          <w:u w:val="single"/>
        </w:rPr>
      </w:pPr>
    </w:p>
    <w:p w14:paraId="412FF80C" w14:textId="77777777" w:rsidR="00750236" w:rsidRDefault="00750236" w:rsidP="00217826">
      <w:pPr>
        <w:spacing w:after="0" w:line="240" w:lineRule="auto"/>
        <w:rPr>
          <w:b/>
          <w:szCs w:val="21"/>
          <w:u w:val="single"/>
        </w:rPr>
      </w:pPr>
    </w:p>
    <w:p w14:paraId="3D3117AC" w14:textId="77777777" w:rsidR="00750236" w:rsidRDefault="00750236" w:rsidP="00217826">
      <w:pPr>
        <w:spacing w:after="0" w:line="240" w:lineRule="auto"/>
        <w:rPr>
          <w:b/>
          <w:szCs w:val="21"/>
          <w:u w:val="single"/>
        </w:rPr>
      </w:pPr>
    </w:p>
    <w:p w14:paraId="27B7C1B2" w14:textId="77777777" w:rsidR="00750236" w:rsidRDefault="00750236" w:rsidP="00217826">
      <w:pPr>
        <w:spacing w:after="0" w:line="240" w:lineRule="auto"/>
        <w:rPr>
          <w:b/>
          <w:szCs w:val="21"/>
          <w:u w:val="single"/>
        </w:rPr>
      </w:pPr>
    </w:p>
    <w:p w14:paraId="2ACDA3F2" w14:textId="77777777" w:rsidR="00750236" w:rsidRDefault="00750236" w:rsidP="00217826">
      <w:pPr>
        <w:spacing w:after="0" w:line="240" w:lineRule="auto"/>
        <w:rPr>
          <w:b/>
          <w:szCs w:val="21"/>
          <w:u w:val="single"/>
        </w:rPr>
      </w:pPr>
    </w:p>
    <w:p w14:paraId="4F7D28E6" w14:textId="77777777" w:rsidR="00750236" w:rsidRDefault="00750236" w:rsidP="00217826">
      <w:pPr>
        <w:spacing w:after="0" w:line="240" w:lineRule="auto"/>
        <w:rPr>
          <w:b/>
          <w:szCs w:val="21"/>
          <w:u w:val="single"/>
        </w:rPr>
      </w:pPr>
    </w:p>
    <w:p w14:paraId="28867038" w14:textId="77777777" w:rsidR="00750236" w:rsidRDefault="00750236" w:rsidP="00217826">
      <w:pPr>
        <w:spacing w:after="0" w:line="240" w:lineRule="auto"/>
        <w:rPr>
          <w:b/>
          <w:szCs w:val="21"/>
          <w:u w:val="single"/>
        </w:rPr>
      </w:pPr>
    </w:p>
    <w:p w14:paraId="3968C7D4" w14:textId="77777777" w:rsidR="00750236" w:rsidRDefault="00750236" w:rsidP="00217826">
      <w:pPr>
        <w:spacing w:after="0" w:line="240" w:lineRule="auto"/>
        <w:rPr>
          <w:b/>
          <w:szCs w:val="21"/>
          <w:u w:val="single"/>
        </w:rPr>
      </w:pPr>
    </w:p>
    <w:p w14:paraId="7E238977" w14:textId="77777777" w:rsidR="00750236" w:rsidRDefault="00750236" w:rsidP="00217826">
      <w:pPr>
        <w:spacing w:after="0" w:line="240" w:lineRule="auto"/>
        <w:rPr>
          <w:b/>
          <w:szCs w:val="21"/>
          <w:u w:val="single"/>
        </w:rPr>
      </w:pPr>
    </w:p>
    <w:p w14:paraId="03A760C5" w14:textId="77777777" w:rsidR="00750236" w:rsidRDefault="00750236" w:rsidP="00217826">
      <w:pPr>
        <w:spacing w:after="0" w:line="240" w:lineRule="auto"/>
        <w:rPr>
          <w:b/>
          <w:szCs w:val="21"/>
          <w:u w:val="single"/>
        </w:rPr>
      </w:pPr>
    </w:p>
    <w:p w14:paraId="4F701DCB" w14:textId="77777777" w:rsidR="00750236" w:rsidRDefault="00750236" w:rsidP="00217826">
      <w:pPr>
        <w:spacing w:after="0" w:line="240" w:lineRule="auto"/>
        <w:rPr>
          <w:b/>
          <w:szCs w:val="21"/>
          <w:u w:val="single"/>
        </w:rPr>
      </w:pPr>
    </w:p>
    <w:p w14:paraId="312F5822" w14:textId="77777777" w:rsidR="00750236" w:rsidRDefault="00750236" w:rsidP="00217826">
      <w:pPr>
        <w:spacing w:after="0" w:line="240" w:lineRule="auto"/>
        <w:rPr>
          <w:b/>
          <w:szCs w:val="21"/>
          <w:u w:val="single"/>
        </w:rPr>
      </w:pPr>
    </w:p>
    <w:p w14:paraId="5519466E" w14:textId="77777777" w:rsidR="00750236" w:rsidRDefault="00750236" w:rsidP="00217826">
      <w:pPr>
        <w:spacing w:after="0" w:line="240" w:lineRule="auto"/>
        <w:rPr>
          <w:b/>
          <w:szCs w:val="21"/>
          <w:u w:val="single"/>
        </w:rPr>
      </w:pPr>
    </w:p>
    <w:p w14:paraId="01CF5CDB" w14:textId="77777777" w:rsidR="00750236" w:rsidRDefault="00750236" w:rsidP="00217826">
      <w:pPr>
        <w:spacing w:after="0" w:line="240" w:lineRule="auto"/>
        <w:rPr>
          <w:b/>
          <w:szCs w:val="21"/>
          <w:u w:val="single"/>
        </w:rPr>
      </w:pPr>
    </w:p>
    <w:p w14:paraId="62A65CBA" w14:textId="77777777" w:rsidR="00750236" w:rsidRDefault="00750236" w:rsidP="00217826">
      <w:pPr>
        <w:spacing w:after="0" w:line="240" w:lineRule="auto"/>
        <w:rPr>
          <w:b/>
          <w:szCs w:val="21"/>
          <w:u w:val="single"/>
        </w:rPr>
      </w:pPr>
    </w:p>
    <w:p w14:paraId="72237D8E" w14:textId="77777777" w:rsidR="00750236" w:rsidRDefault="00750236" w:rsidP="00217826">
      <w:pPr>
        <w:spacing w:after="0" w:line="240" w:lineRule="auto"/>
        <w:rPr>
          <w:b/>
          <w:szCs w:val="21"/>
          <w:u w:val="single"/>
        </w:rPr>
      </w:pPr>
    </w:p>
    <w:p w14:paraId="21494764" w14:textId="77777777" w:rsidR="00750236" w:rsidRDefault="00750236" w:rsidP="00217826">
      <w:pPr>
        <w:spacing w:after="0" w:line="240" w:lineRule="auto"/>
        <w:rPr>
          <w:b/>
          <w:szCs w:val="21"/>
          <w:u w:val="single"/>
        </w:rPr>
      </w:pPr>
    </w:p>
    <w:p w14:paraId="475E4908" w14:textId="77777777" w:rsidR="00750236" w:rsidRDefault="00750236" w:rsidP="00217826">
      <w:pPr>
        <w:spacing w:after="0" w:line="240" w:lineRule="auto"/>
        <w:rPr>
          <w:b/>
          <w:szCs w:val="21"/>
          <w:u w:val="single"/>
        </w:rPr>
      </w:pPr>
    </w:p>
    <w:p w14:paraId="1FF84992" w14:textId="77777777" w:rsidR="00750236" w:rsidRDefault="00750236" w:rsidP="00217826">
      <w:pPr>
        <w:spacing w:after="0" w:line="240" w:lineRule="auto"/>
        <w:rPr>
          <w:b/>
          <w:szCs w:val="21"/>
          <w:u w:val="single"/>
        </w:rPr>
      </w:pPr>
    </w:p>
    <w:p w14:paraId="7AA66A48" w14:textId="77777777" w:rsidR="00750236" w:rsidRDefault="00750236" w:rsidP="00217826">
      <w:pPr>
        <w:spacing w:after="0" w:line="240" w:lineRule="auto"/>
        <w:rPr>
          <w:b/>
          <w:szCs w:val="21"/>
          <w:u w:val="single"/>
        </w:rPr>
      </w:pPr>
    </w:p>
    <w:p w14:paraId="3883E44E" w14:textId="77777777" w:rsidR="00750236" w:rsidRDefault="00750236" w:rsidP="00217826">
      <w:pPr>
        <w:spacing w:after="0" w:line="240" w:lineRule="auto"/>
        <w:rPr>
          <w:b/>
          <w:szCs w:val="21"/>
          <w:u w:val="single"/>
        </w:rPr>
      </w:pPr>
    </w:p>
    <w:p w14:paraId="7383C8B2" w14:textId="77777777" w:rsidR="00750236" w:rsidRDefault="00750236" w:rsidP="00217826">
      <w:pPr>
        <w:spacing w:after="0" w:line="240" w:lineRule="auto"/>
        <w:rPr>
          <w:b/>
          <w:szCs w:val="21"/>
          <w:u w:val="single"/>
        </w:rPr>
      </w:pPr>
    </w:p>
    <w:p w14:paraId="10CF7F5E" w14:textId="77777777" w:rsidR="00750236" w:rsidRDefault="00750236" w:rsidP="00217826">
      <w:pPr>
        <w:spacing w:after="0" w:line="240" w:lineRule="auto"/>
        <w:rPr>
          <w:b/>
          <w:szCs w:val="21"/>
          <w:u w:val="single"/>
        </w:rPr>
      </w:pPr>
    </w:p>
    <w:p w14:paraId="79BA80CC" w14:textId="77777777" w:rsidR="00217826" w:rsidRDefault="00217826" w:rsidP="00217826">
      <w:pPr>
        <w:spacing w:after="0" w:line="240" w:lineRule="auto"/>
        <w:rPr>
          <w:b/>
          <w:szCs w:val="21"/>
          <w:u w:val="single"/>
        </w:rPr>
      </w:pPr>
    </w:p>
    <w:p w14:paraId="4222CA4E" w14:textId="77777777" w:rsidR="00217826" w:rsidRDefault="00217826" w:rsidP="00217826">
      <w:pPr>
        <w:spacing w:after="0" w:line="240" w:lineRule="auto"/>
        <w:rPr>
          <w:b/>
          <w:szCs w:val="21"/>
          <w:u w:val="single"/>
        </w:rPr>
      </w:pPr>
    </w:p>
    <w:p w14:paraId="3A6E2F7C" w14:textId="77777777" w:rsidR="00217826" w:rsidRPr="00217826" w:rsidRDefault="00217826" w:rsidP="00217826">
      <w:pPr>
        <w:spacing w:after="0" w:line="240" w:lineRule="auto"/>
        <w:rPr>
          <w:b/>
          <w:szCs w:val="21"/>
          <w:u w:val="single"/>
        </w:rPr>
      </w:pPr>
    </w:p>
    <w:p w14:paraId="3C7F4BC0" w14:textId="45DFE5B8" w:rsidR="005F2003" w:rsidRDefault="005F2003" w:rsidP="00C72B94">
      <w:pPr>
        <w:pStyle w:val="Titre1"/>
        <w:numPr>
          <w:ilvl w:val="0"/>
          <w:numId w:val="5"/>
        </w:numPr>
      </w:pPr>
      <w:bookmarkStart w:id="177" w:name="_Toc144699203"/>
      <w:r>
        <w:t>Formulaires</w:t>
      </w:r>
      <w:r w:rsidR="00E535C1">
        <w:t xml:space="preserve"> d’offre</w:t>
      </w:r>
      <w:bookmarkEnd w:id="177"/>
    </w:p>
    <w:p w14:paraId="397C9930" w14:textId="77777777" w:rsidR="00E535C1" w:rsidRDefault="00E535C1" w:rsidP="00E535C1">
      <w:pPr>
        <w:pStyle w:val="Titre2"/>
      </w:pPr>
      <w:bookmarkStart w:id="178" w:name="_Toc52268497"/>
      <w:bookmarkStart w:id="179" w:name="_Toc144699204"/>
      <w:r>
        <w:lastRenderedPageBreak/>
        <w:t xml:space="preserve">Fiche </w:t>
      </w:r>
      <w:r w:rsidRPr="00AB5BF9">
        <w:t>d’identification</w:t>
      </w:r>
      <w:bookmarkEnd w:id="178"/>
      <w:bookmarkEnd w:id="179"/>
    </w:p>
    <w:p w14:paraId="7C0D9C01" w14:textId="77777777" w:rsidR="00E535C1" w:rsidRPr="00FC215D" w:rsidRDefault="00E535C1" w:rsidP="00E535C1">
      <w:pPr>
        <w:pStyle w:val="Titre3"/>
      </w:pPr>
      <w:bookmarkStart w:id="180" w:name="_Toc364253087"/>
      <w:bookmarkStart w:id="181" w:name="_Toc51592066"/>
      <w:bookmarkStart w:id="182" w:name="_Toc52268498"/>
      <w:bookmarkStart w:id="183" w:name="_Toc144699205"/>
      <w:r w:rsidRPr="00FC215D">
        <w:t>Personne physique</w:t>
      </w:r>
      <w:bookmarkEnd w:id="180"/>
      <w:bookmarkEnd w:id="181"/>
      <w:bookmarkEnd w:id="182"/>
      <w:bookmarkEnd w:id="183"/>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84" w:name="_Hlk52268008"/>
      <w:r w:rsidRPr="00D450F6">
        <w:rPr>
          <w:rFonts w:eastAsia="DejaVu Sans" w:cs="Tahoma"/>
          <w:color w:val="auto"/>
          <w:kern w:val="18"/>
          <w:sz w:val="20"/>
          <w:szCs w:val="20"/>
          <w:lang w:val="fr-FR"/>
        </w:rPr>
        <w:t xml:space="preserve">Pour remplir la fiche, veuillez cliquer ici : </w:t>
      </w:r>
      <w:hyperlink r:id="rId20">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4"/>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5"/>
            </w:r>
            <w:r w:rsidRPr="00C94CF0">
              <w:rPr>
                <w:b/>
                <w:sz w:val="16"/>
                <w:szCs w:val="16"/>
              </w:rPr>
              <w:tab/>
              <w:t>AUTRE</w:t>
            </w:r>
            <w:r>
              <w:rPr>
                <w:rStyle w:val="Appelnotedebasdep"/>
                <w:b/>
                <w:sz w:val="16"/>
                <w:szCs w:val="16"/>
              </w:rPr>
              <w:footnoteReference w:id="16"/>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7"/>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8"/>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85" w:name="_Toc51592067"/>
      <w:bookmarkStart w:id="186" w:name="_Toc52268499"/>
      <w:bookmarkStart w:id="187" w:name="_Toc144699206"/>
      <w:bookmarkEnd w:id="184"/>
      <w:r w:rsidRPr="006542C5">
        <w:rPr>
          <w:lang w:val="fr-BE"/>
        </w:rPr>
        <w:lastRenderedPageBreak/>
        <w:t>Entité de droit privé/public ayant une forme juridique</w:t>
      </w:r>
      <w:bookmarkEnd w:id="185"/>
      <w:bookmarkEnd w:id="186"/>
      <w:bookmarkEnd w:id="187"/>
    </w:p>
    <w:p w14:paraId="40DC05F6" w14:textId="77777777" w:rsidR="007D0B42" w:rsidRPr="00D450F6" w:rsidRDefault="007D0B42" w:rsidP="007D0B42">
      <w:bookmarkStart w:id="188" w:name="_Hlk52268009"/>
      <w:r>
        <w:t xml:space="preserve">Pour remplir la fiche, veuillez cliquer ici : </w:t>
      </w:r>
      <w:hyperlink r:id="rId21">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0"/>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9" w:name="_Toc51592068"/>
    </w:p>
    <w:bookmarkEnd w:id="188"/>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90" w:name="_Toc52268500"/>
      <w:bookmarkStart w:id="191" w:name="_Toc144699207"/>
      <w:proofErr w:type="spellStart"/>
      <w:r>
        <w:lastRenderedPageBreak/>
        <w:t>E</w:t>
      </w:r>
      <w:r w:rsidRPr="008A70C6">
        <w:t>ntité</w:t>
      </w:r>
      <w:proofErr w:type="spellEnd"/>
      <w:r w:rsidRPr="008A70C6">
        <w:t xml:space="preserve"> de droit publi</w:t>
      </w:r>
      <w:r>
        <w:t>c</w:t>
      </w:r>
      <w:bookmarkEnd w:id="189"/>
      <w:r>
        <w:rPr>
          <w:rStyle w:val="Appelnotedebasdep"/>
        </w:rPr>
        <w:footnoteReference w:id="22"/>
      </w:r>
      <w:bookmarkEnd w:id="190"/>
      <w:bookmarkEnd w:id="191"/>
    </w:p>
    <w:p w14:paraId="4B29CDD3" w14:textId="0409AA25" w:rsidR="0014322D" w:rsidRPr="00D450F6" w:rsidRDefault="0014322D" w:rsidP="0014322D">
      <w:bookmarkStart w:id="192" w:name="_Hlk52268028"/>
      <w:r>
        <w:t xml:space="preserve">Pour remplir la fiche, veuillez cliquer ici : </w:t>
      </w:r>
      <w:hyperlink r:id="rId22">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3"/>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4"/>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193" w:name="_Toc257039881"/>
      <w:bookmarkStart w:id="194" w:name="_Toc511056610"/>
      <w:bookmarkStart w:id="195" w:name="_Toc51592069"/>
      <w:bookmarkStart w:id="196" w:name="_Toc52268501"/>
      <w:bookmarkStart w:id="197" w:name="_Toc144699208"/>
      <w:bookmarkEnd w:id="192"/>
      <w:r w:rsidRPr="00034F98">
        <w:t>Sous-</w:t>
      </w:r>
      <w:proofErr w:type="spellStart"/>
      <w:r w:rsidRPr="00034F98">
        <w:t>traitants</w:t>
      </w:r>
      <w:bookmarkEnd w:id="193"/>
      <w:bookmarkEnd w:id="194"/>
      <w:bookmarkEnd w:id="195"/>
      <w:bookmarkEnd w:id="196"/>
      <w:bookmarkEnd w:id="19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19A539E0" w14:textId="77777777" w:rsidR="000A6E24" w:rsidRDefault="000A6E24" w:rsidP="000A6E24">
      <w:pPr>
        <w:pStyle w:val="Titre2"/>
      </w:pPr>
      <w:bookmarkStart w:id="198" w:name="_Toc131414899"/>
      <w:bookmarkStart w:id="199" w:name="_Toc144699209"/>
      <w:bookmarkStart w:id="200" w:name="_Toc52268502"/>
      <w:r>
        <w:lastRenderedPageBreak/>
        <w:t>Signature autorisée</w:t>
      </w:r>
      <w:bookmarkEnd w:id="198"/>
      <w:bookmarkEnd w:id="199"/>
    </w:p>
    <w:p w14:paraId="672F38DC" w14:textId="73A47AD5" w:rsidR="000A6E24" w:rsidRPr="000A6E24" w:rsidRDefault="000A6E24" w:rsidP="000A6E24">
      <w:pPr>
        <w:spacing w:line="288" w:lineRule="auto"/>
        <w:jc w:val="both"/>
        <w:rPr>
          <w:kern w:val="18"/>
          <w:sz w:val="20"/>
        </w:rPr>
      </w:pPr>
      <w:r w:rsidRPr="0055389F">
        <w:rPr>
          <w:kern w:val="18"/>
          <w:sz w:val="20"/>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r>
        <w:rPr>
          <w:kern w:val="18"/>
          <w:sz w:val="20"/>
        </w:rPr>
        <w:t xml:space="preserve"> Une procuration du gérant statuaire est aussi acceptable</w:t>
      </w:r>
    </w:p>
    <w:p w14:paraId="2A3C2D54" w14:textId="2C662F3E" w:rsidR="00E535C1" w:rsidRPr="006542C5" w:rsidRDefault="00E535C1" w:rsidP="00E535C1">
      <w:pPr>
        <w:pStyle w:val="Titre2"/>
      </w:pPr>
      <w:bookmarkStart w:id="201" w:name="_Toc144699210"/>
      <w:r w:rsidRPr="006542C5">
        <w:t>Formulaire d’offre - Prix</w:t>
      </w:r>
      <w:bookmarkEnd w:id="200"/>
      <w:bookmarkEnd w:id="201"/>
    </w:p>
    <w:p w14:paraId="61A3AE9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57FBD6FD"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Style w:val="Grilledutableau"/>
        <w:tblW w:w="8775" w:type="dxa"/>
        <w:tblLayout w:type="fixed"/>
        <w:tblLook w:val="04A0" w:firstRow="1" w:lastRow="0" w:firstColumn="1" w:lastColumn="0" w:noHBand="0" w:noVBand="1"/>
      </w:tblPr>
      <w:tblGrid>
        <w:gridCol w:w="3936"/>
        <w:gridCol w:w="1872"/>
        <w:gridCol w:w="1417"/>
        <w:gridCol w:w="1550"/>
      </w:tblGrid>
      <w:tr w:rsidR="00176E42" w:rsidRPr="005C33A2" w14:paraId="0C96A91A" w14:textId="77777777" w:rsidTr="000A6E24">
        <w:trPr>
          <w:trHeight w:val="813"/>
        </w:trPr>
        <w:tc>
          <w:tcPr>
            <w:tcW w:w="3936" w:type="dxa"/>
          </w:tcPr>
          <w:p w14:paraId="19D3F5C9" w14:textId="77777777" w:rsidR="00176E42" w:rsidRPr="005C33A2" w:rsidRDefault="00176E42" w:rsidP="00CB50F0">
            <w:pPr>
              <w:spacing w:after="0"/>
              <w:jc w:val="both"/>
              <w:rPr>
                <w:rFonts w:cs="Calibri"/>
                <w:b/>
                <w:bCs/>
              </w:rPr>
            </w:pPr>
            <w:r w:rsidRPr="005C33A2">
              <w:rPr>
                <w:rFonts w:cs="Calibri"/>
                <w:b/>
                <w:bCs/>
              </w:rPr>
              <w:t>Description</w:t>
            </w:r>
          </w:p>
        </w:tc>
        <w:tc>
          <w:tcPr>
            <w:tcW w:w="1872" w:type="dxa"/>
          </w:tcPr>
          <w:p w14:paraId="7388DAFC" w14:textId="77777777" w:rsidR="00176E42" w:rsidRPr="005C33A2" w:rsidRDefault="00176E42" w:rsidP="00CB50F0">
            <w:pPr>
              <w:spacing w:after="0"/>
              <w:ind w:right="-58"/>
              <w:jc w:val="both"/>
              <w:rPr>
                <w:rFonts w:cs="Calibri"/>
                <w:b/>
                <w:bCs/>
              </w:rPr>
            </w:pPr>
            <w:r w:rsidRPr="005C33A2">
              <w:rPr>
                <w:rFonts w:cs="Calibri"/>
                <w:b/>
                <w:bCs/>
              </w:rPr>
              <w:t>Prix unitaire (EUR)</w:t>
            </w:r>
          </w:p>
        </w:tc>
        <w:tc>
          <w:tcPr>
            <w:tcW w:w="1417" w:type="dxa"/>
          </w:tcPr>
          <w:p w14:paraId="6445F3E0" w14:textId="77777777" w:rsidR="00176E42" w:rsidRPr="005C33A2" w:rsidRDefault="00176E42" w:rsidP="00CB50F0">
            <w:pPr>
              <w:spacing w:after="0"/>
              <w:ind w:right="-112"/>
              <w:jc w:val="both"/>
              <w:rPr>
                <w:rFonts w:cs="Calibri"/>
                <w:b/>
                <w:bCs/>
              </w:rPr>
            </w:pPr>
            <w:r w:rsidRPr="005C33A2">
              <w:rPr>
                <w:rFonts w:cs="Calibri"/>
                <w:b/>
                <w:bCs/>
              </w:rPr>
              <w:t>Montant Total (EUR)</w:t>
            </w:r>
          </w:p>
        </w:tc>
        <w:tc>
          <w:tcPr>
            <w:tcW w:w="1550" w:type="dxa"/>
          </w:tcPr>
          <w:p w14:paraId="6AA9BBCD" w14:textId="77777777" w:rsidR="00176E42" w:rsidRPr="005C33A2" w:rsidRDefault="00176E42" w:rsidP="00CB50F0">
            <w:pPr>
              <w:spacing w:after="0"/>
              <w:jc w:val="both"/>
              <w:rPr>
                <w:rFonts w:cs="Calibri"/>
                <w:b/>
                <w:bCs/>
              </w:rPr>
            </w:pPr>
            <w:r w:rsidRPr="005C33A2">
              <w:rPr>
                <w:rFonts w:cs="Calibri"/>
                <w:b/>
                <w:bCs/>
              </w:rPr>
              <w:t>Observations</w:t>
            </w:r>
          </w:p>
        </w:tc>
      </w:tr>
      <w:tr w:rsidR="00176E42" w:rsidRPr="005C33A2" w14:paraId="6A313B13" w14:textId="77777777" w:rsidTr="000A6E24">
        <w:trPr>
          <w:trHeight w:val="1465"/>
        </w:trPr>
        <w:tc>
          <w:tcPr>
            <w:tcW w:w="3936" w:type="dxa"/>
          </w:tcPr>
          <w:p w14:paraId="136A82B9" w14:textId="3267CBD4" w:rsidR="00233308" w:rsidRDefault="00233308" w:rsidP="00233308">
            <w:pPr>
              <w:pStyle w:val="Titrecouverture"/>
              <w:rPr>
                <w:sz w:val="24"/>
                <w:szCs w:val="24"/>
              </w:rPr>
            </w:pPr>
            <w:r>
              <w:rPr>
                <w:rFonts w:ascii="Arial Narrow" w:hAnsi="Arial Narrow"/>
                <w:sz w:val="24"/>
                <w:szCs w:val="24"/>
              </w:rPr>
              <w:t>A</w:t>
            </w:r>
            <w:r w:rsidRPr="00233308">
              <w:rPr>
                <w:rFonts w:ascii="Garamond" w:hAnsi="Garamond"/>
                <w:b/>
                <w:sz w:val="30"/>
                <w:szCs w:val="30"/>
              </w:rPr>
              <w:t>udit</w:t>
            </w:r>
            <w:r w:rsidRPr="002D2165">
              <w:rPr>
                <w:rFonts w:ascii="Garamond" w:hAnsi="Garamond"/>
                <w:b/>
                <w:sz w:val="30"/>
                <w:szCs w:val="30"/>
              </w:rPr>
              <w:t xml:space="preserve"> des</w:t>
            </w:r>
            <w:r>
              <w:rPr>
                <w:rFonts w:ascii="Garamond" w:hAnsi="Garamond"/>
                <w:b/>
                <w:sz w:val="30"/>
                <w:szCs w:val="30"/>
              </w:rPr>
              <w:t xml:space="preserve"> </w:t>
            </w:r>
            <w:r w:rsidRPr="002D2165">
              <w:rPr>
                <w:rFonts w:ascii="Garamond" w:hAnsi="Garamond"/>
                <w:b/>
                <w:sz w:val="30"/>
                <w:szCs w:val="30"/>
              </w:rPr>
              <w:t>comptes annuels du comité national de</w:t>
            </w:r>
            <w:r>
              <w:rPr>
                <w:rFonts w:ascii="Garamond" w:hAnsi="Garamond"/>
                <w:b/>
                <w:sz w:val="30"/>
                <w:szCs w:val="30"/>
              </w:rPr>
              <w:t xml:space="preserve"> l’ITIE-RDC pour les Exercices 2021 et 2022 »</w:t>
            </w:r>
          </w:p>
          <w:p w14:paraId="1C35C8A2" w14:textId="7825AF4C" w:rsidR="00176E42" w:rsidRPr="005C33A2" w:rsidRDefault="00176E42" w:rsidP="00CB50F0">
            <w:pPr>
              <w:spacing w:after="0"/>
              <w:rPr>
                <w:rFonts w:cs="Calibri"/>
              </w:rPr>
            </w:pPr>
          </w:p>
        </w:tc>
        <w:tc>
          <w:tcPr>
            <w:tcW w:w="1872" w:type="dxa"/>
          </w:tcPr>
          <w:p w14:paraId="565E9DD5" w14:textId="77777777" w:rsidR="00176E42" w:rsidRPr="005C33A2" w:rsidRDefault="00176E42" w:rsidP="00CB50F0">
            <w:pPr>
              <w:spacing w:after="0"/>
              <w:jc w:val="right"/>
              <w:rPr>
                <w:rFonts w:cs="Calibri"/>
              </w:rPr>
            </w:pPr>
          </w:p>
        </w:tc>
        <w:tc>
          <w:tcPr>
            <w:tcW w:w="1417" w:type="dxa"/>
          </w:tcPr>
          <w:p w14:paraId="06D9C9F3" w14:textId="77777777" w:rsidR="00176E42" w:rsidRPr="005C33A2" w:rsidRDefault="00176E42" w:rsidP="00CB50F0">
            <w:pPr>
              <w:spacing w:after="0"/>
              <w:jc w:val="right"/>
              <w:rPr>
                <w:rFonts w:cs="Calibri"/>
              </w:rPr>
            </w:pPr>
          </w:p>
        </w:tc>
        <w:tc>
          <w:tcPr>
            <w:tcW w:w="1550" w:type="dxa"/>
          </w:tcPr>
          <w:p w14:paraId="6C253363" w14:textId="77777777" w:rsidR="00176E42" w:rsidRPr="005C33A2" w:rsidRDefault="00176E42" w:rsidP="00CB50F0">
            <w:pPr>
              <w:spacing w:after="0"/>
              <w:jc w:val="both"/>
              <w:rPr>
                <w:rFonts w:cs="Calibri"/>
              </w:rPr>
            </w:pPr>
          </w:p>
        </w:tc>
      </w:tr>
    </w:tbl>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53035264"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8366001" w14:textId="4C60D42A" w:rsidR="000A6E24" w:rsidRDefault="000A6E24" w:rsidP="000A6E24">
      <w:pPr>
        <w:pStyle w:val="Titre2"/>
        <w:numPr>
          <w:ilvl w:val="0"/>
          <w:numId w:val="0"/>
        </w:numPr>
      </w:pPr>
      <w:bookmarkStart w:id="202" w:name="_Toc52268503"/>
    </w:p>
    <w:p w14:paraId="1DB16397" w14:textId="256AF404" w:rsidR="00E535C1" w:rsidRPr="006542C5" w:rsidRDefault="00E535C1" w:rsidP="000A6E24">
      <w:pPr>
        <w:pStyle w:val="Titre2"/>
      </w:pPr>
      <w:bookmarkStart w:id="203" w:name="_Toc144699211"/>
      <w:r w:rsidRPr="006542C5">
        <w:t>Déclaration sur l’honneur – motifs d’exclusion</w:t>
      </w:r>
      <w:bookmarkEnd w:id="202"/>
      <w:bookmarkEnd w:id="203"/>
      <w:r w:rsidRPr="006542C5">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4"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000000" w:rsidP="00E535C1">
      <w:pPr>
        <w:pStyle w:val="paragraph"/>
        <w:spacing w:after="0"/>
        <w:ind w:left="360"/>
        <w:textAlignment w:val="baseline"/>
        <w:rPr>
          <w:rStyle w:val="eop"/>
          <w:rFonts w:ascii="Georgia" w:hAnsi="Georgia" w:cs="Segoe UI"/>
          <w:sz w:val="20"/>
          <w:szCs w:val="20"/>
          <w:lang w:val="fr-FR"/>
        </w:rPr>
      </w:pPr>
      <w:hyperlink r:id="rId25"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26"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27"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442C30" w:rsidRDefault="00E535C1" w:rsidP="00DF3CD1">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3A0E5658" w14:textId="77777777" w:rsidR="000A6E24" w:rsidRPr="00442C30" w:rsidRDefault="000A6E24" w:rsidP="00E535C1">
      <w:pPr>
        <w:ind w:left="360"/>
        <w:rPr>
          <w:rStyle w:val="eop"/>
          <w:rFonts w:eastAsia="Times New Roman" w:cs="Segoe UI"/>
          <w:color w:val="auto"/>
          <w:sz w:val="20"/>
          <w:szCs w:val="20"/>
          <w:lang w:val="fr-FR" w:eastAsia="nl-BE"/>
        </w:rPr>
      </w:pPr>
    </w:p>
    <w:p w14:paraId="3C33808C" w14:textId="77777777" w:rsidR="00E535C1" w:rsidRPr="006F289F" w:rsidRDefault="00E535C1" w:rsidP="00E535C1">
      <w:pPr>
        <w:pStyle w:val="Titre2"/>
        <w:rPr>
          <w:highlight w:val="yellow"/>
        </w:rPr>
      </w:pPr>
      <w:bookmarkStart w:id="204" w:name="_Toc52268504"/>
      <w:bookmarkStart w:id="205" w:name="_Toc144699212"/>
      <w:r w:rsidRPr="006F289F">
        <w:rPr>
          <w:highlight w:val="yellow"/>
        </w:rPr>
        <w:lastRenderedPageBreak/>
        <w:t>Déclaration intégrité soumissionnaires</w:t>
      </w:r>
      <w:bookmarkEnd w:id="204"/>
      <w:bookmarkEnd w:id="205"/>
    </w:p>
    <w:p w14:paraId="1ED7442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35DE548" w14:textId="77777777" w:rsidR="00E535C1" w:rsidRDefault="00E535C1" w:rsidP="00E535C1">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750236" w:rsidRDefault="00E535C1" w:rsidP="00E535C1">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w:t>
      </w:r>
      <w:r w:rsidRPr="00750236">
        <w:t xml:space="preserve">indirect avec Enabel (ce qui pourrait, par exemple, entraîner un conflit d'intérêts). </w:t>
      </w:r>
    </w:p>
    <w:p w14:paraId="05357E4A" w14:textId="77777777" w:rsidR="00E535C1" w:rsidRPr="00750236" w:rsidRDefault="00E535C1" w:rsidP="00E535C1">
      <w:pPr>
        <w:pStyle w:val="Corpsdetexte2"/>
        <w:numPr>
          <w:ilvl w:val="0"/>
          <w:numId w:val="10"/>
        </w:numPr>
        <w:spacing w:after="0" w:line="280" w:lineRule="auto"/>
        <w:jc w:val="both"/>
      </w:pPr>
      <w:r w:rsidRPr="0075023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750236">
        <w:t>corruption  et</w:t>
      </w:r>
      <w:proofErr w:type="gramEnd"/>
      <w:r w:rsidRPr="00750236">
        <w:t xml:space="preserve"> je / nous déclare/</w:t>
      </w:r>
      <w:proofErr w:type="spellStart"/>
      <w:r w:rsidRPr="00750236">
        <w:t>rons</w:t>
      </w:r>
      <w:proofErr w:type="spellEnd"/>
      <w:r w:rsidRPr="00750236">
        <w:t xml:space="preserve">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07C0DBAB" w14:textId="77777777" w:rsidR="00E535C1" w:rsidRDefault="00E535C1" w:rsidP="00E535C1">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Default="00E535C1" w:rsidP="00E535C1">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Default="00E535C1" w:rsidP="00E535C1">
      <w:pPr>
        <w:pStyle w:val="Corpsdetexte2"/>
        <w:numPr>
          <w:ilvl w:val="0"/>
          <w:numId w:val="11"/>
        </w:numPr>
        <w:spacing w:after="0" w:line="280" w:lineRule="auto"/>
        <w:jc w:val="both"/>
      </w:pPr>
      <w:r>
        <w:t xml:space="preserve">Tout manquement à se conformer à une ou plusieurs des clauses déontologiques </w:t>
      </w:r>
      <w:proofErr w:type="gramStart"/>
      <w:r w:rsidRPr="00067A4A">
        <w:t>aboutira</w:t>
      </w:r>
      <w:proofErr w:type="gramEnd"/>
      <w:r>
        <w:t xml:space="preserve"> à l’exclusion du contractant du présent marché et d’autres marchés publics pour Enabel.</w:t>
      </w:r>
    </w:p>
    <w:p w14:paraId="2B0AC338" w14:textId="77777777" w:rsidR="00E535C1" w:rsidRDefault="00E535C1" w:rsidP="00E535C1">
      <w:pPr>
        <w:pStyle w:val="Corpsdetexte2"/>
        <w:spacing w:after="0" w:line="280" w:lineRule="auto"/>
        <w:ind w:left="720"/>
        <w:jc w:val="both"/>
      </w:pP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423D5F07" w14:textId="77777777" w:rsidR="00E535C1" w:rsidRDefault="00E535C1" w:rsidP="00E535C1">
      <w:pPr>
        <w:pStyle w:val="Corpsdetexte2"/>
        <w:rPr>
          <w:kern w:val="18"/>
          <w:szCs w:val="21"/>
        </w:rPr>
      </w:pPr>
      <w:r w:rsidRPr="00A4613C">
        <w:rPr>
          <w:kern w:val="18"/>
          <w:szCs w:val="21"/>
        </w:rPr>
        <w:t xml:space="preserve">Signature </w:t>
      </w:r>
    </w:p>
    <w:p w14:paraId="277CCD70" w14:textId="77777777" w:rsidR="000A6E24" w:rsidRDefault="000A6E24" w:rsidP="00E535C1">
      <w:pPr>
        <w:pStyle w:val="Corpsdetexte2"/>
        <w:rPr>
          <w:kern w:val="18"/>
          <w:szCs w:val="21"/>
        </w:rPr>
      </w:pPr>
    </w:p>
    <w:p w14:paraId="5E6ABDC2" w14:textId="77777777" w:rsidR="00E535C1" w:rsidRPr="006542C5" w:rsidRDefault="00E535C1" w:rsidP="00E535C1"/>
    <w:p w14:paraId="3FFE93BE" w14:textId="77777777" w:rsidR="00E535C1" w:rsidRDefault="00E535C1" w:rsidP="00E535C1">
      <w:pPr>
        <w:pStyle w:val="Titre2"/>
      </w:pPr>
      <w:bookmarkStart w:id="206" w:name="_Toc51592074"/>
      <w:bookmarkStart w:id="207" w:name="_Toc52268506"/>
      <w:bookmarkStart w:id="208" w:name="_Toc144699213"/>
      <w:r>
        <w:lastRenderedPageBreak/>
        <w:t>Dossier de sélection – aptitude technique</w:t>
      </w:r>
      <w:bookmarkEnd w:id="206"/>
      <w:bookmarkEnd w:id="207"/>
      <w:bookmarkEnd w:id="208"/>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442C30" w14:paraId="1E491F10" w14:textId="77777777" w:rsidTr="00104971">
        <w:trPr>
          <w:cantSplit/>
          <w:trHeight w:val="3090"/>
        </w:trPr>
        <w:tc>
          <w:tcPr>
            <w:tcW w:w="5755" w:type="dxa"/>
            <w:tcBorders>
              <w:top w:val="single" w:sz="4" w:space="0" w:color="auto"/>
              <w:left w:val="single" w:sz="4" w:space="0" w:color="auto"/>
              <w:bottom w:val="single" w:sz="4" w:space="0" w:color="auto"/>
              <w:right w:val="single" w:sz="4" w:space="0" w:color="auto"/>
            </w:tcBorders>
          </w:tcPr>
          <w:p w14:paraId="245476F2" w14:textId="49E73C89"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Le soumissionnaire doit disposer des </w:t>
            </w:r>
            <w:r w:rsidR="000A6E24">
              <w:rPr>
                <w:rFonts w:ascii="Georgia" w:hAnsi="Georgia" w:cs="Arial"/>
                <w:color w:val="404040"/>
                <w:sz w:val="21"/>
                <w:szCs w:val="21"/>
                <w:lang w:val="fr-FR"/>
              </w:rPr>
              <w:t xml:space="preserve">trois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trois dernières années.</w:t>
            </w:r>
          </w:p>
          <w:p w14:paraId="2DCBA311" w14:textId="1E48E88C"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2237" w:type="dxa"/>
            <w:tcBorders>
              <w:top w:val="single" w:sz="4" w:space="0" w:color="auto"/>
              <w:left w:val="single" w:sz="4" w:space="0" w:color="auto"/>
              <w:bottom w:val="single" w:sz="4" w:space="0" w:color="auto"/>
              <w:right w:val="single" w:sz="4" w:space="0" w:color="auto"/>
            </w:tcBorders>
          </w:tcPr>
          <w:p w14:paraId="783B8423" w14:textId="49863B8E" w:rsidR="00E535C1" w:rsidRPr="00442C30" w:rsidRDefault="00E535C1" w:rsidP="006F289F">
            <w:pPr>
              <w:pStyle w:val="BTCtextCTB"/>
              <w:rPr>
                <w:rFonts w:ascii="Georgia" w:hAnsi="Georgia" w:cs="Arial"/>
                <w:sz w:val="20"/>
                <w:lang w:val="fr-FR"/>
              </w:rPr>
            </w:pPr>
            <w:r w:rsidRPr="00442C30">
              <w:rPr>
                <w:rFonts w:ascii="Georgia" w:hAnsi="Georgia" w:cs="Arial"/>
                <w:sz w:val="20"/>
                <w:lang w:val="fr-FR"/>
              </w:rPr>
              <w:t>Voir annexe</w:t>
            </w:r>
            <w:r w:rsidR="000A6E24">
              <w:rPr>
                <w:rFonts w:ascii="Georgia" w:hAnsi="Georgia" w:cs="Arial"/>
                <w:sz w:val="20"/>
                <w:lang w:val="fr-FR"/>
              </w:rPr>
              <w:t xml:space="preserve"> 1</w:t>
            </w:r>
            <w:r w:rsidRPr="00442C30">
              <w:rPr>
                <w:rFonts w:ascii="Georgia" w:hAnsi="Georgia" w:cs="Arial"/>
                <w:sz w:val="20"/>
                <w:lang w:val="fr-FR"/>
              </w:rPr>
              <w:t xml:space="preserve"> ou [pièce justificative à joindre]</w:t>
            </w:r>
          </w:p>
        </w:tc>
      </w:tr>
      <w:tr w:rsidR="00104971" w:rsidRPr="00442C30" w14:paraId="4EA51C64" w14:textId="77777777" w:rsidTr="00104971">
        <w:trPr>
          <w:cantSplit/>
          <w:trHeight w:val="972"/>
        </w:trPr>
        <w:tc>
          <w:tcPr>
            <w:tcW w:w="5755" w:type="dxa"/>
            <w:tcBorders>
              <w:top w:val="single" w:sz="4" w:space="0" w:color="auto"/>
              <w:left w:val="single" w:sz="4" w:space="0" w:color="auto"/>
              <w:bottom w:val="single" w:sz="4" w:space="0" w:color="auto"/>
              <w:right w:val="single" w:sz="4" w:space="0" w:color="auto"/>
            </w:tcBorders>
          </w:tcPr>
          <w:p w14:paraId="08BB18CD" w14:textId="2A12BD57" w:rsidR="00104971" w:rsidRPr="00104971" w:rsidRDefault="00104971" w:rsidP="00104971">
            <w:pPr>
              <w:suppressAutoHyphens/>
              <w:autoSpaceDN w:val="0"/>
              <w:spacing w:after="0"/>
              <w:jc w:val="both"/>
              <w:textAlignment w:val="baseline"/>
            </w:pPr>
            <w:r>
              <w:t xml:space="preserve">Le document d’inscription du cabinet </w:t>
            </w:r>
            <w:r w:rsidR="006A2F65">
              <w:t xml:space="preserve">d’audit et d’expertise comptable </w:t>
            </w:r>
            <w:r w:rsidRPr="00C07951">
              <w:t>au Tableau de l’Ordre National des Experts-Comptables en RDC pour l’exercice 2023</w:t>
            </w:r>
          </w:p>
        </w:tc>
        <w:tc>
          <w:tcPr>
            <w:tcW w:w="2237" w:type="dxa"/>
            <w:tcBorders>
              <w:top w:val="single" w:sz="4" w:space="0" w:color="auto"/>
              <w:left w:val="single" w:sz="4" w:space="0" w:color="auto"/>
              <w:bottom w:val="single" w:sz="4" w:space="0" w:color="auto"/>
              <w:right w:val="single" w:sz="4" w:space="0" w:color="auto"/>
            </w:tcBorders>
          </w:tcPr>
          <w:p w14:paraId="0CB31E7B" w14:textId="77777777" w:rsidR="00104971" w:rsidRPr="00442C30" w:rsidRDefault="00104971" w:rsidP="006F289F">
            <w:pPr>
              <w:pStyle w:val="BTCtextCTB"/>
              <w:rPr>
                <w:rFonts w:ascii="Georgia" w:hAnsi="Georgia" w:cs="Arial"/>
                <w:sz w:val="20"/>
                <w:lang w:val="fr-FR"/>
              </w:rPr>
            </w:pPr>
          </w:p>
        </w:tc>
      </w:tr>
    </w:tbl>
    <w:p w14:paraId="702A7ECE" w14:textId="77777777" w:rsidR="00E535C1" w:rsidRDefault="00E535C1" w:rsidP="00E535C1">
      <w:pPr>
        <w:pStyle w:val="Corpsdetexte"/>
      </w:pPr>
    </w:p>
    <w:p w14:paraId="3C7CCEEE" w14:textId="204D3048" w:rsidR="000A6E24" w:rsidRDefault="000A6E24" w:rsidP="00E535C1">
      <w:pPr>
        <w:pStyle w:val="Titre2"/>
      </w:pPr>
      <w:bookmarkStart w:id="209" w:name="_Toc144699214"/>
      <w:bookmarkStart w:id="210" w:name="_Toc51592078"/>
      <w:bookmarkStart w:id="211" w:name="_Toc52268507"/>
      <w:r>
        <w:t>Annexe 1 : Services similaire</w:t>
      </w:r>
      <w:r w:rsidR="0049247C">
        <w:t>s</w:t>
      </w:r>
      <w:bookmarkEnd w:id="209"/>
    </w:p>
    <w:p w14:paraId="63C74514" w14:textId="03BE5A21" w:rsidR="0049247C" w:rsidRPr="00121E73" w:rsidRDefault="0049247C" w:rsidP="0049247C">
      <w:pPr>
        <w:jc w:val="both"/>
        <w:rPr>
          <w:rFonts w:cs="Arial"/>
          <w:szCs w:val="21"/>
          <w:lang w:val="fr-FR"/>
        </w:rPr>
      </w:pPr>
      <w:r w:rsidRPr="0034283F">
        <w:rPr>
          <w:rFonts w:cs="Arial"/>
          <w:lang w:val="fr-FR" w:eastAsia="fr-FR"/>
        </w:rPr>
        <w:t>Le soumissionnaire doit avoir exécuté au moins trois (3) marchés similaires en</w:t>
      </w:r>
      <w:r>
        <w:rPr>
          <w:rFonts w:cs="Arial"/>
          <w:lang w:val="fr-FR" w:eastAsia="fr-FR"/>
        </w:rPr>
        <w:t xml:space="preserve"> audit de compte annuel des entreprise, société </w:t>
      </w:r>
      <w:r w:rsidR="002159B4">
        <w:rPr>
          <w:rFonts w:cs="Arial"/>
          <w:lang w:val="fr-FR" w:eastAsia="fr-FR"/>
        </w:rPr>
        <w:t xml:space="preserve">ou institutionnel </w:t>
      </w:r>
      <w:r w:rsidR="006E4892">
        <w:rPr>
          <w:rFonts w:cs="Arial"/>
          <w:lang w:val="fr-FR" w:eastAsia="fr-FR"/>
        </w:rPr>
        <w:t>au cours</w:t>
      </w:r>
      <w:r>
        <w:rPr>
          <w:rFonts w:cs="Arial"/>
          <w:lang w:val="fr-FR" w:eastAsia="fr-FR"/>
        </w:rPr>
        <w:t xml:space="preserve"> de trois derniers exercice</w:t>
      </w:r>
      <w:r w:rsidR="006E4892">
        <w:rPr>
          <w:rFonts w:cs="Arial"/>
          <w:lang w:val="fr-FR" w:eastAsia="fr-FR"/>
        </w:rPr>
        <w:t>s</w:t>
      </w:r>
      <w:r>
        <w:rPr>
          <w:rFonts w:cs="Arial"/>
          <w:lang w:val="fr-FR" w:eastAsia="fr-FR"/>
        </w:rPr>
        <w:t xml:space="preserve"> 2020-2022.</w:t>
      </w:r>
      <w:bookmarkStart w:id="212" w:name="_Hlk133390807"/>
      <w:r w:rsidR="00D04020">
        <w:rPr>
          <w:rFonts w:cs="Arial"/>
          <w:lang w:val="fr-FR" w:eastAsia="fr-FR"/>
        </w:rPr>
        <w:t xml:space="preserve"> </w:t>
      </w:r>
      <w:r>
        <w:rPr>
          <w:rFonts w:cs="Arial"/>
          <w:szCs w:val="21"/>
          <w:lang w:val="fr-FR"/>
        </w:rPr>
        <w:t xml:space="preserve">Cette liste des trois marchés au minimum doit être </w:t>
      </w:r>
      <w:r w:rsidRPr="00121E73">
        <w:rPr>
          <w:rFonts w:cs="Arial"/>
          <w:szCs w:val="21"/>
          <w:lang w:val="fr-FR"/>
        </w:rPr>
        <w:t>justifié</w:t>
      </w:r>
      <w:r>
        <w:rPr>
          <w:rFonts w:cs="Arial"/>
          <w:szCs w:val="21"/>
          <w:lang w:val="fr-FR"/>
        </w:rPr>
        <w:t xml:space="preserve">s </w:t>
      </w:r>
      <w:r w:rsidRPr="00121E73">
        <w:rPr>
          <w:rFonts w:cs="Arial"/>
          <w:szCs w:val="21"/>
          <w:lang w:val="fr-FR"/>
        </w:rPr>
        <w:t>par des</w:t>
      </w:r>
      <w:r>
        <w:rPr>
          <w:rFonts w:cs="Arial"/>
          <w:szCs w:val="21"/>
          <w:lang w:val="fr-FR"/>
        </w:rPr>
        <w:t xml:space="preserve"> contrats, Bons de Commande et/ou </w:t>
      </w:r>
      <w:r w:rsidRPr="00121E73">
        <w:rPr>
          <w:rFonts w:cs="Arial"/>
          <w:szCs w:val="21"/>
          <w:lang w:val="fr-FR"/>
        </w:rPr>
        <w:t xml:space="preserve">PV </w:t>
      </w:r>
      <w:r>
        <w:rPr>
          <w:rFonts w:cs="Arial"/>
          <w:szCs w:val="21"/>
          <w:lang w:val="fr-FR"/>
        </w:rPr>
        <w:t xml:space="preserve">ou certificats </w:t>
      </w:r>
      <w:r w:rsidRPr="00121E73">
        <w:rPr>
          <w:rFonts w:cs="Arial"/>
          <w:szCs w:val="21"/>
          <w:lang w:val="fr-FR"/>
        </w:rPr>
        <w:t>de réception provisoire</w:t>
      </w:r>
      <w:r>
        <w:rPr>
          <w:rFonts w:cs="Arial"/>
          <w:szCs w:val="21"/>
          <w:lang w:val="fr-FR"/>
        </w:rPr>
        <w:t>/définitive ou Certificat de bonne exécution.</w:t>
      </w:r>
      <w:r w:rsidRPr="00121E73">
        <w:rPr>
          <w:rFonts w:cs="Arial"/>
          <w:szCs w:val="21"/>
          <w:lang w:val="fr-FR"/>
        </w:rPr>
        <w:t xml:space="preserve"> </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49247C" w:rsidRPr="00121E73" w14:paraId="720B14F8" w14:textId="77777777" w:rsidTr="00CB50F0">
        <w:trPr>
          <w:trHeight w:val="531"/>
        </w:trPr>
        <w:tc>
          <w:tcPr>
            <w:tcW w:w="2328" w:type="dxa"/>
            <w:tcBorders>
              <w:top w:val="single" w:sz="4" w:space="0" w:color="000000"/>
              <w:left w:val="single" w:sz="4" w:space="0" w:color="000000"/>
              <w:bottom w:val="single" w:sz="4" w:space="0" w:color="000000"/>
            </w:tcBorders>
            <w:shd w:val="pct5" w:color="auto" w:fill="auto"/>
            <w:vAlign w:val="center"/>
          </w:tcPr>
          <w:bookmarkEnd w:id="212"/>
          <w:p w14:paraId="6EB1F7BD" w14:textId="77777777" w:rsidR="0049247C" w:rsidRPr="00121E73" w:rsidRDefault="0049247C" w:rsidP="00CB50F0">
            <w:pPr>
              <w:jc w:val="both"/>
              <w:rPr>
                <w:rFonts w:cs="Arial"/>
                <w:b/>
                <w:szCs w:val="21"/>
                <w:lang w:val="fr-FR"/>
              </w:rPr>
            </w:pPr>
            <w:r w:rsidRPr="00121E73">
              <w:rPr>
                <w:rFonts w:cs="Arial"/>
                <w:b/>
                <w:szCs w:val="21"/>
                <w:lang w:val="fr-FR"/>
              </w:rPr>
              <w:t>Intitulé /</w:t>
            </w:r>
            <w:r>
              <w:rPr>
                <w:rFonts w:cs="Arial"/>
                <w:b/>
                <w:szCs w:val="21"/>
                <w:lang w:val="fr-FR"/>
              </w:rPr>
              <w:t>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3C7A07F2" w14:textId="77777777" w:rsidR="0049247C" w:rsidRPr="00121E73" w:rsidRDefault="0049247C" w:rsidP="00CB50F0">
            <w:pPr>
              <w:jc w:val="both"/>
              <w:rPr>
                <w:rFonts w:cs="Arial"/>
                <w:b/>
                <w:szCs w:val="21"/>
                <w:lang w:val="fr-FR"/>
              </w:rPr>
            </w:pPr>
            <w:r>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308F932D" w14:textId="77777777" w:rsidR="0049247C" w:rsidRPr="00121E73" w:rsidRDefault="0049247C" w:rsidP="00CB50F0">
            <w:pPr>
              <w:jc w:val="both"/>
              <w:rPr>
                <w:rFonts w:cs="Arial"/>
                <w:b/>
                <w:szCs w:val="21"/>
                <w:lang w:val="fr-FR"/>
              </w:rPr>
            </w:pPr>
            <w:r>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0F0DEB09" w14:textId="77777777" w:rsidR="0049247C" w:rsidRPr="00121E73" w:rsidRDefault="0049247C" w:rsidP="00CB50F0">
            <w:pPr>
              <w:jc w:val="both"/>
              <w:rPr>
                <w:rFonts w:cs="Arial"/>
                <w:b/>
                <w:szCs w:val="21"/>
                <w:lang w:val="fr-FR"/>
              </w:rPr>
            </w:pPr>
            <w:r w:rsidRPr="00121E73">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23FE68E6" w14:textId="77777777" w:rsidR="0049247C" w:rsidRPr="00121E73" w:rsidRDefault="0049247C" w:rsidP="00CB50F0">
            <w:pPr>
              <w:jc w:val="both"/>
              <w:rPr>
                <w:rFonts w:cs="Arial"/>
                <w:b/>
                <w:szCs w:val="21"/>
                <w:lang w:val="fr-FR"/>
              </w:rPr>
            </w:pPr>
            <w:r w:rsidRPr="00121E73">
              <w:rPr>
                <w:rFonts w:cs="Arial"/>
                <w:b/>
                <w:szCs w:val="21"/>
                <w:lang w:val="fr-FR"/>
              </w:rPr>
              <w:t>Année</w:t>
            </w:r>
          </w:p>
        </w:tc>
      </w:tr>
      <w:tr w:rsidR="0049247C" w:rsidRPr="00121E73" w14:paraId="29DC215E" w14:textId="77777777" w:rsidTr="00CB50F0">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2E3070FF"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36BA6B4"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3E7067B" w14:textId="77777777" w:rsidR="0049247C" w:rsidRPr="00121E73" w:rsidRDefault="0049247C" w:rsidP="00CB50F0">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0F07446" w14:textId="77777777" w:rsidR="0049247C" w:rsidRPr="00121E73" w:rsidRDefault="0049247C" w:rsidP="00CB50F0">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883B" w14:textId="77777777" w:rsidR="0049247C" w:rsidRPr="00121E73" w:rsidRDefault="0049247C" w:rsidP="00CB50F0">
            <w:pPr>
              <w:snapToGrid w:val="0"/>
              <w:jc w:val="both"/>
              <w:rPr>
                <w:rFonts w:cs="Arial"/>
                <w:szCs w:val="21"/>
                <w:lang w:val="fr-FR"/>
              </w:rPr>
            </w:pPr>
          </w:p>
        </w:tc>
      </w:tr>
      <w:tr w:rsidR="0049247C" w:rsidRPr="00121E73" w14:paraId="5E8C2ADB" w14:textId="77777777" w:rsidTr="00CB50F0">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7CF8D622"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13BBF06"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C1C3FF2" w14:textId="77777777" w:rsidR="0049247C" w:rsidRPr="00121E73" w:rsidRDefault="0049247C" w:rsidP="00CB50F0">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02CDD6A6" w14:textId="77777777" w:rsidR="0049247C" w:rsidRPr="00121E73" w:rsidRDefault="0049247C" w:rsidP="00CB50F0">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4678" w14:textId="77777777" w:rsidR="0049247C" w:rsidRPr="00121E73" w:rsidRDefault="0049247C" w:rsidP="00CB50F0">
            <w:pPr>
              <w:snapToGrid w:val="0"/>
              <w:jc w:val="both"/>
              <w:rPr>
                <w:rFonts w:cs="Arial"/>
                <w:szCs w:val="21"/>
                <w:lang w:val="fr-FR"/>
              </w:rPr>
            </w:pPr>
          </w:p>
        </w:tc>
      </w:tr>
      <w:tr w:rsidR="0049247C" w:rsidRPr="00121E73" w14:paraId="7B06D7B3" w14:textId="77777777" w:rsidTr="00CB50F0">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42550C6B"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53CA3E2F" w14:textId="77777777" w:rsidR="0049247C" w:rsidRPr="00121E73" w:rsidRDefault="0049247C" w:rsidP="00CB50F0">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0C07EB3" w14:textId="77777777" w:rsidR="0049247C" w:rsidRPr="00121E73" w:rsidRDefault="0049247C" w:rsidP="00CB50F0">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43C9428A" w14:textId="77777777" w:rsidR="0049247C" w:rsidRPr="00121E73" w:rsidRDefault="0049247C" w:rsidP="00CB50F0">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73BD" w14:textId="77777777" w:rsidR="0049247C" w:rsidRPr="00121E73" w:rsidRDefault="0049247C" w:rsidP="00CB50F0">
            <w:pPr>
              <w:snapToGrid w:val="0"/>
              <w:jc w:val="both"/>
              <w:rPr>
                <w:rFonts w:cs="Arial"/>
                <w:szCs w:val="21"/>
                <w:lang w:val="fr-FR"/>
              </w:rPr>
            </w:pPr>
          </w:p>
        </w:tc>
      </w:tr>
    </w:tbl>
    <w:p w14:paraId="00C9764F" w14:textId="77777777" w:rsidR="00750236" w:rsidRPr="00217826" w:rsidRDefault="00750236" w:rsidP="00217826"/>
    <w:p w14:paraId="294F9EAC" w14:textId="59436E7B" w:rsidR="00E535C1" w:rsidRDefault="00E535C1" w:rsidP="00E535C1">
      <w:pPr>
        <w:pStyle w:val="Titre2"/>
      </w:pPr>
      <w:bookmarkStart w:id="213" w:name="_Toc144699215"/>
      <w:r>
        <w:t>Documents à remettre – liste exhaustive</w:t>
      </w:r>
      <w:bookmarkEnd w:id="210"/>
      <w:bookmarkEnd w:id="211"/>
      <w:bookmarkEnd w:id="213"/>
    </w:p>
    <w:p w14:paraId="43FF1B4B" w14:textId="1C8B220C" w:rsidR="00C07951" w:rsidRPr="00C07951" w:rsidRDefault="00C07951" w:rsidP="00C07951">
      <w:r>
        <w:t>Il est Obligatoire de signer tous ces documents par la personne ayant autorité de signer cette offre :</w:t>
      </w:r>
    </w:p>
    <w:p w14:paraId="0C725689" w14:textId="77777777" w:rsidR="00C07951" w:rsidRDefault="00C07951" w:rsidP="00C07951">
      <w:pPr>
        <w:pStyle w:val="Paragraphedeliste"/>
        <w:numPr>
          <w:ilvl w:val="0"/>
          <w:numId w:val="60"/>
        </w:numPr>
        <w:jc w:val="both"/>
      </w:pPr>
      <w:r>
        <w:t>Formulaire d’identification complété ;</w:t>
      </w:r>
    </w:p>
    <w:p w14:paraId="196E7BCC" w14:textId="77777777" w:rsidR="00C07951" w:rsidRDefault="00C07951" w:rsidP="00C07951">
      <w:pPr>
        <w:pStyle w:val="Paragraphedeliste"/>
        <w:numPr>
          <w:ilvl w:val="0"/>
          <w:numId w:val="60"/>
        </w:numPr>
        <w:jc w:val="both"/>
      </w:pPr>
      <w:r>
        <w:t>Formulaire d’offre de prix complété ;</w:t>
      </w:r>
    </w:p>
    <w:p w14:paraId="3E8FF329" w14:textId="77777777" w:rsidR="00C07951" w:rsidRPr="005C33A2" w:rsidRDefault="00C07951" w:rsidP="00C07951">
      <w:pPr>
        <w:pStyle w:val="Paragraphedeliste"/>
        <w:numPr>
          <w:ilvl w:val="0"/>
          <w:numId w:val="60"/>
        </w:numPr>
        <w:spacing w:after="200"/>
        <w:jc w:val="both"/>
        <w:rPr>
          <w:rFonts w:cs="Arial"/>
          <w:szCs w:val="21"/>
        </w:rPr>
      </w:pPr>
      <w:r w:rsidRPr="005C33A2">
        <w:rPr>
          <w:rFonts w:cs="Arial"/>
          <w:szCs w:val="21"/>
        </w:rPr>
        <w:t>La preuve de signature autorisée ou procuration donnant mandat de signer cette offre</w:t>
      </w:r>
      <w:r>
        <w:rPr>
          <w:rFonts w:cs="Arial"/>
          <w:szCs w:val="21"/>
        </w:rPr>
        <w:t xml:space="preserve"> (statuts, RCCM ou procuration)</w:t>
      </w:r>
    </w:p>
    <w:p w14:paraId="3370529F" w14:textId="77777777" w:rsidR="00C07951" w:rsidRPr="005C33A2" w:rsidRDefault="00C07951" w:rsidP="00C07951">
      <w:pPr>
        <w:pStyle w:val="Paragraphedeliste"/>
        <w:numPr>
          <w:ilvl w:val="0"/>
          <w:numId w:val="60"/>
        </w:numPr>
        <w:spacing w:after="200"/>
        <w:jc w:val="both"/>
        <w:rPr>
          <w:rFonts w:cs="Arial"/>
          <w:szCs w:val="21"/>
        </w:rPr>
      </w:pPr>
      <w:r w:rsidRPr="005C33A2">
        <w:rPr>
          <w:rFonts w:cs="Arial"/>
          <w:szCs w:val="21"/>
        </w:rPr>
        <w:t>La déclaration sur l’honneur ;</w:t>
      </w:r>
    </w:p>
    <w:p w14:paraId="771E78B9" w14:textId="77777777" w:rsidR="00C07951" w:rsidRPr="005C33A2" w:rsidRDefault="00C07951" w:rsidP="00C07951">
      <w:pPr>
        <w:pStyle w:val="Paragraphedeliste"/>
        <w:numPr>
          <w:ilvl w:val="0"/>
          <w:numId w:val="60"/>
        </w:numPr>
        <w:spacing w:after="200"/>
        <w:jc w:val="both"/>
        <w:rPr>
          <w:rFonts w:cs="Arial"/>
          <w:szCs w:val="21"/>
        </w:rPr>
      </w:pPr>
      <w:r w:rsidRPr="005C33A2">
        <w:rPr>
          <w:rFonts w:cs="Arial"/>
          <w:szCs w:val="21"/>
        </w:rPr>
        <w:t>La déclaration d’intégrité ;</w:t>
      </w:r>
    </w:p>
    <w:p w14:paraId="670A3EAD" w14:textId="6874EA18" w:rsidR="00C07951" w:rsidRDefault="00C07951" w:rsidP="00C07951">
      <w:pPr>
        <w:pStyle w:val="Paragraphedeliste"/>
        <w:numPr>
          <w:ilvl w:val="0"/>
          <w:numId w:val="60"/>
        </w:numPr>
        <w:jc w:val="both"/>
      </w:pPr>
      <w:r w:rsidRPr="000B08A8">
        <w:t>Compréhension de la mission, Méthodologie détaillées</w:t>
      </w:r>
      <w:r>
        <w:t xml:space="preserve">/Approche, </w:t>
      </w:r>
      <w:r w:rsidRPr="000B08A8">
        <w:t xml:space="preserve">le chronogramme </w:t>
      </w:r>
      <w:r>
        <w:t xml:space="preserve">fixant un délai </w:t>
      </w:r>
      <w:r w:rsidRPr="000B08A8">
        <w:t>réaliste</w:t>
      </w:r>
      <w:r>
        <w:t> ;</w:t>
      </w:r>
    </w:p>
    <w:p w14:paraId="7880DDA7" w14:textId="383C0A00" w:rsidR="00750236" w:rsidRDefault="00750236" w:rsidP="00C07951">
      <w:pPr>
        <w:pStyle w:val="Paragraphedeliste"/>
        <w:numPr>
          <w:ilvl w:val="0"/>
          <w:numId w:val="60"/>
        </w:numPr>
        <w:jc w:val="both"/>
      </w:pPr>
      <w:r>
        <w:t>Les évidences de justification des éléments du profil de l’auditeur (voir point IV -profil de l’auditeur de la section 5-Termes de Référence)</w:t>
      </w:r>
    </w:p>
    <w:p w14:paraId="568D397D" w14:textId="221ED05C" w:rsidR="00C07951" w:rsidRPr="00C07951" w:rsidRDefault="00C07951" w:rsidP="00C07951">
      <w:pPr>
        <w:pStyle w:val="Paragraphedeliste"/>
        <w:numPr>
          <w:ilvl w:val="0"/>
          <w:numId w:val="60"/>
        </w:numPr>
        <w:suppressAutoHyphens/>
        <w:autoSpaceDN w:val="0"/>
        <w:spacing w:after="0"/>
        <w:contextualSpacing w:val="0"/>
        <w:jc w:val="both"/>
        <w:textAlignment w:val="baseline"/>
      </w:pPr>
      <w:r>
        <w:lastRenderedPageBreak/>
        <w:t xml:space="preserve">Le document d’inscription du cabinet </w:t>
      </w:r>
      <w:r w:rsidR="00F00B01">
        <w:t xml:space="preserve">soumissionnaire </w:t>
      </w:r>
      <w:r w:rsidRPr="00C07951">
        <w:t xml:space="preserve">au Tableau de l’Ordre National des Experts-Comptables en RDC pour l’exercice </w:t>
      </w:r>
      <w:proofErr w:type="gramStart"/>
      <w:r w:rsidRPr="00C07951">
        <w:t>2023;</w:t>
      </w:r>
      <w:proofErr w:type="gramEnd"/>
    </w:p>
    <w:p w14:paraId="6DACF6B9" w14:textId="058787FC" w:rsidR="00F00B01" w:rsidRDefault="00C07951" w:rsidP="00F00B01">
      <w:pPr>
        <w:pStyle w:val="Paragraphedeliste"/>
        <w:numPr>
          <w:ilvl w:val="0"/>
          <w:numId w:val="60"/>
        </w:numPr>
        <w:jc w:val="both"/>
      </w:pPr>
      <w:r>
        <w:t>Liste de d’équipe du</w:t>
      </w:r>
      <w:r w:rsidRPr="00C07951">
        <w:t xml:space="preserve"> personnel hautement qualifié et expérimenté dans les travaux d'audit</w:t>
      </w:r>
      <w:r>
        <w:t xml:space="preserve"> qui sera affecté à la mission</w:t>
      </w:r>
      <w:r w:rsidRPr="00C07951">
        <w:t>.</w:t>
      </w:r>
      <w:r w:rsidR="00F00B01">
        <w:t xml:space="preserve"> Ajouter les </w:t>
      </w:r>
      <w:r w:rsidR="00F00B01" w:rsidRPr="009D498F">
        <w:t>CV actualisé</w:t>
      </w:r>
      <w:r w:rsidR="00F00B01">
        <w:t>+Diplôme</w:t>
      </w:r>
      <w:r w:rsidR="00F00B01" w:rsidRPr="009D498F">
        <w:t xml:space="preserve"> de l’Expert </w:t>
      </w:r>
      <w:r w:rsidR="00F00B01">
        <w:t>principal et du personnel chargés de cette mission selon le profil décrit dans les Termes de Référence ;</w:t>
      </w:r>
    </w:p>
    <w:p w14:paraId="45C94C9F" w14:textId="77777777" w:rsidR="00C07951" w:rsidRPr="009D498F" w:rsidRDefault="00C07951" w:rsidP="00A3549E">
      <w:pPr>
        <w:suppressAutoHyphens/>
        <w:autoSpaceDN w:val="0"/>
        <w:spacing w:after="0"/>
        <w:ind w:left="360"/>
        <w:jc w:val="both"/>
        <w:textAlignment w:val="baseline"/>
      </w:pPr>
    </w:p>
    <w:p w14:paraId="209DD661" w14:textId="77777777" w:rsidR="00F406DB" w:rsidRPr="00F406DB" w:rsidRDefault="00F406DB" w:rsidP="00F406DB"/>
    <w:sectPr w:rsidR="00F406DB" w:rsidRPr="00F406DB" w:rsidSect="00184F9E">
      <w:headerReference w:type="first" r:id="rId28"/>
      <w:footerReference w:type="first" r:id="rId29"/>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D72F" w14:textId="77777777" w:rsidR="00025839" w:rsidRDefault="00025839" w:rsidP="00C913B3">
      <w:pPr>
        <w:spacing w:after="0" w:line="240" w:lineRule="auto"/>
      </w:pPr>
      <w:r>
        <w:separator/>
      </w:r>
    </w:p>
  </w:endnote>
  <w:endnote w:type="continuationSeparator" w:id="0">
    <w:p w14:paraId="4CA1128E" w14:textId="77777777" w:rsidR="00025839" w:rsidRDefault="00025839" w:rsidP="00C913B3">
      <w:pPr>
        <w:spacing w:after="0" w:line="240" w:lineRule="auto"/>
      </w:pPr>
      <w:r>
        <w:continuationSeparator/>
      </w:r>
    </w:p>
  </w:endnote>
  <w:endnote w:type="continuationNotice" w:id="1">
    <w:p w14:paraId="0BAE54D0" w14:textId="77777777" w:rsidR="00025839" w:rsidRDefault="00025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EF1D" w14:textId="77777777" w:rsidR="00025839" w:rsidRDefault="00025839" w:rsidP="00C913B3">
      <w:pPr>
        <w:spacing w:after="0" w:line="240" w:lineRule="auto"/>
      </w:pPr>
      <w:r>
        <w:separator/>
      </w:r>
    </w:p>
  </w:footnote>
  <w:footnote w:type="continuationSeparator" w:id="0">
    <w:p w14:paraId="6F0C6D2D" w14:textId="77777777" w:rsidR="00025839" w:rsidRDefault="00025839" w:rsidP="00C913B3">
      <w:pPr>
        <w:spacing w:after="0" w:line="240" w:lineRule="auto"/>
      </w:pPr>
      <w:r>
        <w:continuationSeparator/>
      </w:r>
    </w:p>
  </w:footnote>
  <w:footnote w:type="continuationNotice" w:id="1">
    <w:p w14:paraId="0BDCDAAA" w14:textId="77777777" w:rsidR="00025839" w:rsidRDefault="00025839">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7C93C3F1" w14:textId="77777777" w:rsidR="00176E42" w:rsidRDefault="00176E42" w:rsidP="00176E42">
      <w:pPr>
        <w:pStyle w:val="Notedebasdepage"/>
      </w:pPr>
      <w:r>
        <w:rPr>
          <w:rStyle w:val="Appelnotedebasdep"/>
        </w:rPr>
        <w:footnoteRef/>
      </w:r>
      <w:r>
        <w:t xml:space="preserve"> </w:t>
      </w:r>
      <w:hyperlink r:id="rId1" w:history="1">
        <w:r w:rsidRPr="004C7C23">
          <w:rPr>
            <w:rStyle w:val="Lienhypertexte"/>
            <w:rFonts w:ascii="Garamond" w:hAnsi="Garamond"/>
            <w:sz w:val="24"/>
          </w:rPr>
          <w:t>https://www.itierdc.net/</w:t>
        </w:r>
      </w:hyperlink>
      <w:r w:rsidRPr="004C7C23">
        <w:rPr>
          <w:sz w:val="24"/>
        </w:rPr>
        <w:t xml:space="preserve">  </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C7663"/>
    <w:multiLevelType w:val="hybridMultilevel"/>
    <w:tmpl w:val="027E1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842A3"/>
    <w:multiLevelType w:val="multilevel"/>
    <w:tmpl w:val="74A2F996"/>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76CE8"/>
    <w:multiLevelType w:val="multilevel"/>
    <w:tmpl w:val="9E967F80"/>
    <w:lvl w:ilvl="0">
      <w:start w:val="1"/>
      <w:numFmt w:val="upperRoman"/>
      <w:lvlText w:val="%1."/>
      <w:lvlJc w:val="right"/>
      <w:pPr>
        <w:ind w:left="644" w:hanging="360"/>
      </w:pPr>
    </w:lvl>
    <w:lvl w:ilvl="1">
      <w:start w:val="2"/>
      <w:numFmt w:val="decimal"/>
      <w:lvlText w:val="%1.%2."/>
      <w:lvlJc w:val="left"/>
      <w:pPr>
        <w:ind w:left="644" w:hanging="360"/>
      </w:pPr>
      <w:rPr>
        <w:rFonts w:ascii="Calibri" w:hAnsi="Calibri"/>
        <w:color w:val="auto"/>
        <w:sz w:val="22"/>
      </w:rPr>
    </w:lvl>
    <w:lvl w:ilvl="2">
      <w:start w:val="1"/>
      <w:numFmt w:val="decimal"/>
      <w:lvlText w:val="%1.%2.%3."/>
      <w:lvlJc w:val="left"/>
      <w:pPr>
        <w:ind w:left="1004" w:hanging="720"/>
      </w:pPr>
      <w:rPr>
        <w:rFonts w:ascii="Calibri" w:hAnsi="Calibri"/>
        <w:color w:val="auto"/>
        <w:sz w:val="22"/>
      </w:rPr>
    </w:lvl>
    <w:lvl w:ilvl="3">
      <w:start w:val="1"/>
      <w:numFmt w:val="decimal"/>
      <w:lvlText w:val="%1.%2.%3.%4."/>
      <w:lvlJc w:val="left"/>
      <w:pPr>
        <w:ind w:left="1004" w:hanging="720"/>
      </w:pPr>
      <w:rPr>
        <w:rFonts w:ascii="Calibri" w:hAnsi="Calibri"/>
        <w:color w:val="auto"/>
        <w:sz w:val="22"/>
      </w:rPr>
    </w:lvl>
    <w:lvl w:ilvl="4">
      <w:start w:val="1"/>
      <w:numFmt w:val="decimal"/>
      <w:lvlText w:val="%1.%2.%3.%4.%5."/>
      <w:lvlJc w:val="left"/>
      <w:pPr>
        <w:ind w:left="1364" w:hanging="1080"/>
      </w:pPr>
      <w:rPr>
        <w:rFonts w:ascii="Calibri" w:hAnsi="Calibri"/>
        <w:color w:val="auto"/>
        <w:sz w:val="22"/>
      </w:rPr>
    </w:lvl>
    <w:lvl w:ilvl="5">
      <w:start w:val="1"/>
      <w:numFmt w:val="decimal"/>
      <w:lvlText w:val="%1.%2.%3.%4.%5.%6."/>
      <w:lvlJc w:val="left"/>
      <w:pPr>
        <w:ind w:left="1364" w:hanging="1080"/>
      </w:pPr>
      <w:rPr>
        <w:rFonts w:ascii="Calibri" w:hAnsi="Calibri"/>
        <w:color w:val="auto"/>
        <w:sz w:val="22"/>
      </w:rPr>
    </w:lvl>
    <w:lvl w:ilvl="6">
      <w:start w:val="1"/>
      <w:numFmt w:val="decimal"/>
      <w:lvlText w:val="%1.%2.%3.%4.%5.%6.%7."/>
      <w:lvlJc w:val="left"/>
      <w:pPr>
        <w:ind w:left="1724" w:hanging="1440"/>
      </w:pPr>
      <w:rPr>
        <w:rFonts w:ascii="Calibri" w:hAnsi="Calibri"/>
        <w:color w:val="auto"/>
        <w:sz w:val="22"/>
      </w:rPr>
    </w:lvl>
    <w:lvl w:ilvl="7">
      <w:start w:val="1"/>
      <w:numFmt w:val="decimal"/>
      <w:lvlText w:val="%1.%2.%3.%4.%5.%6.%7.%8."/>
      <w:lvlJc w:val="left"/>
      <w:pPr>
        <w:ind w:left="1724" w:hanging="1440"/>
      </w:pPr>
      <w:rPr>
        <w:rFonts w:ascii="Calibri" w:hAnsi="Calibri"/>
        <w:color w:val="auto"/>
        <w:sz w:val="22"/>
      </w:rPr>
    </w:lvl>
    <w:lvl w:ilvl="8">
      <w:start w:val="1"/>
      <w:numFmt w:val="decimal"/>
      <w:lvlText w:val="%1.%2.%3.%4.%5.%6.%7.%8.%9."/>
      <w:lvlJc w:val="left"/>
      <w:pPr>
        <w:ind w:left="2084" w:hanging="1800"/>
      </w:pPr>
      <w:rPr>
        <w:rFonts w:ascii="Calibri" w:hAnsi="Calibri"/>
        <w:color w:val="auto"/>
        <w:sz w:val="22"/>
      </w:rPr>
    </w:lvl>
  </w:abstractNum>
  <w:abstractNum w:abstractNumId="2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01644F"/>
    <w:multiLevelType w:val="hybridMultilevel"/>
    <w:tmpl w:val="8486864A"/>
    <w:lvl w:ilvl="0" w:tplc="280C98F4">
      <w:start w:val="1"/>
      <w:numFmt w:val="decimal"/>
      <w:lvlText w:val="2.%1."/>
      <w:lvlJc w:val="left"/>
      <w:pPr>
        <w:ind w:left="360" w:hanging="360"/>
      </w:pPr>
      <w:rPr>
        <w:rFonts w:ascii="Garamond" w:hAnsi="Garamond" w:hint="default"/>
        <w:b/>
        <w:i/>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118533B"/>
    <w:multiLevelType w:val="hybridMultilevel"/>
    <w:tmpl w:val="13225E7A"/>
    <w:lvl w:ilvl="0" w:tplc="15C4433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8B8324F"/>
    <w:multiLevelType w:val="multilevel"/>
    <w:tmpl w:val="8198236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5019B4"/>
    <w:multiLevelType w:val="multilevel"/>
    <w:tmpl w:val="A70273C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95537142">
    <w:abstractNumId w:val="43"/>
  </w:num>
  <w:num w:numId="2" w16cid:durableId="959142581">
    <w:abstractNumId w:val="9"/>
  </w:num>
  <w:num w:numId="3" w16cid:durableId="1842700207">
    <w:abstractNumId w:val="26"/>
  </w:num>
  <w:num w:numId="4" w16cid:durableId="152067405">
    <w:abstractNumId w:val="24"/>
  </w:num>
  <w:num w:numId="5" w16cid:durableId="1915159787">
    <w:abstractNumId w:val="9"/>
    <w:lvlOverride w:ilvl="0">
      <w:startOverride w:val="2"/>
    </w:lvlOverride>
  </w:num>
  <w:num w:numId="6" w16cid:durableId="989867081">
    <w:abstractNumId w:val="7"/>
  </w:num>
  <w:num w:numId="7" w16cid:durableId="444931829">
    <w:abstractNumId w:val="10"/>
  </w:num>
  <w:num w:numId="8" w16cid:durableId="1478110245">
    <w:abstractNumId w:val="41"/>
  </w:num>
  <w:num w:numId="9" w16cid:durableId="811948053">
    <w:abstractNumId w:val="22"/>
  </w:num>
  <w:num w:numId="10" w16cid:durableId="271671459">
    <w:abstractNumId w:val="53"/>
  </w:num>
  <w:num w:numId="11" w16cid:durableId="742993618">
    <w:abstractNumId w:val="23"/>
  </w:num>
  <w:num w:numId="12" w16cid:durableId="453335090">
    <w:abstractNumId w:val="16"/>
  </w:num>
  <w:num w:numId="13" w16cid:durableId="796409363">
    <w:abstractNumId w:val="44"/>
  </w:num>
  <w:num w:numId="14" w16cid:durableId="563491097">
    <w:abstractNumId w:val="18"/>
  </w:num>
  <w:num w:numId="15" w16cid:durableId="2106419568">
    <w:abstractNumId w:val="29"/>
  </w:num>
  <w:num w:numId="16" w16cid:durableId="694038326">
    <w:abstractNumId w:val="14"/>
  </w:num>
  <w:num w:numId="17" w16cid:durableId="77023239">
    <w:abstractNumId w:val="52"/>
  </w:num>
  <w:num w:numId="18" w16cid:durableId="1069424388">
    <w:abstractNumId w:val="12"/>
  </w:num>
  <w:num w:numId="19" w16cid:durableId="1007711498">
    <w:abstractNumId w:val="57"/>
  </w:num>
  <w:num w:numId="20" w16cid:durableId="399863990">
    <w:abstractNumId w:val="0"/>
  </w:num>
  <w:num w:numId="21" w16cid:durableId="575749891">
    <w:abstractNumId w:val="46"/>
  </w:num>
  <w:num w:numId="22" w16cid:durableId="135083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2332830">
    <w:abstractNumId w:val="17"/>
  </w:num>
  <w:num w:numId="24" w16cid:durableId="285164738">
    <w:abstractNumId w:val="11"/>
  </w:num>
  <w:num w:numId="25" w16cid:durableId="1711804801">
    <w:abstractNumId w:val="48"/>
  </w:num>
  <w:num w:numId="26" w16cid:durableId="490372690">
    <w:abstractNumId w:val="36"/>
  </w:num>
  <w:num w:numId="27" w16cid:durableId="1550069484">
    <w:abstractNumId w:val="50"/>
  </w:num>
  <w:num w:numId="28" w16cid:durableId="988285472">
    <w:abstractNumId w:val="20"/>
  </w:num>
  <w:num w:numId="29" w16cid:durableId="1446345299">
    <w:abstractNumId w:val="27"/>
  </w:num>
  <w:num w:numId="30" w16cid:durableId="1188720002">
    <w:abstractNumId w:val="51"/>
  </w:num>
  <w:num w:numId="31" w16cid:durableId="19935236">
    <w:abstractNumId w:val="28"/>
  </w:num>
  <w:num w:numId="32" w16cid:durableId="2065829776">
    <w:abstractNumId w:val="38"/>
  </w:num>
  <w:num w:numId="33" w16cid:durableId="1679111256">
    <w:abstractNumId w:val="39"/>
  </w:num>
  <w:num w:numId="34" w16cid:durableId="1012415221">
    <w:abstractNumId w:val="8"/>
  </w:num>
  <w:num w:numId="35" w16cid:durableId="1751386758">
    <w:abstractNumId w:val="6"/>
  </w:num>
  <w:num w:numId="36" w16cid:durableId="1458329602">
    <w:abstractNumId w:val="3"/>
  </w:num>
  <w:num w:numId="37" w16cid:durableId="17588968">
    <w:abstractNumId w:val="2"/>
  </w:num>
  <w:num w:numId="38" w16cid:durableId="745034314">
    <w:abstractNumId w:val="19"/>
  </w:num>
  <w:num w:numId="39" w16cid:durableId="1319193428">
    <w:abstractNumId w:val="35"/>
  </w:num>
  <w:num w:numId="40" w16cid:durableId="1007555277">
    <w:abstractNumId w:val="47"/>
  </w:num>
  <w:num w:numId="41" w16cid:durableId="1921519786">
    <w:abstractNumId w:val="30"/>
  </w:num>
  <w:num w:numId="42" w16cid:durableId="1469587224">
    <w:abstractNumId w:val="15"/>
  </w:num>
  <w:num w:numId="43" w16cid:durableId="2129548561">
    <w:abstractNumId w:val="49"/>
  </w:num>
  <w:num w:numId="44" w16cid:durableId="963848321">
    <w:abstractNumId w:val="40"/>
  </w:num>
  <w:num w:numId="45" w16cid:durableId="1433629359">
    <w:abstractNumId w:val="37"/>
  </w:num>
  <w:num w:numId="46" w16cid:durableId="1654604758">
    <w:abstractNumId w:val="13"/>
  </w:num>
  <w:num w:numId="47" w16cid:durableId="798063120">
    <w:abstractNumId w:val="34"/>
  </w:num>
  <w:num w:numId="48" w16cid:durableId="540899747">
    <w:abstractNumId w:val="33"/>
  </w:num>
  <w:num w:numId="49" w16cid:durableId="408382655">
    <w:abstractNumId w:val="54"/>
  </w:num>
  <w:num w:numId="50" w16cid:durableId="1042946431">
    <w:abstractNumId w:val="25"/>
  </w:num>
  <w:num w:numId="51" w16cid:durableId="1108281909">
    <w:abstractNumId w:val="45"/>
  </w:num>
  <w:num w:numId="52" w16cid:durableId="910695224">
    <w:abstractNumId w:val="56"/>
  </w:num>
  <w:num w:numId="53" w16cid:durableId="464541326">
    <w:abstractNumId w:val="4"/>
  </w:num>
  <w:num w:numId="54" w16cid:durableId="1853176942">
    <w:abstractNumId w:val="1"/>
  </w:num>
  <w:num w:numId="55" w16cid:durableId="1082263335">
    <w:abstractNumId w:val="21"/>
  </w:num>
  <w:num w:numId="56" w16cid:durableId="293564540">
    <w:abstractNumId w:val="42"/>
  </w:num>
  <w:num w:numId="57" w16cid:durableId="589581538">
    <w:abstractNumId w:val="5"/>
  </w:num>
  <w:num w:numId="58" w16cid:durableId="1321497804">
    <w:abstractNumId w:val="31"/>
  </w:num>
  <w:num w:numId="59" w16cid:durableId="429662392">
    <w:abstractNumId w:val="55"/>
  </w:num>
  <w:num w:numId="60" w16cid:durableId="1983849945">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206E"/>
    <w:rsid w:val="000257C0"/>
    <w:rsid w:val="00025839"/>
    <w:rsid w:val="0002587C"/>
    <w:rsid w:val="000377C6"/>
    <w:rsid w:val="000534B9"/>
    <w:rsid w:val="00055B71"/>
    <w:rsid w:val="00067A4A"/>
    <w:rsid w:val="000753B2"/>
    <w:rsid w:val="00075C28"/>
    <w:rsid w:val="000836DD"/>
    <w:rsid w:val="00085BE5"/>
    <w:rsid w:val="00096B53"/>
    <w:rsid w:val="000A1A2D"/>
    <w:rsid w:val="000A378C"/>
    <w:rsid w:val="000A5016"/>
    <w:rsid w:val="000A6E24"/>
    <w:rsid w:val="000C14CC"/>
    <w:rsid w:val="000C7915"/>
    <w:rsid w:val="000D1B41"/>
    <w:rsid w:val="000E0623"/>
    <w:rsid w:val="000E75B2"/>
    <w:rsid w:val="00104971"/>
    <w:rsid w:val="001239E9"/>
    <w:rsid w:val="0013597E"/>
    <w:rsid w:val="0014322D"/>
    <w:rsid w:val="001525D4"/>
    <w:rsid w:val="001545C9"/>
    <w:rsid w:val="00160338"/>
    <w:rsid w:val="0016243A"/>
    <w:rsid w:val="001632B0"/>
    <w:rsid w:val="0017001A"/>
    <w:rsid w:val="0017446A"/>
    <w:rsid w:val="00176E42"/>
    <w:rsid w:val="00180CEE"/>
    <w:rsid w:val="00184F9E"/>
    <w:rsid w:val="00193F4F"/>
    <w:rsid w:val="00194970"/>
    <w:rsid w:val="00195035"/>
    <w:rsid w:val="001973EF"/>
    <w:rsid w:val="001B139B"/>
    <w:rsid w:val="001B4FB0"/>
    <w:rsid w:val="001B6CA3"/>
    <w:rsid w:val="001C0A40"/>
    <w:rsid w:val="001C4E0F"/>
    <w:rsid w:val="001D5859"/>
    <w:rsid w:val="001D6FD0"/>
    <w:rsid w:val="001E22A2"/>
    <w:rsid w:val="001F4472"/>
    <w:rsid w:val="00203FF6"/>
    <w:rsid w:val="002050E2"/>
    <w:rsid w:val="00205F93"/>
    <w:rsid w:val="00211A79"/>
    <w:rsid w:val="00212368"/>
    <w:rsid w:val="0021254C"/>
    <w:rsid w:val="00213C86"/>
    <w:rsid w:val="0021448A"/>
    <w:rsid w:val="00214624"/>
    <w:rsid w:val="002159B4"/>
    <w:rsid w:val="00215DD3"/>
    <w:rsid w:val="00217826"/>
    <w:rsid w:val="00221AD0"/>
    <w:rsid w:val="00222417"/>
    <w:rsid w:val="002232F3"/>
    <w:rsid w:val="00233308"/>
    <w:rsid w:val="00243751"/>
    <w:rsid w:val="00243A56"/>
    <w:rsid w:val="0025086A"/>
    <w:rsid w:val="00251977"/>
    <w:rsid w:val="00261A70"/>
    <w:rsid w:val="00271CBE"/>
    <w:rsid w:val="00276391"/>
    <w:rsid w:val="00281573"/>
    <w:rsid w:val="0028161A"/>
    <w:rsid w:val="00282284"/>
    <w:rsid w:val="002824A2"/>
    <w:rsid w:val="00297B78"/>
    <w:rsid w:val="002A1F15"/>
    <w:rsid w:val="002A4737"/>
    <w:rsid w:val="002B2CDD"/>
    <w:rsid w:val="002B52F4"/>
    <w:rsid w:val="002B53B3"/>
    <w:rsid w:val="002B7D5A"/>
    <w:rsid w:val="002C4003"/>
    <w:rsid w:val="002D1EFB"/>
    <w:rsid w:val="002D2165"/>
    <w:rsid w:val="002D5BA6"/>
    <w:rsid w:val="002E061F"/>
    <w:rsid w:val="002E31EB"/>
    <w:rsid w:val="002E3424"/>
    <w:rsid w:val="002F37A8"/>
    <w:rsid w:val="00304334"/>
    <w:rsid w:val="003229BC"/>
    <w:rsid w:val="0032521D"/>
    <w:rsid w:val="0033204F"/>
    <w:rsid w:val="0033376D"/>
    <w:rsid w:val="00342916"/>
    <w:rsid w:val="0034799E"/>
    <w:rsid w:val="0036235B"/>
    <w:rsid w:val="003664E0"/>
    <w:rsid w:val="00367799"/>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16E0F"/>
    <w:rsid w:val="00425E03"/>
    <w:rsid w:val="00454A3C"/>
    <w:rsid w:val="00466A5B"/>
    <w:rsid w:val="0046721F"/>
    <w:rsid w:val="00467874"/>
    <w:rsid w:val="00473011"/>
    <w:rsid w:val="00475BF7"/>
    <w:rsid w:val="00476D16"/>
    <w:rsid w:val="0048028E"/>
    <w:rsid w:val="00487AA6"/>
    <w:rsid w:val="0049247C"/>
    <w:rsid w:val="00495502"/>
    <w:rsid w:val="004B0850"/>
    <w:rsid w:val="004B5180"/>
    <w:rsid w:val="004C0294"/>
    <w:rsid w:val="004C3576"/>
    <w:rsid w:val="004C709F"/>
    <w:rsid w:val="004C7DCF"/>
    <w:rsid w:val="004F327F"/>
    <w:rsid w:val="00503D7C"/>
    <w:rsid w:val="0051154E"/>
    <w:rsid w:val="00513514"/>
    <w:rsid w:val="005210A5"/>
    <w:rsid w:val="005217CA"/>
    <w:rsid w:val="0052583C"/>
    <w:rsid w:val="0052591D"/>
    <w:rsid w:val="0053045A"/>
    <w:rsid w:val="00536C49"/>
    <w:rsid w:val="00542E04"/>
    <w:rsid w:val="005441CA"/>
    <w:rsid w:val="00552532"/>
    <w:rsid w:val="00557219"/>
    <w:rsid w:val="0057243F"/>
    <w:rsid w:val="00573991"/>
    <w:rsid w:val="005975EE"/>
    <w:rsid w:val="0059776B"/>
    <w:rsid w:val="005B4C99"/>
    <w:rsid w:val="005C33F3"/>
    <w:rsid w:val="005D080C"/>
    <w:rsid w:val="005D1C02"/>
    <w:rsid w:val="005E01AC"/>
    <w:rsid w:val="005F2003"/>
    <w:rsid w:val="005F41D2"/>
    <w:rsid w:val="005F4706"/>
    <w:rsid w:val="005F7219"/>
    <w:rsid w:val="00600DA7"/>
    <w:rsid w:val="006166B1"/>
    <w:rsid w:val="00624F93"/>
    <w:rsid w:val="006272A9"/>
    <w:rsid w:val="00632933"/>
    <w:rsid w:val="00632EAC"/>
    <w:rsid w:val="00633898"/>
    <w:rsid w:val="006374E2"/>
    <w:rsid w:val="0064646F"/>
    <w:rsid w:val="0067285B"/>
    <w:rsid w:val="006A2F65"/>
    <w:rsid w:val="006A372B"/>
    <w:rsid w:val="006A46F9"/>
    <w:rsid w:val="006A4D22"/>
    <w:rsid w:val="006C4396"/>
    <w:rsid w:val="006D491E"/>
    <w:rsid w:val="006D5449"/>
    <w:rsid w:val="006E4892"/>
    <w:rsid w:val="006E5D09"/>
    <w:rsid w:val="006E6324"/>
    <w:rsid w:val="006F289F"/>
    <w:rsid w:val="0070353A"/>
    <w:rsid w:val="00715AE9"/>
    <w:rsid w:val="00715E8A"/>
    <w:rsid w:val="00733CC4"/>
    <w:rsid w:val="00750236"/>
    <w:rsid w:val="007536C6"/>
    <w:rsid w:val="00764668"/>
    <w:rsid w:val="00764E84"/>
    <w:rsid w:val="0077036E"/>
    <w:rsid w:val="007749A0"/>
    <w:rsid w:val="00776F9D"/>
    <w:rsid w:val="00785E76"/>
    <w:rsid w:val="00791C2D"/>
    <w:rsid w:val="007A262B"/>
    <w:rsid w:val="007A3149"/>
    <w:rsid w:val="007A3A3A"/>
    <w:rsid w:val="007A4576"/>
    <w:rsid w:val="007B186A"/>
    <w:rsid w:val="007C01E4"/>
    <w:rsid w:val="007D0B42"/>
    <w:rsid w:val="0080343C"/>
    <w:rsid w:val="00803A94"/>
    <w:rsid w:val="00807F5E"/>
    <w:rsid w:val="00816AB3"/>
    <w:rsid w:val="00820445"/>
    <w:rsid w:val="0083528E"/>
    <w:rsid w:val="008367A0"/>
    <w:rsid w:val="00842F40"/>
    <w:rsid w:val="00874B20"/>
    <w:rsid w:val="00893F70"/>
    <w:rsid w:val="00895FAA"/>
    <w:rsid w:val="00896FEE"/>
    <w:rsid w:val="0089753C"/>
    <w:rsid w:val="008A4E78"/>
    <w:rsid w:val="008C4A21"/>
    <w:rsid w:val="008E5CED"/>
    <w:rsid w:val="008E7E40"/>
    <w:rsid w:val="008F078F"/>
    <w:rsid w:val="008F0836"/>
    <w:rsid w:val="008F4769"/>
    <w:rsid w:val="008F4FD5"/>
    <w:rsid w:val="00900075"/>
    <w:rsid w:val="00920B80"/>
    <w:rsid w:val="00920BEE"/>
    <w:rsid w:val="00921701"/>
    <w:rsid w:val="00933EFC"/>
    <w:rsid w:val="00942EC8"/>
    <w:rsid w:val="00944FF0"/>
    <w:rsid w:val="009804F1"/>
    <w:rsid w:val="0098147D"/>
    <w:rsid w:val="009852CA"/>
    <w:rsid w:val="009852D9"/>
    <w:rsid w:val="0098672F"/>
    <w:rsid w:val="009A0DC1"/>
    <w:rsid w:val="009A7C3A"/>
    <w:rsid w:val="009B4B2F"/>
    <w:rsid w:val="009B62C2"/>
    <w:rsid w:val="009C378D"/>
    <w:rsid w:val="009C3B9A"/>
    <w:rsid w:val="009D0D3D"/>
    <w:rsid w:val="009E49AE"/>
    <w:rsid w:val="00A04E33"/>
    <w:rsid w:val="00A14400"/>
    <w:rsid w:val="00A14D53"/>
    <w:rsid w:val="00A20192"/>
    <w:rsid w:val="00A3549E"/>
    <w:rsid w:val="00A379B8"/>
    <w:rsid w:val="00A42E3E"/>
    <w:rsid w:val="00A533CE"/>
    <w:rsid w:val="00A65D6A"/>
    <w:rsid w:val="00A71FDE"/>
    <w:rsid w:val="00A83F3E"/>
    <w:rsid w:val="00A87563"/>
    <w:rsid w:val="00AA12E8"/>
    <w:rsid w:val="00AA2056"/>
    <w:rsid w:val="00AB1DAB"/>
    <w:rsid w:val="00AE6A1F"/>
    <w:rsid w:val="00B058DA"/>
    <w:rsid w:val="00B21C66"/>
    <w:rsid w:val="00B24F54"/>
    <w:rsid w:val="00B35CCE"/>
    <w:rsid w:val="00B40BA7"/>
    <w:rsid w:val="00B41B89"/>
    <w:rsid w:val="00B434A1"/>
    <w:rsid w:val="00B55977"/>
    <w:rsid w:val="00B62E1E"/>
    <w:rsid w:val="00B64CF6"/>
    <w:rsid w:val="00B771DB"/>
    <w:rsid w:val="00BB7268"/>
    <w:rsid w:val="00BC5F74"/>
    <w:rsid w:val="00BF6D68"/>
    <w:rsid w:val="00C048D9"/>
    <w:rsid w:val="00C077D9"/>
    <w:rsid w:val="00C07951"/>
    <w:rsid w:val="00C20B78"/>
    <w:rsid w:val="00C25390"/>
    <w:rsid w:val="00C32464"/>
    <w:rsid w:val="00C33378"/>
    <w:rsid w:val="00C33BE2"/>
    <w:rsid w:val="00C34AC0"/>
    <w:rsid w:val="00C409CB"/>
    <w:rsid w:val="00C45EFE"/>
    <w:rsid w:val="00C55D53"/>
    <w:rsid w:val="00C667A9"/>
    <w:rsid w:val="00C72B94"/>
    <w:rsid w:val="00C72D78"/>
    <w:rsid w:val="00C85114"/>
    <w:rsid w:val="00C85B69"/>
    <w:rsid w:val="00C91137"/>
    <w:rsid w:val="00C913B3"/>
    <w:rsid w:val="00C93255"/>
    <w:rsid w:val="00C93621"/>
    <w:rsid w:val="00CA7A0A"/>
    <w:rsid w:val="00CB5120"/>
    <w:rsid w:val="00CE033F"/>
    <w:rsid w:val="00CE1724"/>
    <w:rsid w:val="00CE7883"/>
    <w:rsid w:val="00CF0222"/>
    <w:rsid w:val="00CF40E1"/>
    <w:rsid w:val="00CF61D6"/>
    <w:rsid w:val="00CF7C26"/>
    <w:rsid w:val="00D04020"/>
    <w:rsid w:val="00D07797"/>
    <w:rsid w:val="00D357E9"/>
    <w:rsid w:val="00D41E24"/>
    <w:rsid w:val="00D447EB"/>
    <w:rsid w:val="00D44A3B"/>
    <w:rsid w:val="00D50BEA"/>
    <w:rsid w:val="00D652E1"/>
    <w:rsid w:val="00D6578E"/>
    <w:rsid w:val="00D707B6"/>
    <w:rsid w:val="00D71303"/>
    <w:rsid w:val="00D84B77"/>
    <w:rsid w:val="00D9136D"/>
    <w:rsid w:val="00D913B2"/>
    <w:rsid w:val="00D97B74"/>
    <w:rsid w:val="00DB00F2"/>
    <w:rsid w:val="00DC1553"/>
    <w:rsid w:val="00DC5B1E"/>
    <w:rsid w:val="00DC7B65"/>
    <w:rsid w:val="00DD0A5F"/>
    <w:rsid w:val="00DD1C62"/>
    <w:rsid w:val="00DD29CD"/>
    <w:rsid w:val="00DE1076"/>
    <w:rsid w:val="00DF01C6"/>
    <w:rsid w:val="00DF0496"/>
    <w:rsid w:val="00DF1F28"/>
    <w:rsid w:val="00DF3CD1"/>
    <w:rsid w:val="00E169F8"/>
    <w:rsid w:val="00E174ED"/>
    <w:rsid w:val="00E17A82"/>
    <w:rsid w:val="00E410FD"/>
    <w:rsid w:val="00E417BB"/>
    <w:rsid w:val="00E41E2D"/>
    <w:rsid w:val="00E451B0"/>
    <w:rsid w:val="00E535C1"/>
    <w:rsid w:val="00E55995"/>
    <w:rsid w:val="00E66A7C"/>
    <w:rsid w:val="00E67B3E"/>
    <w:rsid w:val="00E7022B"/>
    <w:rsid w:val="00E722BA"/>
    <w:rsid w:val="00E75AC9"/>
    <w:rsid w:val="00E831FD"/>
    <w:rsid w:val="00E8612D"/>
    <w:rsid w:val="00E91BB0"/>
    <w:rsid w:val="00EA4FEF"/>
    <w:rsid w:val="00EB2523"/>
    <w:rsid w:val="00EB72C1"/>
    <w:rsid w:val="00EC18C3"/>
    <w:rsid w:val="00EC46A1"/>
    <w:rsid w:val="00EC69E6"/>
    <w:rsid w:val="00ED5EA4"/>
    <w:rsid w:val="00ED6E54"/>
    <w:rsid w:val="00EE03A0"/>
    <w:rsid w:val="00EE29E2"/>
    <w:rsid w:val="00EE468D"/>
    <w:rsid w:val="00EF09CB"/>
    <w:rsid w:val="00EF1EFC"/>
    <w:rsid w:val="00EF2884"/>
    <w:rsid w:val="00F00B01"/>
    <w:rsid w:val="00F023A4"/>
    <w:rsid w:val="00F04881"/>
    <w:rsid w:val="00F07FD9"/>
    <w:rsid w:val="00F15AED"/>
    <w:rsid w:val="00F230FA"/>
    <w:rsid w:val="00F23C85"/>
    <w:rsid w:val="00F26534"/>
    <w:rsid w:val="00F27842"/>
    <w:rsid w:val="00F30294"/>
    <w:rsid w:val="00F331D4"/>
    <w:rsid w:val="00F406DB"/>
    <w:rsid w:val="00F51636"/>
    <w:rsid w:val="00F55264"/>
    <w:rsid w:val="00F71A96"/>
    <w:rsid w:val="00F727B5"/>
    <w:rsid w:val="00F7523E"/>
    <w:rsid w:val="00F96D74"/>
    <w:rsid w:val="00F971CA"/>
    <w:rsid w:val="00FB321B"/>
    <w:rsid w:val="00FB4DBA"/>
    <w:rsid w:val="00FC2718"/>
    <w:rsid w:val="00FD0EDC"/>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BULLET Liste,inspringtekst,Lettre d'introduction,Lijstalinea1,References,Dot pt,F5 List Paragraph,List Paragraph1,Bullet Points,No Spacing1,List Paragraph Char Char Char,Indicator Text,Numbered Para 1,Bullet 1,séga"/>
    <w:basedOn w:val="Normal"/>
    <w:link w:val="ParagraphedelisteCar"/>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List numbered Car,BULLET Liste Car,inspringtekst Car,Lettre d'introduction Car,Lijstalinea1 Car,References Car,Dot pt Car,F5 List Paragraph Car,List Paragraph1 Car,Bullet Points Car,No Spacing1 Car,Indicator Text Car,Bullet 1 Car"/>
    <w:basedOn w:val="Policepardfaut"/>
    <w:link w:val="Paragraphedeliste"/>
    <w:uiPriority w:val="34"/>
    <w:qFormat/>
    <w:locked/>
    <w:rsid w:val="00C07951"/>
    <w:rPr>
      <w:rFonts w:ascii="Georgia" w:hAnsi="Georgia"/>
      <w:color w:val="585756"/>
      <w:sz w:val="21"/>
      <w:szCs w:val="22"/>
      <w:lang w:eastAsia="en-US"/>
    </w:rPr>
  </w:style>
  <w:style w:type="paragraph" w:styleId="TM5">
    <w:name w:val="toc 5"/>
    <w:basedOn w:val="Normal"/>
    <w:next w:val="Normal"/>
    <w:autoRedefine/>
    <w:uiPriority w:val="39"/>
    <w:unhideWhenUsed/>
    <w:rsid w:val="00552532"/>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552532"/>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552532"/>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552532"/>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552532"/>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3b918624-1fb2-4708-9199-e591dcdfe19b"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documentcloud.adobe.com/link/track?uri=urn:aaid:scds:US:412289af-39d0-4646-b070-5cfed3760a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europ%C3%A9ennes-ue" TargetMode="Externa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finances.belgium.be/fr/tresorerie/sanctions-financieres/sanctions-internationales-nations-uni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gilles.oddos@enabel.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umentcloud.adobe.com/link/track?uri=urn:aaid:scds:US:c52ab6a5-6134-4fed-9596-107f7daf6f1" TargetMode="External"/><Relationship Id="rId27" Type="http://schemas.openxmlformats.org/officeDocument/2006/relationships/hyperlink" Target="https://finances.belgium.be/fr/sur_le_spf/structure_et_services/administrations_generales/tr%C3%A9sorerie/contr%C3%B4le-des-instruments-1-2"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tierd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452</Value>
      <Value>451</Value>
      <Value>1</Value>
      <Value>7</Value>
    </TaxCatchAll>
    <_dlc_DocId xmlns="508ba6eb-9e09-4fd5-92f2-2d9921329f2d">CODENABEL-1382660127-34312</_dlc_DocId>
    <_dlc_DocIdUrl xmlns="508ba6eb-9e09-4fd5-92f2-2d9921329f2d">
      <Url>https://enabelbe.sharepoint.com/sites/COD/_layouts/15/DocIdRedir.aspx?ID=CODENABEL-1382660127-34312</Url>
      <Description>CODENABEL-1382660127-34312</Description>
    </_dlc_DocIdUrl>
    <SharedWithUsers xmlns="15d78002-bc9c-4a72-9b22-72c074cbc93f">
      <UserInfo>
        <DisplayName>JANSSENS, Inge</DisplayName>
        <AccountId>36</AccountId>
        <AccountType/>
      </UserInfo>
    </SharedWithUsers>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COD22026</TermName>
          <TermId xmlns="http://schemas.microsoft.com/office/infopath/2007/PartnerControls">cd0aa918-0a93-422b-8b19-5de9bf47d8f0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COD22026-10005</TermName>
          <TermId xmlns="http://schemas.microsoft.com/office/infopath/2007/PartnerControls">097a4e10-30bc-4f4a-9dd8-77a815991f3e</TermId>
        </TermInfo>
      </Term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A5627C79-00D9-4AB2-A4C9-7D342414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12</TotalTime>
  <Pages>1</Pages>
  <Words>13408</Words>
  <Characters>73744</Characters>
  <Application>Microsoft Office Word</Application>
  <DocSecurity>0</DocSecurity>
  <Lines>614</Lines>
  <Paragraphs>173</Paragraphs>
  <ScaleCrop>false</ScaleCrop>
  <HeadingPairs>
    <vt:vector size="6" baseType="variant">
      <vt:variant>
        <vt:lpstr>Titre</vt:lpstr>
      </vt:variant>
      <vt:variant>
        <vt:i4>1</vt:i4>
      </vt:variant>
      <vt:variant>
        <vt:lpstr>Titres</vt:lpstr>
      </vt:variant>
      <vt:variant>
        <vt:i4>85</vt:i4>
      </vt:variant>
      <vt:variant>
        <vt:lpstr>Titel</vt:lpstr>
      </vt:variant>
      <vt:variant>
        <vt:i4>1</vt:i4>
      </vt:variant>
    </vt:vector>
  </HeadingPairs>
  <TitlesOfParts>
    <vt:vector size="87" baseType="lpstr">
      <vt:lpstr/>
      <vt:lpstr>Généralités </vt:lpstr>
      <vt:lpstr>    Dérogations aux règles générales d’exécution</vt:lpstr>
      <vt:lpstr>    Pouvoir adjudicateur</vt:lpstr>
      <vt:lpstr>    Cadre institutionnel d’Enabel</vt:lpstr>
      <vt:lpstr>    Règles régissant le marché</vt:lpstr>
      <vt:lpstr>    Définitions</vt:lpstr>
      <vt:lpstr>    Confidentialité</vt:lpstr>
      <vt:lpstr>        Traitement des données à caractère personnel</vt:lpstr>
      <vt:lpstr>        Confidentialité</vt:lpstr>
      <vt:lpstr>    Obligations déontologiques</vt:lpstr>
      <vt:lpstr>        </vt:lpstr>
      <vt:lpstr>        </vt:lpstr>
      <vt:lpstr>        </vt:lpstr>
      <vt:lpstr>        </vt:lpstr>
      <vt:lpstr>        </vt:lpstr>
      <vt:lpstr>        </vt:lpstr>
      <vt:lpstr>        </vt:lpstr>
      <vt:lpstr>    Droit applicable et tribunaux compétents</vt:lpstr>
      <vt:lpstr>Objet et portée du marché</vt:lpstr>
      <vt:lpstr>    Nature du marché</vt:lpstr>
      <vt:lpstr>    Objet du marché</vt:lpstr>
      <vt:lpstr>    Lots </vt:lpstr>
      <vt:lpstr>    Postes</vt:lpstr>
      <vt:lpstr>    Durée du marché </vt:lpstr>
      <vt:lpstr>    Variantes ♣ </vt:lpstr>
      <vt:lpstr>    Options</vt:lpstr>
      <vt:lpstr>    Quantité</vt:lpstr>
      <vt:lpstr>Objet et portée du marché</vt:lpstr>
      <vt:lpstr>    Mode de passation</vt:lpstr>
      <vt:lpstr>    Publication officieuse</vt:lpstr>
      <vt:lpstr>        Publication Enabel</vt:lpstr>
      <vt:lpstr>    Information</vt:lpstr>
      <vt:lpstr>    Offre</vt:lpstr>
      <vt:lpstr>        Données à mentionner dans l’offre</vt:lpstr>
      <vt:lpstr>        Durée de validité de l’offre</vt:lpstr>
      <vt:lpstr>        Détermination des prix</vt:lpstr>
      <vt:lpstr>        Introduction des offres</vt:lpstr>
      <vt:lpstr>        Modification ou retrait d’une offre déjà introduite</vt:lpstr>
      <vt:lpstr>        Sélection des commissionaires’</vt:lpstr>
      <vt:lpstr>        Conclusion du contrat</vt:lpstr>
      <vt:lpstr>Dispositions contractuelles particulères</vt:lpstr>
      <vt:lpstr>    Fonctionnaire dirigeant (art. 11)</vt:lpstr>
      <vt:lpstr>    Sous-traitants (art. 12 à 15)</vt:lpstr>
      <vt:lpstr>    Confidentialité (art. 18)</vt:lpstr>
      <vt:lpstr>    Protection des données personnelles</vt:lpstr>
      <vt:lpstr>    Droits intellectuels (art. 19 à 23)</vt:lpstr>
      <vt:lpstr>    Cautionnement (art.25 à 33)</vt:lpstr>
      <vt:lpstr>    Conformité de l’exécution (art. 34) </vt:lpstr>
      <vt:lpstr>    Modifications du marché (art. 37 à 38/19)</vt:lpstr>
      <vt:lpstr>        Remplacement de l’adjudicataire (art. 38/3)</vt:lpstr>
      <vt:lpstr>        Révision des prix (art. 38/7)</vt:lpstr>
      <vt:lpstr>        Indemnités suite aux suspensions ordonnées par l’adjudicateur durant l’exécution</vt:lpstr>
      <vt:lpstr>        Circonstances imprévisibles</vt:lpstr>
      <vt:lpstr>    Réception technique préalable (art. 42)</vt:lpstr>
      <vt:lpstr>    Modalités d’exécution (art. 146 es)</vt:lpstr>
      <vt:lpstr>        Délais et clauses (art. 147)</vt:lpstr>
      <vt:lpstr>        Lieu où les services doivent être exécutés et formalités (art. 149)</vt:lpstr>
      <vt:lpstr>        Egalité des genres</vt:lpstr>
      <vt:lpstr>        Tolérance zéro exploitation et abus sexuels</vt:lpstr>
      <vt:lpstr>    Vérification des services (art. 150)</vt:lpstr>
      <vt:lpstr>    Responsabilité du prestataire de services (art. 152-153)</vt:lpstr>
      <vt:lpstr>    Moyens d’action du Pouvoir Adjudicateur (art. 44-51 et 154-155)</vt:lpstr>
      <vt:lpstr>        Défaut d’exécution (art. 44)</vt:lpstr>
      <vt:lpstr>        Amendes pour retard (art. 46 et 154)</vt:lpstr>
      <vt:lpstr>        Mesures d’office (art. 47 et 155)</vt:lpstr>
      <vt:lpstr>    Fin du marché </vt:lpstr>
      <vt:lpstr>        Réception des services exécutés (art. 64-65 et 156)</vt:lpstr>
      <vt:lpstr>        Frais de réception</vt:lpstr>
      <vt:lpstr>        Facturation et paiement des services (art. 66 à 72 -160)</vt:lpstr>
      <vt:lpstr>    Litiges (art. 73)</vt:lpstr>
      <vt:lpstr>Termes de référence</vt:lpstr>
      <vt:lpstr>Formulaires d’offre</vt:lpstr>
      <vt:lpstr>    Fiche d’identification</vt:lpstr>
      <vt:lpstr>        Personne physique </vt:lpstr>
      <vt:lpstr>        Entité de droit privé/public ayant une forme juridique</vt:lpstr>
      <vt:lpstr>        Entité de droit public </vt:lpstr>
      <vt:lpstr>        Sous-traitants</vt:lpstr>
      <vt:lpstr>    Signature autorisée</vt:lpstr>
      <vt:lpstr>    Formulaire d’offre - Prix</vt:lpstr>
      <vt:lpstr>    </vt:lpstr>
      <vt:lpstr>    Déclaration sur l’honneur – motifs d’exclusion </vt:lpstr>
      <vt:lpstr>    Déclaration intégrité soumissionnaires</vt:lpstr>
      <vt:lpstr>    Dossier de sélection – aptitude technique</vt:lpstr>
      <vt:lpstr>    Annexe 1 : Services similaires</vt:lpstr>
      <vt:lpstr>    Documents à remettre – liste exhaustive</vt:lpstr>
      <vt:lpstr/>
    </vt:vector>
  </TitlesOfParts>
  <Company>BTCCTB</Company>
  <LinksUpToDate>false</LinksUpToDate>
  <CharactersWithSpaces>86979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ONGOMBE UTCHUDI, Albert</cp:lastModifiedBy>
  <cp:revision>8</cp:revision>
  <cp:lastPrinted>2023-09-04T14:39:00Z</cp:lastPrinted>
  <dcterms:created xsi:type="dcterms:W3CDTF">2023-09-04T04:56:00Z</dcterms:created>
  <dcterms:modified xsi:type="dcterms:W3CDTF">2023-09-04T14:39:00Z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bf034ce7-6099-4ba9-8e7c-65ab035583d9</vt:lpwstr>
  </property>
  <property fmtid="{D5CDD505-2E9C-101B-9397-08002B2CF9AE}" pid="7" name="ENABEL_Service">
    <vt:lpwstr>26;#08. PARTNERSHIPS ＆ CONTRACTS|8fa012b9-d987-44e3-bfb9-a564dd1f9647</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451</vt:lpwstr>
  </property>
  <property fmtid="{D5CDD505-2E9C-101B-9397-08002B2CF9AE}" pid="11" name="Project_code">
    <vt:lpwstr>452</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