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E226" w14:textId="482B8D86" w:rsidR="00BF3102" w:rsidRPr="000621BF" w:rsidRDefault="00BF3102" w:rsidP="00BF3102">
      <w:pPr>
        <w:pStyle w:val="Titre2"/>
        <w:spacing w:after="120"/>
        <w:rPr>
          <w:rFonts w:ascii="Georgia" w:eastAsia="Times New Roman" w:hAnsi="Georgia" w:cs="Times New Roman"/>
          <w:b/>
          <w:iCs/>
          <w:color w:val="auto"/>
        </w:rPr>
      </w:pPr>
      <w:bookmarkStart w:id="0" w:name="_Toc53727337"/>
      <w:r>
        <w:rPr>
          <w:rFonts w:ascii="Georgia" w:eastAsia="Times New Roman" w:hAnsi="Georgia" w:cs="Times New Roman"/>
          <w:b/>
          <w:iCs/>
          <w:color w:val="auto"/>
        </w:rPr>
        <w:t xml:space="preserve">ANNEXE II- </w:t>
      </w:r>
      <w:r w:rsidRPr="000621BF">
        <w:rPr>
          <w:rFonts w:ascii="Georgia" w:eastAsia="Times New Roman" w:hAnsi="Georgia" w:cs="Times New Roman"/>
          <w:b/>
          <w:iCs/>
          <w:color w:val="auto"/>
        </w:rPr>
        <w:t xml:space="preserve">Bordereau de prix unitaires </w:t>
      </w:r>
      <w:bookmarkEnd w:id="0"/>
      <w:r>
        <w:rPr>
          <w:rFonts w:ascii="Georgia" w:eastAsia="Times New Roman" w:hAnsi="Georgia" w:cs="Times New Roman"/>
          <w:b/>
          <w:iCs/>
          <w:color w:val="auto"/>
        </w:rPr>
        <w:t>&amp; définition des prix unitaires</w:t>
      </w:r>
    </w:p>
    <w:p w14:paraId="425E9E4D" w14:textId="77777777" w:rsidR="00BF3102" w:rsidRPr="00F93D15" w:rsidRDefault="00BF3102" w:rsidP="00BF3102">
      <w:pPr>
        <w:pStyle w:val="BTCtextCTB"/>
        <w:rPr>
          <w:rFonts w:ascii="Georgia" w:eastAsia="Calibri" w:hAnsi="Georgia"/>
          <w:b/>
          <w:bCs/>
          <w:sz w:val="21"/>
          <w:szCs w:val="21"/>
        </w:rPr>
      </w:pPr>
      <w:r w:rsidRPr="00F93D15">
        <w:rPr>
          <w:rFonts w:ascii="Georgia" w:eastAsia="Calibri" w:hAnsi="Georgia"/>
          <w:b/>
          <w:bCs/>
          <w:sz w:val="21"/>
          <w:szCs w:val="21"/>
        </w:rPr>
        <w:t>APPLICATION DU BORDEREAU DE PRIX UNITAIRES</w:t>
      </w:r>
    </w:p>
    <w:p w14:paraId="42EBC94A"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L’expression « Bordereau de Prix Unitaires » implique l’application sans restriction des règlements et normes en vigueur au Mali, sans qu’il soit nécessaire d’y faire référence, et leur application ne peut être dissocié des dossiers de plans et documents auxquels font référence les pièces contractuelles.</w:t>
      </w:r>
    </w:p>
    <w:p w14:paraId="6A95E323"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Les spécifications du Bordereau De Prix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1337ABF4"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Les prescriptions techniques particulières et Bordereau de Prix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59CC7B3E"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14A0DDEE"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De même, les travaux prévus aux pièces écrites et chiffrés du marché et qui ne figurent pas dans les plans sont dus par l’Entrepreneur et compris dans les prix.</w:t>
      </w:r>
    </w:p>
    <w:p w14:paraId="7A6EB638"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En conséquence, l’Entrepreneur ne pourra jamais arguer que des erreurs ou omissions aux plans et Bordereau De Prix puissent le dispenser d’exécuter tous les travaux de son corps d’état, ou fassent l’objet d’une demande supplémentaire de prix.</w:t>
      </w:r>
    </w:p>
    <w:p w14:paraId="04517C7B"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En outre, il suppose que toute Entreprise est censée :</w:t>
      </w:r>
    </w:p>
    <w:p w14:paraId="45213128"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S’être rendue sur les lieux.</w:t>
      </w:r>
    </w:p>
    <w:p w14:paraId="2567A765"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S’être rendu compte de la situation géographique des lieux de réalisation des ouvrages.</w:t>
      </w:r>
    </w:p>
    <w:p w14:paraId="148D9BB2"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179AB284"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Conformément aux CT, la rémunération des prestations énumérées ci-dessous sont comprises dans les prix de l’offre du Soumissionnaire, à savoir :</w:t>
      </w:r>
    </w:p>
    <w:p w14:paraId="24BF23EF"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relatifs à l'établissement et au suivi du Plan d’Assurance Qualité (PAQ) et du Plan d’Hygiène, Sécurité et Environnement (PHSE) ;</w:t>
      </w:r>
    </w:p>
    <w:p w14:paraId="53D24138"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relatif la mise en œuvre du Plan de Gestion Environnemental et Social (PGES) ;</w:t>
      </w:r>
    </w:p>
    <w:p w14:paraId="441CE06E"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de transport, de dédouanement, taxes et transit des matériels et équipements importés par l’Entrepreneur ;</w:t>
      </w:r>
    </w:p>
    <w:p w14:paraId="22DAA2B2"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de contrôles et d’essais demandés par le pouvoir adjudicateur du fait de l'exécution d'ouvrages présentant des vices de construction ;</w:t>
      </w:r>
    </w:p>
    <w:p w14:paraId="38A04C20"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dépenses relatives à la sécurité des biens et des personnes ;</w:t>
      </w:r>
    </w:p>
    <w:p w14:paraId="789529B5"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dépenses dues aux pertes, avaries ou dommages, ou pertes de temps causées par les conditions climatiques ;</w:t>
      </w:r>
    </w:p>
    <w:p w14:paraId="0D6E0CE7"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lastRenderedPageBreak/>
        <w:t>Toutes les dépenses générées par la mise en œuvre de mesures concernant la protection de l'environnement (protection contre la pollution des eaux, gestion des déchets de chantier, etc.) ;</w:t>
      </w:r>
    </w:p>
    <w:p w14:paraId="51F1AF0B"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dispositions ou constructions que l’Entrepreneur jugera nécessaire pour assurer la protection des ouvrages en cours de réalisation, notamment vis-à-vis des aléas climatiques (inondations), ceci avant la réception provisoire ;</w:t>
      </w:r>
    </w:p>
    <w:p w14:paraId="3FD50A85"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de reconnaissances géotechniques nécessaires à l’exécution des ouvrages ;</w:t>
      </w:r>
    </w:p>
    <w:p w14:paraId="6B015BC4" w14:textId="77777777" w:rsidR="00BF3102" w:rsidRPr="00F93D15" w:rsidRDefault="00BF3102" w:rsidP="00BF3102">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L’intervention de laboratoires dans le cadre du contrôle des études et des travaux, et notamment la validation des études géotechniques et des notes de dimensionnement des fondations des ouvrages, ainsi que la supervision des essais de chantier (essais d’écrasement, essais de compacité, essais d’étanchéité, etc.), ceci conformément aux divers articles du CT ;</w:t>
      </w:r>
    </w:p>
    <w:p w14:paraId="2E2A6B09" w14:textId="77777777" w:rsidR="00BF3102" w:rsidRPr="00F93D15" w:rsidRDefault="00BF3102" w:rsidP="00BF3102">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Toutes les dépenses liées à l’élaboration des études d’exécution et à l’établissement des dossiers de récolement : levés topographiques, plans, notes de calculs, sondages, formulation des bétons, procédures d’exécution, méthodes de travaux, etc. ;</w:t>
      </w:r>
    </w:p>
    <w:p w14:paraId="2C59036D" w14:textId="77777777" w:rsidR="00BF3102" w:rsidRPr="00F93D15" w:rsidRDefault="00BF3102" w:rsidP="00BF3102">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liés à la réalisation d’une modélisation hydraulique des réseaux projetés à l’aide d’un modèle mathématique, notamment pour vérifier l’alimentation gravitaire du réseau de distribution depuis les sites d’implantation retenus des ouvrages de stockage ;</w:t>
      </w:r>
    </w:p>
    <w:p w14:paraId="6DE52730" w14:textId="77777777" w:rsidR="00BF3102" w:rsidRPr="00F93D15" w:rsidRDefault="00BF3102" w:rsidP="00BF3102">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liés à l’exécution des sondages dans les terrains nécessaires au repérage du réseau d’eau potable existant et des réseaux des autres concessionnaires ;</w:t>
      </w:r>
    </w:p>
    <w:p w14:paraId="0B1D5E4B" w14:textId="77777777" w:rsidR="00BF3102" w:rsidRPr="00F93D15" w:rsidRDefault="00BF3102" w:rsidP="00BF3102">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liés à l’assèchement des fouilles et quel que soit le débit de pompage, y compris toutes sujétions liées au fonctionnement du pompage, notamment l’alimentation électrique et l’évacuation des eaux pompées ;</w:t>
      </w:r>
    </w:p>
    <w:p w14:paraId="00B70E7C" w14:textId="77777777" w:rsidR="00BF3102" w:rsidRPr="00F93D15" w:rsidRDefault="00BF3102" w:rsidP="00BF3102">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liés à la protection, au maintien en service et au déplacement des réseaux existants (eau potable, télécommunication, électricité, etc.) ;</w:t>
      </w:r>
    </w:p>
    <w:p w14:paraId="09B3571C" w14:textId="77777777" w:rsidR="00BF3102" w:rsidRPr="00F93D15" w:rsidRDefault="00BF3102" w:rsidP="00BF3102">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relatifs aux travaux de terrassement, et ceci quelle que soit la nature du terrain (notamment en présence de terrains durs et de sols hydromorphes) et la profondeur de la tranchée (sur profondeurs nécessitées par le franchissement d’obstacles) ;</w:t>
      </w:r>
    </w:p>
    <w:p w14:paraId="40217928" w14:textId="77777777" w:rsidR="00BF3102" w:rsidRPr="00F93D15" w:rsidRDefault="00BF3102" w:rsidP="00BF3102">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de transport et de mise en décharge définitive des gravats et des déblais non réutilisables, ceci quelle que soit la distance de la décharge ;</w:t>
      </w:r>
    </w:p>
    <w:p w14:paraId="5F31CA69" w14:textId="77777777" w:rsidR="00BF3102" w:rsidRPr="00F93D15" w:rsidRDefault="00BF3102" w:rsidP="00BF3102">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relatifs à la mise en œuvre d’un blindage métallique des parois de la fouille ou autre mode de soutènement adéquat ;</w:t>
      </w:r>
    </w:p>
    <w:p w14:paraId="142EFC42" w14:textId="77777777" w:rsidR="00BF3102" w:rsidRPr="00F93D15" w:rsidRDefault="00BF3102" w:rsidP="00BF3102">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imputables aux franchissements d’obstacles présents sur le tracé des canalisations (dalots, fossés, réseaux existants, ponts, cours d’eau, zones humides, zones inondables, etc.) ;</w:t>
      </w:r>
    </w:p>
    <w:p w14:paraId="699028D8" w14:textId="77777777" w:rsidR="00BF3102" w:rsidRPr="00F93D15" w:rsidRDefault="00BF3102" w:rsidP="00BF3102">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Toutes les dépenses concernant les aménagements d’exutoire nécessaires à une évacuation gravitaire des eaux de vidange ;</w:t>
      </w:r>
    </w:p>
    <w:p w14:paraId="5A7BE180" w14:textId="77777777" w:rsidR="00BF3102" w:rsidRPr="00F93D15" w:rsidRDefault="00BF3102" w:rsidP="00BF3102">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Tous les coûts induits par d’éventuelles réfections de la chaussée bitumée ou latéritique et de ses ouvrages connexes, tels que les ponts, bordures, talus, accotements, fossés, caniveaux, etc., à la suite de dégradations causées par l’exécution des travaux prévus au Marché ;</w:t>
      </w:r>
    </w:p>
    <w:p w14:paraId="5D86CF14" w14:textId="77777777" w:rsidR="00BF3102" w:rsidRPr="00F93D15" w:rsidRDefault="00BF3102" w:rsidP="00BF3102">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Tous les frais nécessaires à l’obtention des autorisations administratives nécessaires à l’exécution des travaux (pose sous chaussée et traversées, franchissements de pont, stockages temporaires et définitifs, déviation du trafic, etc.) ;</w:t>
      </w:r>
    </w:p>
    <w:p w14:paraId="17C31B78" w14:textId="77777777" w:rsidR="00BF3102" w:rsidRPr="00F93D15" w:rsidRDefault="00BF3102" w:rsidP="00BF3102">
      <w:pPr>
        <w:pStyle w:val="BTCtextCTB"/>
        <w:spacing w:before="0"/>
        <w:rPr>
          <w:rFonts w:ascii="Georgia" w:eastAsia="Calibri" w:hAnsi="Georgia"/>
          <w:sz w:val="21"/>
          <w:szCs w:val="21"/>
        </w:rPr>
      </w:pPr>
      <w:r w:rsidRPr="00F93D15">
        <w:rPr>
          <w:rFonts w:ascii="Georgia" w:eastAsia="Calibri" w:hAnsi="Georgia"/>
          <w:sz w:val="21"/>
          <w:szCs w:val="21"/>
        </w:rPr>
        <w:t>En outre, les prix du Soumissionnaire sont réputés comprendre :</w:t>
      </w:r>
    </w:p>
    <w:p w14:paraId="33017EF8" w14:textId="77777777" w:rsidR="00BF3102" w:rsidRPr="00F93D15" w:rsidRDefault="00BF3102" w:rsidP="00BF3102">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La mise à disposition sur le chantier des principales normes et réglementations auxquelles les CT font référence (voir l’Article 20 de la Partie 1) ;</w:t>
      </w:r>
    </w:p>
    <w:p w14:paraId="10CEC9B3" w14:textId="77777777" w:rsidR="00BF3102" w:rsidRPr="00BF3102" w:rsidRDefault="00BF3102" w:rsidP="00BF3102">
      <w:pPr>
        <w:pStyle w:val="BTCtextCTB"/>
        <w:numPr>
          <w:ilvl w:val="0"/>
          <w:numId w:val="3"/>
        </w:numPr>
        <w:spacing w:before="0"/>
        <w:rPr>
          <w:rFonts w:ascii="Georgia" w:eastAsia="Calibri" w:hAnsi="Georgia"/>
          <w:sz w:val="21"/>
          <w:szCs w:val="21"/>
        </w:rPr>
      </w:pPr>
      <w:r w:rsidRPr="00BF3102">
        <w:rPr>
          <w:rFonts w:ascii="Georgia" w:eastAsia="Calibri" w:hAnsi="Georgia"/>
          <w:sz w:val="21"/>
          <w:szCs w:val="21"/>
        </w:rPr>
        <w:t>L’établissement des permis de construire ;</w:t>
      </w:r>
    </w:p>
    <w:p w14:paraId="681C8462" w14:textId="77777777" w:rsidR="00BF3102" w:rsidRPr="00BF3102" w:rsidRDefault="00BF3102" w:rsidP="00BF3102">
      <w:pPr>
        <w:pStyle w:val="BTCtextCTB"/>
        <w:numPr>
          <w:ilvl w:val="0"/>
          <w:numId w:val="3"/>
        </w:numPr>
        <w:spacing w:before="0"/>
        <w:jc w:val="left"/>
        <w:rPr>
          <w:rFonts w:ascii="Georgia" w:eastAsia="Calibri" w:hAnsi="Georgia"/>
          <w:sz w:val="21"/>
          <w:szCs w:val="21"/>
        </w:rPr>
      </w:pPr>
      <w:r w:rsidRPr="00BF3102">
        <w:rPr>
          <w:rFonts w:ascii="Georgia" w:eastAsia="Calibri" w:hAnsi="Georgia"/>
          <w:sz w:val="21"/>
          <w:szCs w:val="21"/>
        </w:rPr>
        <w:lastRenderedPageBreak/>
        <w:t xml:space="preserve">La formation du personnel à l’exploitation de l’ensemble des installations conformément aux CT </w:t>
      </w:r>
    </w:p>
    <w:p w14:paraId="290F91D3" w14:textId="77777777" w:rsidR="00BF3102" w:rsidRDefault="00BF3102" w:rsidP="00BF3102">
      <w:pPr>
        <w:spacing w:after="180"/>
        <w:jc w:val="center"/>
        <w:rPr>
          <w:rFonts w:ascii="Georgia" w:hAnsi="Georgia"/>
          <w:b/>
          <w:bCs/>
          <w:sz w:val="32"/>
          <w:szCs w:val="32"/>
          <w:lang w:val="fr-BE"/>
        </w:rPr>
      </w:pPr>
    </w:p>
    <w:p w14:paraId="555A068C" w14:textId="77777777" w:rsidR="00BF3102" w:rsidRDefault="00BF3102" w:rsidP="00BF3102">
      <w:pPr>
        <w:spacing w:after="180"/>
        <w:jc w:val="center"/>
        <w:rPr>
          <w:rFonts w:ascii="Georgia" w:hAnsi="Georgia"/>
          <w:b/>
          <w:bCs/>
          <w:sz w:val="32"/>
          <w:szCs w:val="32"/>
          <w:lang w:val="fr-BE"/>
        </w:rPr>
      </w:pPr>
    </w:p>
    <w:p w14:paraId="79B9F9DB" w14:textId="77777777" w:rsidR="00BF3102" w:rsidRDefault="00BF3102" w:rsidP="00BF3102">
      <w:pPr>
        <w:spacing w:after="180"/>
        <w:jc w:val="center"/>
        <w:rPr>
          <w:rFonts w:ascii="Georgia" w:hAnsi="Georgia"/>
          <w:b/>
          <w:bCs/>
          <w:sz w:val="32"/>
          <w:szCs w:val="32"/>
          <w:lang w:val="fr-BE"/>
        </w:rPr>
      </w:pPr>
    </w:p>
    <w:p w14:paraId="6EB32DF5" w14:textId="77777777" w:rsidR="00BF3102" w:rsidRDefault="00BF3102" w:rsidP="00BF3102">
      <w:pPr>
        <w:spacing w:after="180"/>
        <w:jc w:val="center"/>
        <w:rPr>
          <w:rFonts w:ascii="Georgia" w:hAnsi="Georgia"/>
          <w:b/>
          <w:bCs/>
          <w:sz w:val="32"/>
          <w:szCs w:val="32"/>
          <w:lang w:val="fr-BE"/>
        </w:rPr>
      </w:pPr>
    </w:p>
    <w:p w14:paraId="6AF70351" w14:textId="77777777" w:rsidR="00BF3102" w:rsidRDefault="00BF3102" w:rsidP="00BF3102">
      <w:pPr>
        <w:spacing w:after="180"/>
        <w:jc w:val="center"/>
        <w:rPr>
          <w:rFonts w:ascii="Georgia" w:hAnsi="Georgia"/>
          <w:b/>
          <w:bCs/>
          <w:sz w:val="32"/>
          <w:szCs w:val="32"/>
          <w:lang w:val="fr-BE"/>
        </w:rPr>
      </w:pPr>
    </w:p>
    <w:p w14:paraId="2147293F" w14:textId="77777777" w:rsidR="00BF3102" w:rsidRDefault="00BF3102" w:rsidP="00BF3102">
      <w:pPr>
        <w:spacing w:after="180"/>
        <w:jc w:val="center"/>
        <w:rPr>
          <w:rFonts w:ascii="Georgia" w:hAnsi="Georgia"/>
          <w:b/>
          <w:bCs/>
          <w:sz w:val="32"/>
          <w:szCs w:val="32"/>
          <w:lang w:val="fr-BE"/>
        </w:rPr>
      </w:pPr>
    </w:p>
    <w:p w14:paraId="4206223D" w14:textId="77777777" w:rsidR="00BF3102" w:rsidRDefault="00BF3102" w:rsidP="00BF3102">
      <w:pPr>
        <w:spacing w:after="180"/>
        <w:jc w:val="center"/>
        <w:rPr>
          <w:rFonts w:ascii="Georgia" w:hAnsi="Georgia"/>
          <w:b/>
          <w:bCs/>
          <w:sz w:val="32"/>
          <w:szCs w:val="32"/>
          <w:lang w:val="fr-BE"/>
        </w:rPr>
      </w:pPr>
    </w:p>
    <w:p w14:paraId="005C5B86" w14:textId="77777777" w:rsidR="00BF3102" w:rsidRDefault="00BF3102" w:rsidP="00BF3102">
      <w:pPr>
        <w:spacing w:after="180"/>
        <w:jc w:val="center"/>
        <w:rPr>
          <w:rFonts w:ascii="Georgia" w:hAnsi="Georgia"/>
          <w:b/>
          <w:bCs/>
          <w:sz w:val="32"/>
          <w:szCs w:val="32"/>
          <w:lang w:val="fr-BE"/>
        </w:rPr>
      </w:pPr>
    </w:p>
    <w:p w14:paraId="722FE397" w14:textId="77777777" w:rsidR="00BF3102" w:rsidRDefault="00BF3102" w:rsidP="00BF3102">
      <w:pPr>
        <w:spacing w:after="180"/>
        <w:jc w:val="center"/>
        <w:rPr>
          <w:rFonts w:ascii="Georgia" w:hAnsi="Georgia"/>
          <w:b/>
          <w:bCs/>
          <w:sz w:val="32"/>
          <w:szCs w:val="32"/>
          <w:lang w:val="fr-BE"/>
        </w:rPr>
      </w:pPr>
    </w:p>
    <w:p w14:paraId="323B15BD" w14:textId="77777777" w:rsidR="00BF3102" w:rsidRDefault="00BF3102" w:rsidP="00BF3102">
      <w:pPr>
        <w:spacing w:after="180"/>
        <w:jc w:val="center"/>
        <w:rPr>
          <w:rFonts w:ascii="Georgia" w:hAnsi="Georgia"/>
          <w:b/>
          <w:bCs/>
          <w:sz w:val="32"/>
          <w:szCs w:val="32"/>
          <w:lang w:val="fr-BE"/>
        </w:rPr>
      </w:pPr>
    </w:p>
    <w:p w14:paraId="1FBDBB85" w14:textId="77777777" w:rsidR="00BF3102" w:rsidRDefault="00BF3102" w:rsidP="00BF3102">
      <w:pPr>
        <w:spacing w:after="180"/>
        <w:jc w:val="center"/>
        <w:rPr>
          <w:rFonts w:ascii="Georgia" w:hAnsi="Georgia"/>
          <w:b/>
          <w:bCs/>
          <w:sz w:val="32"/>
          <w:szCs w:val="32"/>
          <w:lang w:val="fr-BE"/>
        </w:rPr>
      </w:pPr>
    </w:p>
    <w:p w14:paraId="4CCF9836" w14:textId="77777777" w:rsidR="00BF3102" w:rsidRDefault="00BF3102" w:rsidP="00BF3102">
      <w:pPr>
        <w:spacing w:after="180"/>
        <w:jc w:val="center"/>
        <w:rPr>
          <w:rFonts w:ascii="Georgia" w:hAnsi="Georgia"/>
          <w:b/>
          <w:bCs/>
          <w:sz w:val="32"/>
          <w:szCs w:val="32"/>
          <w:lang w:val="fr-BE"/>
        </w:rPr>
      </w:pPr>
    </w:p>
    <w:p w14:paraId="530F209D" w14:textId="77777777" w:rsidR="00BF3102" w:rsidRDefault="00BF3102" w:rsidP="00BF3102">
      <w:pPr>
        <w:spacing w:after="180"/>
        <w:jc w:val="center"/>
        <w:rPr>
          <w:rFonts w:ascii="Georgia" w:hAnsi="Georgia"/>
          <w:b/>
          <w:bCs/>
          <w:sz w:val="32"/>
          <w:szCs w:val="32"/>
          <w:lang w:val="fr-BE"/>
        </w:rPr>
      </w:pPr>
    </w:p>
    <w:p w14:paraId="06630E71" w14:textId="77777777" w:rsidR="00BF3102" w:rsidRDefault="00BF3102" w:rsidP="00BF3102">
      <w:pPr>
        <w:spacing w:after="180"/>
        <w:jc w:val="center"/>
        <w:rPr>
          <w:rFonts w:ascii="Georgia" w:hAnsi="Georgia"/>
          <w:b/>
          <w:bCs/>
          <w:sz w:val="32"/>
          <w:szCs w:val="32"/>
          <w:lang w:val="fr-BE"/>
        </w:rPr>
      </w:pPr>
    </w:p>
    <w:p w14:paraId="212DABA4" w14:textId="77777777" w:rsidR="00BF3102" w:rsidRDefault="00BF3102" w:rsidP="00BF3102">
      <w:pPr>
        <w:spacing w:after="180"/>
        <w:jc w:val="center"/>
        <w:rPr>
          <w:rFonts w:ascii="Georgia" w:hAnsi="Georgia"/>
          <w:b/>
          <w:bCs/>
          <w:sz w:val="32"/>
          <w:szCs w:val="32"/>
          <w:lang w:val="fr-BE"/>
        </w:rPr>
      </w:pPr>
    </w:p>
    <w:p w14:paraId="701E7AF5" w14:textId="77777777" w:rsidR="00BF3102" w:rsidRDefault="00BF3102" w:rsidP="00BF3102">
      <w:pPr>
        <w:spacing w:after="180"/>
        <w:jc w:val="center"/>
        <w:rPr>
          <w:rFonts w:ascii="Georgia" w:hAnsi="Georgia"/>
          <w:b/>
          <w:bCs/>
          <w:sz w:val="32"/>
          <w:szCs w:val="32"/>
          <w:lang w:val="fr-BE"/>
        </w:rPr>
      </w:pPr>
    </w:p>
    <w:p w14:paraId="5C5FF4AD" w14:textId="77777777" w:rsidR="00BF3102" w:rsidRDefault="00BF3102" w:rsidP="00BF3102">
      <w:pPr>
        <w:spacing w:after="180"/>
        <w:jc w:val="center"/>
        <w:rPr>
          <w:rFonts w:ascii="Georgia" w:hAnsi="Georgia"/>
          <w:b/>
          <w:bCs/>
          <w:sz w:val="32"/>
          <w:szCs w:val="32"/>
          <w:lang w:val="fr-BE"/>
        </w:rPr>
      </w:pPr>
    </w:p>
    <w:p w14:paraId="683A6B6F" w14:textId="77777777" w:rsidR="00BF3102" w:rsidRDefault="00BF3102" w:rsidP="00BF3102">
      <w:pPr>
        <w:spacing w:after="180"/>
        <w:jc w:val="center"/>
        <w:rPr>
          <w:rFonts w:ascii="Georgia" w:hAnsi="Georgia"/>
          <w:b/>
          <w:bCs/>
          <w:sz w:val="32"/>
          <w:szCs w:val="32"/>
          <w:lang w:val="fr-BE"/>
        </w:rPr>
      </w:pPr>
    </w:p>
    <w:p w14:paraId="24387251" w14:textId="77777777" w:rsidR="00BF3102" w:rsidRDefault="00BF3102" w:rsidP="00BF3102">
      <w:pPr>
        <w:spacing w:after="180"/>
        <w:jc w:val="center"/>
        <w:rPr>
          <w:rFonts w:ascii="Georgia" w:hAnsi="Georgia"/>
          <w:b/>
          <w:bCs/>
          <w:sz w:val="32"/>
          <w:szCs w:val="32"/>
          <w:lang w:val="fr-BE"/>
        </w:rPr>
      </w:pPr>
    </w:p>
    <w:p w14:paraId="248663F8" w14:textId="77777777" w:rsidR="00BF3102" w:rsidRDefault="00BF3102" w:rsidP="00BF3102">
      <w:pPr>
        <w:spacing w:after="180"/>
        <w:jc w:val="center"/>
        <w:rPr>
          <w:rFonts w:ascii="Georgia" w:hAnsi="Georgia"/>
          <w:b/>
          <w:bCs/>
          <w:sz w:val="32"/>
          <w:szCs w:val="32"/>
          <w:lang w:val="fr-BE"/>
        </w:rPr>
      </w:pPr>
    </w:p>
    <w:p w14:paraId="52B5F311" w14:textId="77777777" w:rsidR="00BF3102" w:rsidRDefault="00BF3102" w:rsidP="00BF3102">
      <w:pPr>
        <w:spacing w:after="180"/>
        <w:jc w:val="center"/>
        <w:rPr>
          <w:rFonts w:ascii="Georgia" w:hAnsi="Georgia"/>
          <w:b/>
          <w:bCs/>
          <w:sz w:val="32"/>
          <w:szCs w:val="32"/>
          <w:lang w:val="fr-BE"/>
        </w:rPr>
      </w:pPr>
    </w:p>
    <w:p w14:paraId="293AA214" w14:textId="77777777" w:rsidR="00BF3102" w:rsidRDefault="00BF3102" w:rsidP="00BF3102">
      <w:pPr>
        <w:spacing w:after="180"/>
        <w:jc w:val="center"/>
        <w:rPr>
          <w:rFonts w:ascii="Georgia" w:hAnsi="Georgia"/>
          <w:b/>
          <w:bCs/>
          <w:sz w:val="32"/>
          <w:szCs w:val="32"/>
          <w:lang w:val="fr-BE"/>
        </w:rPr>
      </w:pPr>
    </w:p>
    <w:p w14:paraId="49689702" w14:textId="77777777" w:rsidR="00BF3102" w:rsidRPr="00A2162B" w:rsidRDefault="00BF3102" w:rsidP="00BF3102">
      <w:pPr>
        <w:spacing w:after="180"/>
        <w:jc w:val="center"/>
        <w:rPr>
          <w:rFonts w:ascii="Georgia" w:hAnsi="Georgia"/>
          <w:b/>
          <w:bCs/>
          <w:sz w:val="32"/>
          <w:szCs w:val="32"/>
          <w:lang w:val="fr-BE"/>
        </w:rPr>
      </w:pPr>
      <w:r w:rsidRPr="00A2162B">
        <w:rPr>
          <w:rFonts w:ascii="Georgia" w:hAnsi="Georgia"/>
          <w:b/>
          <w:bCs/>
          <w:sz w:val="32"/>
          <w:szCs w:val="32"/>
          <w:lang w:val="fr-BE"/>
        </w:rPr>
        <w:t>Bordereau des prix unitaires</w:t>
      </w:r>
    </w:p>
    <w:p w14:paraId="4C75F4FA" w14:textId="77777777" w:rsidR="00BF3102" w:rsidRDefault="00BF3102" w:rsidP="00BF3102">
      <w:pPr>
        <w:jc w:val="center"/>
        <w:rPr>
          <w:rFonts w:ascii="Georgia" w:hAnsi="Georgia"/>
          <w:b/>
          <w:bCs/>
          <w:sz w:val="28"/>
          <w:szCs w:val="28"/>
          <w:lang w:val="fr-BE"/>
        </w:rPr>
      </w:pPr>
      <w:r>
        <w:rPr>
          <w:rFonts w:ascii="Georgia" w:hAnsi="Georgia"/>
          <w:b/>
          <w:bCs/>
          <w:sz w:val="28"/>
          <w:szCs w:val="28"/>
          <w:lang w:val="fr-BE"/>
        </w:rPr>
        <w:lastRenderedPageBreak/>
        <w:t>Tous les lots</w:t>
      </w:r>
    </w:p>
    <w:tbl>
      <w:tblPr>
        <w:tblW w:w="10120" w:type="dxa"/>
        <w:tblCellMar>
          <w:left w:w="70" w:type="dxa"/>
          <w:right w:w="70" w:type="dxa"/>
        </w:tblCellMar>
        <w:tblLook w:val="04A0" w:firstRow="1" w:lastRow="0" w:firstColumn="1" w:lastColumn="0" w:noHBand="0" w:noVBand="1"/>
      </w:tblPr>
      <w:tblGrid>
        <w:gridCol w:w="1240"/>
        <w:gridCol w:w="5160"/>
        <w:gridCol w:w="1240"/>
        <w:gridCol w:w="1240"/>
        <w:gridCol w:w="1240"/>
      </w:tblGrid>
      <w:tr w:rsidR="00BF3102" w:rsidRPr="008C00E5" w14:paraId="1B58C555" w14:textId="77777777" w:rsidTr="00356396">
        <w:trPr>
          <w:trHeight w:val="288"/>
        </w:trPr>
        <w:tc>
          <w:tcPr>
            <w:tcW w:w="1240" w:type="dxa"/>
            <w:vMerge w:val="restart"/>
            <w:tcBorders>
              <w:top w:val="single" w:sz="4" w:space="0" w:color="auto"/>
              <w:left w:val="single" w:sz="4" w:space="0" w:color="auto"/>
              <w:bottom w:val="single" w:sz="4" w:space="0" w:color="auto"/>
              <w:right w:val="single" w:sz="4" w:space="0" w:color="auto"/>
            </w:tcBorders>
            <w:shd w:val="clear" w:color="000000" w:fill="000066"/>
            <w:vAlign w:val="center"/>
            <w:hideMark/>
          </w:tcPr>
          <w:p w14:paraId="6443FF13" w14:textId="77777777" w:rsidR="00BF3102" w:rsidRPr="008C00E5" w:rsidRDefault="00BF3102" w:rsidP="00356396">
            <w:pPr>
              <w:spacing w:after="0" w:line="240" w:lineRule="auto"/>
              <w:jc w:val="center"/>
              <w:rPr>
                <w:rFonts w:ascii="Georgia" w:eastAsia="Times New Roman" w:hAnsi="Georgia" w:cs="Calibri"/>
                <w:color w:val="FFFFFF"/>
                <w:sz w:val="20"/>
                <w:szCs w:val="20"/>
                <w:lang w:val="fr-FR" w:eastAsia="fr-FR"/>
              </w:rPr>
            </w:pPr>
            <w:r w:rsidRPr="008C00E5">
              <w:rPr>
                <w:rFonts w:ascii="Georgia" w:eastAsia="Times New Roman" w:hAnsi="Georgia" w:cs="Calibri"/>
                <w:color w:val="FFFFFF"/>
                <w:sz w:val="20"/>
                <w:szCs w:val="20"/>
                <w:lang w:val="fr-FR" w:eastAsia="fr-FR"/>
              </w:rPr>
              <w:t>N°</w:t>
            </w:r>
          </w:p>
        </w:tc>
        <w:tc>
          <w:tcPr>
            <w:tcW w:w="5160" w:type="dxa"/>
            <w:vMerge w:val="restart"/>
            <w:tcBorders>
              <w:top w:val="single" w:sz="4" w:space="0" w:color="auto"/>
              <w:left w:val="single" w:sz="4" w:space="0" w:color="auto"/>
              <w:bottom w:val="single" w:sz="4" w:space="0" w:color="auto"/>
              <w:right w:val="single" w:sz="4" w:space="0" w:color="auto"/>
            </w:tcBorders>
            <w:shd w:val="clear" w:color="000000" w:fill="000066"/>
            <w:vAlign w:val="center"/>
            <w:hideMark/>
          </w:tcPr>
          <w:p w14:paraId="1F9D5718" w14:textId="77777777" w:rsidR="00BF3102" w:rsidRPr="008C00E5" w:rsidRDefault="00BF3102" w:rsidP="00356396">
            <w:pPr>
              <w:spacing w:after="0" w:line="240" w:lineRule="auto"/>
              <w:jc w:val="center"/>
              <w:rPr>
                <w:rFonts w:ascii="Georgia" w:eastAsia="Times New Roman" w:hAnsi="Georgia" w:cs="Calibri"/>
                <w:color w:val="FFFFFF"/>
                <w:sz w:val="20"/>
                <w:szCs w:val="20"/>
                <w:lang w:val="fr-FR" w:eastAsia="fr-FR"/>
              </w:rPr>
            </w:pPr>
            <w:r w:rsidRPr="008C00E5">
              <w:rPr>
                <w:rFonts w:ascii="Georgia" w:eastAsia="Times New Roman" w:hAnsi="Georgia" w:cs="Calibri"/>
                <w:color w:val="FFFFFF"/>
                <w:sz w:val="20"/>
                <w:szCs w:val="20"/>
                <w:lang w:val="fr-FR" w:eastAsia="fr-FR"/>
              </w:rPr>
              <w:t>Désignation</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000066"/>
            <w:noWrap/>
            <w:vAlign w:val="center"/>
            <w:hideMark/>
          </w:tcPr>
          <w:p w14:paraId="7222E95D" w14:textId="77777777" w:rsidR="00BF3102" w:rsidRPr="008C00E5" w:rsidRDefault="00BF3102" w:rsidP="00356396">
            <w:pPr>
              <w:spacing w:after="0" w:line="240" w:lineRule="auto"/>
              <w:jc w:val="center"/>
              <w:rPr>
                <w:rFonts w:ascii="Georgia" w:eastAsia="Times New Roman" w:hAnsi="Georgia" w:cs="Calibri"/>
                <w:color w:val="FFFFFF"/>
                <w:sz w:val="20"/>
                <w:szCs w:val="20"/>
                <w:lang w:val="fr-FR" w:eastAsia="fr-FR"/>
              </w:rPr>
            </w:pPr>
            <w:r w:rsidRPr="008C00E5">
              <w:rPr>
                <w:rFonts w:ascii="Georgia" w:eastAsia="Times New Roman" w:hAnsi="Georgia" w:cs="Calibri"/>
                <w:color w:val="FFFFFF"/>
                <w:sz w:val="20"/>
                <w:szCs w:val="20"/>
                <w:lang w:val="fr-FR" w:eastAsia="fr-FR"/>
              </w:rPr>
              <w:t>Unité</w:t>
            </w:r>
          </w:p>
        </w:tc>
        <w:tc>
          <w:tcPr>
            <w:tcW w:w="1240" w:type="dxa"/>
            <w:tcBorders>
              <w:top w:val="single" w:sz="4" w:space="0" w:color="auto"/>
              <w:left w:val="nil"/>
              <w:bottom w:val="single" w:sz="4" w:space="0" w:color="auto"/>
              <w:right w:val="single" w:sz="4" w:space="0" w:color="auto"/>
            </w:tcBorders>
            <w:shd w:val="clear" w:color="000000" w:fill="000066"/>
            <w:vAlign w:val="center"/>
            <w:hideMark/>
          </w:tcPr>
          <w:p w14:paraId="405F9716" w14:textId="77777777" w:rsidR="00BF3102" w:rsidRPr="008C00E5" w:rsidRDefault="00BF3102" w:rsidP="00356396">
            <w:pPr>
              <w:spacing w:after="0" w:line="240" w:lineRule="auto"/>
              <w:jc w:val="center"/>
              <w:rPr>
                <w:rFonts w:ascii="Georgia" w:eastAsia="Times New Roman" w:hAnsi="Georgia" w:cs="Calibri"/>
                <w:color w:val="FFFFFF"/>
                <w:sz w:val="20"/>
                <w:szCs w:val="20"/>
                <w:lang w:val="fr-FR" w:eastAsia="fr-FR"/>
              </w:rPr>
            </w:pPr>
            <w:r w:rsidRPr="008C00E5">
              <w:rPr>
                <w:rFonts w:ascii="Georgia" w:eastAsia="Times New Roman" w:hAnsi="Georgia" w:cs="Calibri"/>
                <w:color w:val="FFFFFF"/>
                <w:sz w:val="20"/>
                <w:szCs w:val="20"/>
                <w:lang w:val="fr-FR" w:eastAsia="fr-FR"/>
              </w:rPr>
              <w:t>P. U</w:t>
            </w:r>
          </w:p>
        </w:tc>
        <w:tc>
          <w:tcPr>
            <w:tcW w:w="1240" w:type="dxa"/>
            <w:tcBorders>
              <w:top w:val="single" w:sz="4" w:space="0" w:color="auto"/>
              <w:left w:val="nil"/>
              <w:bottom w:val="single" w:sz="4" w:space="0" w:color="auto"/>
              <w:right w:val="single" w:sz="4" w:space="0" w:color="auto"/>
            </w:tcBorders>
            <w:shd w:val="clear" w:color="000000" w:fill="000066"/>
            <w:vAlign w:val="center"/>
            <w:hideMark/>
          </w:tcPr>
          <w:p w14:paraId="2E33FC0A" w14:textId="77777777" w:rsidR="00BF3102" w:rsidRPr="008C00E5" w:rsidRDefault="00BF3102" w:rsidP="00356396">
            <w:pPr>
              <w:spacing w:after="0" w:line="240" w:lineRule="auto"/>
              <w:jc w:val="center"/>
              <w:rPr>
                <w:rFonts w:ascii="Georgia" w:eastAsia="Times New Roman" w:hAnsi="Georgia" w:cs="Calibri"/>
                <w:color w:val="FFFFFF"/>
                <w:sz w:val="20"/>
                <w:szCs w:val="20"/>
                <w:lang w:val="fr-FR" w:eastAsia="fr-FR"/>
              </w:rPr>
            </w:pPr>
            <w:r w:rsidRPr="008C00E5">
              <w:rPr>
                <w:rFonts w:ascii="Georgia" w:eastAsia="Times New Roman" w:hAnsi="Georgia" w:cs="Calibri"/>
                <w:color w:val="FFFFFF"/>
                <w:sz w:val="20"/>
                <w:szCs w:val="20"/>
                <w:lang w:val="fr-FR" w:eastAsia="fr-FR"/>
              </w:rPr>
              <w:t>P. U</w:t>
            </w:r>
          </w:p>
        </w:tc>
      </w:tr>
      <w:tr w:rsidR="00BF3102" w:rsidRPr="008C00E5" w14:paraId="740ABECC" w14:textId="77777777" w:rsidTr="00356396">
        <w:trPr>
          <w:trHeight w:val="288"/>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3796FC1C" w14:textId="77777777" w:rsidR="00BF3102" w:rsidRPr="008C00E5" w:rsidRDefault="00BF3102" w:rsidP="00356396">
            <w:pPr>
              <w:spacing w:after="0" w:line="240" w:lineRule="auto"/>
              <w:rPr>
                <w:rFonts w:ascii="Georgia" w:eastAsia="Times New Roman" w:hAnsi="Georgia" w:cs="Calibri"/>
                <w:color w:val="FFFFFF"/>
                <w:sz w:val="20"/>
                <w:szCs w:val="20"/>
                <w:lang w:val="fr-FR" w:eastAsia="fr-FR"/>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14:paraId="36529AC9" w14:textId="77777777" w:rsidR="00BF3102" w:rsidRPr="008C00E5" w:rsidRDefault="00BF3102" w:rsidP="00356396">
            <w:pPr>
              <w:spacing w:after="0" w:line="240" w:lineRule="auto"/>
              <w:rPr>
                <w:rFonts w:ascii="Georgia" w:eastAsia="Times New Roman" w:hAnsi="Georgia" w:cs="Calibri"/>
                <w:color w:val="FFFFFF"/>
                <w:sz w:val="20"/>
                <w:szCs w:val="20"/>
                <w:lang w:val="fr-FR" w:eastAsia="fr-F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A08D7FB" w14:textId="77777777" w:rsidR="00BF3102" w:rsidRPr="008C00E5" w:rsidRDefault="00BF3102" w:rsidP="00356396">
            <w:pPr>
              <w:spacing w:after="0" w:line="240" w:lineRule="auto"/>
              <w:rPr>
                <w:rFonts w:ascii="Georgia" w:eastAsia="Times New Roman" w:hAnsi="Georgia" w:cs="Calibri"/>
                <w:color w:val="FFFFFF"/>
                <w:sz w:val="20"/>
                <w:szCs w:val="20"/>
                <w:lang w:val="fr-FR" w:eastAsia="fr-FR"/>
              </w:rPr>
            </w:pPr>
          </w:p>
        </w:tc>
        <w:tc>
          <w:tcPr>
            <w:tcW w:w="1240" w:type="dxa"/>
            <w:tcBorders>
              <w:top w:val="nil"/>
              <w:left w:val="nil"/>
              <w:bottom w:val="single" w:sz="4" w:space="0" w:color="auto"/>
              <w:right w:val="single" w:sz="4" w:space="0" w:color="auto"/>
            </w:tcBorders>
            <w:shd w:val="clear" w:color="000000" w:fill="000066"/>
            <w:vAlign w:val="center"/>
            <w:hideMark/>
          </w:tcPr>
          <w:p w14:paraId="60526C2F" w14:textId="77777777" w:rsidR="00BF3102" w:rsidRPr="008C00E5" w:rsidRDefault="00BF3102" w:rsidP="00356396">
            <w:pPr>
              <w:spacing w:after="0" w:line="240" w:lineRule="auto"/>
              <w:jc w:val="center"/>
              <w:rPr>
                <w:rFonts w:ascii="Georgia" w:eastAsia="Times New Roman" w:hAnsi="Georgia" w:cs="Calibri"/>
                <w:color w:val="FFFFFF"/>
                <w:sz w:val="20"/>
                <w:szCs w:val="20"/>
                <w:lang w:val="fr-FR" w:eastAsia="fr-FR"/>
              </w:rPr>
            </w:pPr>
            <w:r w:rsidRPr="008C00E5">
              <w:rPr>
                <w:rFonts w:ascii="Georgia" w:eastAsia="Times New Roman" w:hAnsi="Georgia" w:cs="Calibri"/>
                <w:color w:val="FFFFFF"/>
                <w:sz w:val="20"/>
                <w:szCs w:val="20"/>
                <w:lang w:val="fr-FR" w:eastAsia="fr-FR"/>
              </w:rPr>
              <w:t>En chiffre</w:t>
            </w:r>
          </w:p>
        </w:tc>
        <w:tc>
          <w:tcPr>
            <w:tcW w:w="1240" w:type="dxa"/>
            <w:tcBorders>
              <w:top w:val="nil"/>
              <w:left w:val="nil"/>
              <w:bottom w:val="single" w:sz="4" w:space="0" w:color="auto"/>
              <w:right w:val="single" w:sz="4" w:space="0" w:color="auto"/>
            </w:tcBorders>
            <w:shd w:val="clear" w:color="000000" w:fill="000066"/>
            <w:vAlign w:val="center"/>
            <w:hideMark/>
          </w:tcPr>
          <w:p w14:paraId="550D2329" w14:textId="77777777" w:rsidR="00BF3102" w:rsidRPr="008C00E5" w:rsidRDefault="00BF3102" w:rsidP="00356396">
            <w:pPr>
              <w:spacing w:after="0" w:line="240" w:lineRule="auto"/>
              <w:jc w:val="center"/>
              <w:rPr>
                <w:rFonts w:ascii="Georgia" w:eastAsia="Times New Roman" w:hAnsi="Georgia" w:cs="Calibri"/>
                <w:color w:val="FFFFFF"/>
                <w:sz w:val="20"/>
                <w:szCs w:val="20"/>
                <w:lang w:val="fr-FR" w:eastAsia="fr-FR"/>
              </w:rPr>
            </w:pPr>
            <w:r w:rsidRPr="008C00E5">
              <w:rPr>
                <w:rFonts w:ascii="Georgia" w:eastAsia="Times New Roman" w:hAnsi="Georgia" w:cs="Calibri"/>
                <w:color w:val="FFFFFF"/>
                <w:sz w:val="20"/>
                <w:szCs w:val="20"/>
                <w:lang w:val="fr-FR" w:eastAsia="fr-FR"/>
              </w:rPr>
              <w:t>En lettre</w:t>
            </w:r>
          </w:p>
        </w:tc>
      </w:tr>
      <w:tr w:rsidR="00BF3102" w:rsidRPr="008C00E5" w14:paraId="216670AE" w14:textId="77777777" w:rsidTr="00356396">
        <w:trPr>
          <w:trHeight w:val="288"/>
        </w:trPr>
        <w:tc>
          <w:tcPr>
            <w:tcW w:w="1240" w:type="dxa"/>
            <w:tcBorders>
              <w:top w:val="nil"/>
              <w:left w:val="single" w:sz="4" w:space="0" w:color="auto"/>
              <w:bottom w:val="single" w:sz="4" w:space="0" w:color="auto"/>
              <w:right w:val="single" w:sz="4" w:space="0" w:color="auto"/>
            </w:tcBorders>
            <w:shd w:val="clear" w:color="000000" w:fill="F7CAAC"/>
            <w:vAlign w:val="center"/>
            <w:hideMark/>
          </w:tcPr>
          <w:p w14:paraId="5B468F52" w14:textId="77777777" w:rsidR="00BF3102" w:rsidRPr="008C00E5" w:rsidRDefault="00BF3102" w:rsidP="00356396">
            <w:pPr>
              <w:spacing w:after="0" w:line="240" w:lineRule="auto"/>
              <w:jc w:val="center"/>
              <w:rPr>
                <w:rFonts w:ascii="Georgia" w:eastAsia="Times New Roman" w:hAnsi="Georgia" w:cs="Calibri"/>
                <w:b/>
                <w:bCs/>
                <w:color w:val="000000"/>
                <w:sz w:val="20"/>
                <w:szCs w:val="20"/>
                <w:lang w:val="fr-FR" w:eastAsia="fr-FR"/>
              </w:rPr>
            </w:pPr>
            <w:r w:rsidRPr="008C00E5">
              <w:rPr>
                <w:rFonts w:ascii="Georgia" w:eastAsia="Times New Roman" w:hAnsi="Georgia" w:cs="Calibri"/>
                <w:b/>
                <w:bCs/>
                <w:color w:val="000000"/>
                <w:sz w:val="20"/>
                <w:szCs w:val="20"/>
                <w:lang w:val="fr-FR" w:eastAsia="fr-FR"/>
              </w:rPr>
              <w:t>1</w:t>
            </w:r>
          </w:p>
        </w:tc>
        <w:tc>
          <w:tcPr>
            <w:tcW w:w="8880" w:type="dxa"/>
            <w:gridSpan w:val="4"/>
            <w:tcBorders>
              <w:top w:val="single" w:sz="4" w:space="0" w:color="auto"/>
              <w:left w:val="nil"/>
              <w:bottom w:val="single" w:sz="4" w:space="0" w:color="auto"/>
              <w:right w:val="single" w:sz="4" w:space="0" w:color="auto"/>
            </w:tcBorders>
            <w:shd w:val="clear" w:color="000000" w:fill="F7CAAC"/>
            <w:vAlign w:val="center"/>
            <w:hideMark/>
          </w:tcPr>
          <w:p w14:paraId="3CF51654" w14:textId="77777777" w:rsidR="00BF3102" w:rsidRPr="008C00E5" w:rsidRDefault="00BF3102" w:rsidP="00356396">
            <w:pPr>
              <w:spacing w:after="0" w:line="240" w:lineRule="auto"/>
              <w:rPr>
                <w:rFonts w:ascii="Georgia" w:eastAsia="Times New Roman" w:hAnsi="Georgia" w:cs="Calibri"/>
                <w:b/>
                <w:bCs/>
                <w:color w:val="000000"/>
                <w:sz w:val="20"/>
                <w:szCs w:val="20"/>
                <w:lang w:val="fr-FR" w:eastAsia="fr-FR"/>
              </w:rPr>
            </w:pPr>
            <w:r w:rsidRPr="008C00E5">
              <w:rPr>
                <w:rFonts w:ascii="Georgia" w:eastAsia="Times New Roman" w:hAnsi="Georgia" w:cs="Calibri"/>
                <w:b/>
                <w:bCs/>
                <w:color w:val="000000"/>
                <w:sz w:val="20"/>
                <w:szCs w:val="20"/>
                <w:lang w:val="fr-FR" w:eastAsia="fr-FR"/>
              </w:rPr>
              <w:t>Prix généraux</w:t>
            </w:r>
            <w:r w:rsidRPr="008C00E5">
              <w:rPr>
                <w:rFonts w:ascii="Arial" w:eastAsia="Times New Roman" w:hAnsi="Arial" w:cs="Arial"/>
                <w:color w:val="000000"/>
                <w:sz w:val="16"/>
                <w:szCs w:val="16"/>
                <w:lang w:val="fr-FR" w:eastAsia="fr-FR"/>
              </w:rPr>
              <w:t> </w:t>
            </w:r>
          </w:p>
        </w:tc>
      </w:tr>
      <w:tr w:rsidR="00BF3102" w:rsidRPr="008C00E5" w14:paraId="694803EB" w14:textId="77777777" w:rsidTr="00356396">
        <w:trPr>
          <w:trHeight w:val="78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FD86B8"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1.1</w:t>
            </w:r>
          </w:p>
        </w:tc>
        <w:tc>
          <w:tcPr>
            <w:tcW w:w="5160" w:type="dxa"/>
            <w:tcBorders>
              <w:top w:val="nil"/>
              <w:left w:val="nil"/>
              <w:bottom w:val="single" w:sz="4" w:space="0" w:color="auto"/>
              <w:right w:val="single" w:sz="4" w:space="0" w:color="auto"/>
            </w:tcBorders>
            <w:shd w:val="clear" w:color="auto" w:fill="auto"/>
            <w:vAlign w:val="center"/>
            <w:hideMark/>
          </w:tcPr>
          <w:p w14:paraId="262633EF"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Amenée, nettoyage des emprises, installation générale des chantiers du lot 1 et mise en place d’une signalisation temporaire du chantier</w:t>
            </w:r>
          </w:p>
        </w:tc>
        <w:tc>
          <w:tcPr>
            <w:tcW w:w="1240" w:type="dxa"/>
            <w:tcBorders>
              <w:top w:val="nil"/>
              <w:left w:val="nil"/>
              <w:bottom w:val="single" w:sz="4" w:space="0" w:color="auto"/>
              <w:right w:val="single" w:sz="4" w:space="0" w:color="auto"/>
            </w:tcBorders>
            <w:shd w:val="clear" w:color="auto" w:fill="auto"/>
            <w:vAlign w:val="center"/>
            <w:hideMark/>
          </w:tcPr>
          <w:p w14:paraId="22A331AA"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center"/>
            <w:hideMark/>
          </w:tcPr>
          <w:p w14:paraId="69B5186D"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63770D59"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w:t>
            </w:r>
          </w:p>
        </w:tc>
      </w:tr>
      <w:tr w:rsidR="00BF3102" w:rsidRPr="008C00E5" w14:paraId="391884AF" w14:textId="77777777" w:rsidTr="00356396">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CB407E"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1.2</w:t>
            </w:r>
          </w:p>
        </w:tc>
        <w:tc>
          <w:tcPr>
            <w:tcW w:w="5160" w:type="dxa"/>
            <w:tcBorders>
              <w:top w:val="nil"/>
              <w:left w:val="nil"/>
              <w:bottom w:val="single" w:sz="4" w:space="0" w:color="auto"/>
              <w:right w:val="single" w:sz="4" w:space="0" w:color="auto"/>
            </w:tcBorders>
            <w:shd w:val="clear" w:color="auto" w:fill="auto"/>
            <w:noWrap/>
            <w:vAlign w:val="center"/>
            <w:hideMark/>
          </w:tcPr>
          <w:p w14:paraId="3275C763"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Nettoyage et repli général du chantier</w:t>
            </w:r>
          </w:p>
        </w:tc>
        <w:tc>
          <w:tcPr>
            <w:tcW w:w="1240" w:type="dxa"/>
            <w:tcBorders>
              <w:top w:val="nil"/>
              <w:left w:val="nil"/>
              <w:bottom w:val="single" w:sz="4" w:space="0" w:color="auto"/>
              <w:right w:val="single" w:sz="4" w:space="0" w:color="auto"/>
            </w:tcBorders>
            <w:shd w:val="clear" w:color="auto" w:fill="auto"/>
            <w:vAlign w:val="center"/>
            <w:hideMark/>
          </w:tcPr>
          <w:p w14:paraId="6B6F01D8"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center"/>
            <w:hideMark/>
          </w:tcPr>
          <w:p w14:paraId="1CA6B65B"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42AE7057"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w:t>
            </w:r>
          </w:p>
        </w:tc>
      </w:tr>
      <w:tr w:rsidR="00BF3102" w:rsidRPr="008C00E5" w14:paraId="724DEFB0" w14:textId="77777777" w:rsidTr="00356396">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A7078F"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1.3</w:t>
            </w:r>
          </w:p>
        </w:tc>
        <w:tc>
          <w:tcPr>
            <w:tcW w:w="5160" w:type="dxa"/>
            <w:tcBorders>
              <w:top w:val="nil"/>
              <w:left w:val="nil"/>
              <w:bottom w:val="single" w:sz="4" w:space="0" w:color="auto"/>
              <w:right w:val="single" w:sz="4" w:space="0" w:color="auto"/>
            </w:tcBorders>
            <w:shd w:val="clear" w:color="auto" w:fill="auto"/>
            <w:noWrap/>
            <w:vAlign w:val="center"/>
            <w:hideMark/>
          </w:tcPr>
          <w:p w14:paraId="2ED9FEEC"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Implantation des ouvrages</w:t>
            </w:r>
          </w:p>
        </w:tc>
        <w:tc>
          <w:tcPr>
            <w:tcW w:w="1240" w:type="dxa"/>
            <w:tcBorders>
              <w:top w:val="nil"/>
              <w:left w:val="nil"/>
              <w:bottom w:val="single" w:sz="4" w:space="0" w:color="auto"/>
              <w:right w:val="single" w:sz="4" w:space="0" w:color="auto"/>
            </w:tcBorders>
            <w:shd w:val="clear" w:color="auto" w:fill="auto"/>
            <w:vAlign w:val="center"/>
            <w:hideMark/>
          </w:tcPr>
          <w:p w14:paraId="7C1574E1"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center"/>
            <w:hideMark/>
          </w:tcPr>
          <w:p w14:paraId="5E31D113"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382EB120"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w:t>
            </w:r>
          </w:p>
        </w:tc>
      </w:tr>
      <w:tr w:rsidR="00BF3102" w:rsidRPr="008C00E5" w14:paraId="32E477AC" w14:textId="77777777" w:rsidTr="00356396">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F135B0"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1.4</w:t>
            </w:r>
          </w:p>
        </w:tc>
        <w:tc>
          <w:tcPr>
            <w:tcW w:w="5160" w:type="dxa"/>
            <w:tcBorders>
              <w:top w:val="nil"/>
              <w:left w:val="nil"/>
              <w:bottom w:val="single" w:sz="4" w:space="0" w:color="auto"/>
              <w:right w:val="single" w:sz="4" w:space="0" w:color="auto"/>
            </w:tcBorders>
            <w:shd w:val="clear" w:color="auto" w:fill="auto"/>
            <w:noWrap/>
            <w:vAlign w:val="center"/>
            <w:hideMark/>
          </w:tcPr>
          <w:p w14:paraId="6AA5796D"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Dossier d'exécution et plan de récolement</w:t>
            </w:r>
          </w:p>
        </w:tc>
        <w:tc>
          <w:tcPr>
            <w:tcW w:w="1240" w:type="dxa"/>
            <w:tcBorders>
              <w:top w:val="nil"/>
              <w:left w:val="nil"/>
              <w:bottom w:val="single" w:sz="4" w:space="0" w:color="auto"/>
              <w:right w:val="single" w:sz="4" w:space="0" w:color="auto"/>
            </w:tcBorders>
            <w:shd w:val="clear" w:color="auto" w:fill="auto"/>
            <w:vAlign w:val="center"/>
            <w:hideMark/>
          </w:tcPr>
          <w:p w14:paraId="6930384A"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center"/>
            <w:hideMark/>
          </w:tcPr>
          <w:p w14:paraId="79EC6C16"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14:paraId="7DFB75D5"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w:t>
            </w:r>
          </w:p>
        </w:tc>
      </w:tr>
      <w:tr w:rsidR="00BF3102" w:rsidRPr="008C00E5" w14:paraId="1AAB8A6A" w14:textId="77777777" w:rsidTr="00356396">
        <w:trPr>
          <w:trHeight w:val="288"/>
        </w:trPr>
        <w:tc>
          <w:tcPr>
            <w:tcW w:w="1240" w:type="dxa"/>
            <w:tcBorders>
              <w:top w:val="nil"/>
              <w:left w:val="single" w:sz="4" w:space="0" w:color="auto"/>
              <w:bottom w:val="single" w:sz="4" w:space="0" w:color="auto"/>
              <w:right w:val="single" w:sz="4" w:space="0" w:color="auto"/>
            </w:tcBorders>
            <w:shd w:val="clear" w:color="000000" w:fill="F7CAAC"/>
            <w:vAlign w:val="center"/>
            <w:hideMark/>
          </w:tcPr>
          <w:p w14:paraId="01CFCEBD" w14:textId="77777777" w:rsidR="00BF3102" w:rsidRPr="008C00E5" w:rsidRDefault="00BF3102" w:rsidP="00356396">
            <w:pPr>
              <w:spacing w:after="0" w:line="240" w:lineRule="auto"/>
              <w:jc w:val="center"/>
              <w:rPr>
                <w:rFonts w:ascii="Georgia" w:eastAsia="Times New Roman" w:hAnsi="Georgia" w:cs="Calibri"/>
                <w:b/>
                <w:bCs/>
                <w:color w:val="000000"/>
                <w:sz w:val="20"/>
                <w:szCs w:val="20"/>
                <w:lang w:val="fr-FR" w:eastAsia="fr-FR"/>
              </w:rPr>
            </w:pPr>
            <w:r w:rsidRPr="008C00E5">
              <w:rPr>
                <w:rFonts w:ascii="Georgia" w:eastAsia="Times New Roman" w:hAnsi="Georgia" w:cs="Calibri"/>
                <w:b/>
                <w:bCs/>
                <w:color w:val="000000"/>
                <w:sz w:val="20"/>
                <w:szCs w:val="20"/>
                <w:lang w:val="fr-FR" w:eastAsia="fr-FR"/>
              </w:rPr>
              <w:t>2</w:t>
            </w:r>
          </w:p>
        </w:tc>
        <w:tc>
          <w:tcPr>
            <w:tcW w:w="8880" w:type="dxa"/>
            <w:gridSpan w:val="4"/>
            <w:tcBorders>
              <w:top w:val="single" w:sz="4" w:space="0" w:color="auto"/>
              <w:left w:val="nil"/>
              <w:bottom w:val="single" w:sz="4" w:space="0" w:color="auto"/>
              <w:right w:val="single" w:sz="4" w:space="0" w:color="auto"/>
            </w:tcBorders>
            <w:shd w:val="clear" w:color="000000" w:fill="F7CAAC"/>
            <w:vAlign w:val="center"/>
            <w:hideMark/>
          </w:tcPr>
          <w:p w14:paraId="1C3AE68E" w14:textId="77777777" w:rsidR="00BF3102" w:rsidRPr="008C00E5" w:rsidRDefault="00BF3102" w:rsidP="00356396">
            <w:pPr>
              <w:spacing w:after="0" w:line="240" w:lineRule="auto"/>
              <w:rPr>
                <w:rFonts w:ascii="Georgia" w:eastAsia="Times New Roman" w:hAnsi="Georgia" w:cs="Calibri"/>
                <w:b/>
                <w:bCs/>
                <w:color w:val="000000"/>
                <w:sz w:val="20"/>
                <w:szCs w:val="20"/>
                <w:lang w:val="fr-FR" w:eastAsia="fr-FR"/>
              </w:rPr>
            </w:pPr>
            <w:r w:rsidRPr="008C00E5">
              <w:rPr>
                <w:rFonts w:ascii="Georgia" w:eastAsia="Times New Roman" w:hAnsi="Georgia" w:cs="Calibri"/>
                <w:b/>
                <w:bCs/>
                <w:color w:val="000000"/>
                <w:sz w:val="20"/>
                <w:szCs w:val="20"/>
                <w:lang w:val="fr-FR" w:eastAsia="fr-FR"/>
              </w:rPr>
              <w:t>Réalisation de nouveaux blocs de latrines à 3 cabines</w:t>
            </w:r>
          </w:p>
        </w:tc>
      </w:tr>
      <w:tr w:rsidR="00BF3102" w:rsidRPr="008C00E5" w14:paraId="155829DF" w14:textId="77777777" w:rsidTr="00356396">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E9D129"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2.1</w:t>
            </w:r>
          </w:p>
        </w:tc>
        <w:tc>
          <w:tcPr>
            <w:tcW w:w="5160" w:type="dxa"/>
            <w:tcBorders>
              <w:top w:val="nil"/>
              <w:left w:val="nil"/>
              <w:bottom w:val="single" w:sz="4" w:space="0" w:color="auto"/>
              <w:right w:val="single" w:sz="4" w:space="0" w:color="auto"/>
            </w:tcBorders>
            <w:shd w:val="clear" w:color="auto" w:fill="auto"/>
            <w:vAlign w:val="center"/>
            <w:hideMark/>
          </w:tcPr>
          <w:p w14:paraId="4209E4C4"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xml:space="preserve">Construction d'un bloc de 3 latrines </w:t>
            </w:r>
          </w:p>
        </w:tc>
        <w:tc>
          <w:tcPr>
            <w:tcW w:w="1240" w:type="dxa"/>
            <w:tcBorders>
              <w:top w:val="nil"/>
              <w:left w:val="nil"/>
              <w:bottom w:val="single" w:sz="4" w:space="0" w:color="auto"/>
              <w:right w:val="single" w:sz="4" w:space="0" w:color="auto"/>
            </w:tcBorders>
            <w:shd w:val="clear" w:color="auto" w:fill="auto"/>
            <w:vAlign w:val="center"/>
            <w:hideMark/>
          </w:tcPr>
          <w:p w14:paraId="109A0900"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bottom"/>
            <w:hideMark/>
          </w:tcPr>
          <w:p w14:paraId="0057F7A8"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C4936A"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r>
      <w:tr w:rsidR="00BF3102" w:rsidRPr="008C00E5" w14:paraId="3E9D20FD" w14:textId="77777777" w:rsidTr="00356396">
        <w:trPr>
          <w:trHeight w:val="288"/>
        </w:trPr>
        <w:tc>
          <w:tcPr>
            <w:tcW w:w="1240" w:type="dxa"/>
            <w:tcBorders>
              <w:top w:val="nil"/>
              <w:left w:val="single" w:sz="4" w:space="0" w:color="auto"/>
              <w:bottom w:val="single" w:sz="4" w:space="0" w:color="auto"/>
              <w:right w:val="single" w:sz="4" w:space="0" w:color="auto"/>
            </w:tcBorders>
            <w:shd w:val="clear" w:color="000000" w:fill="F7CAAC"/>
            <w:vAlign w:val="center"/>
            <w:hideMark/>
          </w:tcPr>
          <w:p w14:paraId="724B0223" w14:textId="77777777" w:rsidR="00BF3102" w:rsidRPr="008C00E5" w:rsidRDefault="00BF3102" w:rsidP="00356396">
            <w:pPr>
              <w:spacing w:after="0" w:line="240" w:lineRule="auto"/>
              <w:jc w:val="center"/>
              <w:rPr>
                <w:rFonts w:ascii="Georgia" w:eastAsia="Times New Roman" w:hAnsi="Georgia" w:cs="Calibri"/>
                <w:b/>
                <w:bCs/>
                <w:color w:val="000000"/>
                <w:sz w:val="20"/>
                <w:szCs w:val="20"/>
                <w:lang w:val="fr-FR" w:eastAsia="fr-FR"/>
              </w:rPr>
            </w:pPr>
            <w:r w:rsidRPr="008C00E5">
              <w:rPr>
                <w:rFonts w:ascii="Georgia" w:eastAsia="Times New Roman" w:hAnsi="Georgia" w:cs="Calibri"/>
                <w:b/>
                <w:bCs/>
                <w:color w:val="000000"/>
                <w:sz w:val="20"/>
                <w:szCs w:val="20"/>
                <w:lang w:val="fr-FR" w:eastAsia="fr-FR"/>
              </w:rPr>
              <w:t>3</w:t>
            </w:r>
          </w:p>
        </w:tc>
        <w:tc>
          <w:tcPr>
            <w:tcW w:w="8880" w:type="dxa"/>
            <w:gridSpan w:val="4"/>
            <w:tcBorders>
              <w:top w:val="single" w:sz="4" w:space="0" w:color="auto"/>
              <w:left w:val="nil"/>
              <w:bottom w:val="single" w:sz="4" w:space="0" w:color="auto"/>
              <w:right w:val="single" w:sz="4" w:space="0" w:color="auto"/>
            </w:tcBorders>
            <w:shd w:val="clear" w:color="000000" w:fill="F7CAAC"/>
            <w:vAlign w:val="center"/>
            <w:hideMark/>
          </w:tcPr>
          <w:p w14:paraId="429DE669" w14:textId="77777777" w:rsidR="00BF3102" w:rsidRPr="008C00E5" w:rsidRDefault="00BF3102" w:rsidP="00356396">
            <w:pPr>
              <w:spacing w:after="0" w:line="240" w:lineRule="auto"/>
              <w:rPr>
                <w:rFonts w:ascii="Georgia" w:eastAsia="Times New Roman" w:hAnsi="Georgia" w:cs="Calibri"/>
                <w:b/>
                <w:bCs/>
                <w:color w:val="000000"/>
                <w:sz w:val="20"/>
                <w:szCs w:val="20"/>
                <w:lang w:val="fr-FR" w:eastAsia="fr-FR"/>
              </w:rPr>
            </w:pPr>
            <w:r w:rsidRPr="008C00E5">
              <w:rPr>
                <w:rFonts w:ascii="Georgia" w:eastAsia="Times New Roman" w:hAnsi="Georgia" w:cs="Calibri"/>
                <w:b/>
                <w:bCs/>
                <w:color w:val="000000"/>
                <w:sz w:val="20"/>
                <w:szCs w:val="20"/>
                <w:lang w:val="fr-FR" w:eastAsia="fr-FR"/>
              </w:rPr>
              <w:t>Réhabilitation des latrines existantes</w:t>
            </w:r>
          </w:p>
        </w:tc>
      </w:tr>
      <w:tr w:rsidR="00BF3102" w:rsidRPr="008C00E5" w14:paraId="3D1645AD" w14:textId="77777777" w:rsidTr="00356396">
        <w:trPr>
          <w:trHeight w:val="5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075165"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3.1</w:t>
            </w:r>
          </w:p>
        </w:tc>
        <w:tc>
          <w:tcPr>
            <w:tcW w:w="5160" w:type="dxa"/>
            <w:tcBorders>
              <w:top w:val="nil"/>
              <w:left w:val="nil"/>
              <w:bottom w:val="single" w:sz="4" w:space="0" w:color="auto"/>
              <w:right w:val="single" w:sz="4" w:space="0" w:color="auto"/>
            </w:tcBorders>
            <w:shd w:val="clear" w:color="auto" w:fill="auto"/>
            <w:vAlign w:val="center"/>
            <w:hideMark/>
          </w:tcPr>
          <w:p w14:paraId="0CCA4E1C"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xml:space="preserve">Reprise des sols et des fissures au niveau des murs (nettoyage, grattage et colmatage) </w:t>
            </w:r>
          </w:p>
        </w:tc>
        <w:tc>
          <w:tcPr>
            <w:tcW w:w="1240" w:type="dxa"/>
            <w:tcBorders>
              <w:top w:val="nil"/>
              <w:left w:val="nil"/>
              <w:bottom w:val="single" w:sz="4" w:space="0" w:color="auto"/>
              <w:right w:val="single" w:sz="4" w:space="0" w:color="auto"/>
            </w:tcBorders>
            <w:shd w:val="clear" w:color="auto" w:fill="auto"/>
            <w:vAlign w:val="center"/>
            <w:hideMark/>
          </w:tcPr>
          <w:p w14:paraId="48234769"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bottom"/>
            <w:hideMark/>
          </w:tcPr>
          <w:p w14:paraId="0C776CAD"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C90E10B"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r>
      <w:tr w:rsidR="00BF3102" w:rsidRPr="008C00E5" w14:paraId="132B6B5F" w14:textId="77777777" w:rsidTr="00356396">
        <w:trPr>
          <w:trHeight w:val="79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7BE028"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3.2</w:t>
            </w:r>
          </w:p>
        </w:tc>
        <w:tc>
          <w:tcPr>
            <w:tcW w:w="5160" w:type="dxa"/>
            <w:tcBorders>
              <w:top w:val="nil"/>
              <w:left w:val="nil"/>
              <w:bottom w:val="single" w:sz="4" w:space="0" w:color="auto"/>
              <w:right w:val="single" w:sz="4" w:space="0" w:color="auto"/>
            </w:tcBorders>
            <w:shd w:val="clear" w:color="auto" w:fill="auto"/>
            <w:vAlign w:val="center"/>
            <w:hideMark/>
          </w:tcPr>
          <w:p w14:paraId="1D531DFF"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eastAsia="fr-FR"/>
              </w:rPr>
              <w:t>Aménagement des rampes d'accès au niveau de tous les blocs de latrines (rampe en fer rond diamètre 30 cm, plateforme en BA avec pente d’accès, etc…)</w:t>
            </w:r>
          </w:p>
        </w:tc>
        <w:tc>
          <w:tcPr>
            <w:tcW w:w="1240" w:type="dxa"/>
            <w:tcBorders>
              <w:top w:val="nil"/>
              <w:left w:val="nil"/>
              <w:bottom w:val="single" w:sz="4" w:space="0" w:color="auto"/>
              <w:right w:val="single" w:sz="4" w:space="0" w:color="auto"/>
            </w:tcBorders>
            <w:shd w:val="clear" w:color="auto" w:fill="auto"/>
            <w:vAlign w:val="center"/>
            <w:hideMark/>
          </w:tcPr>
          <w:p w14:paraId="18B293B6"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bottom"/>
            <w:hideMark/>
          </w:tcPr>
          <w:p w14:paraId="15D958F4"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E364615"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r>
      <w:tr w:rsidR="00BF3102" w:rsidRPr="008C00E5" w14:paraId="5D1534A3" w14:textId="77777777" w:rsidTr="00356396">
        <w:trPr>
          <w:trHeight w:val="5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C2E9E4"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3.3</w:t>
            </w:r>
          </w:p>
        </w:tc>
        <w:tc>
          <w:tcPr>
            <w:tcW w:w="5160" w:type="dxa"/>
            <w:tcBorders>
              <w:top w:val="nil"/>
              <w:left w:val="nil"/>
              <w:bottom w:val="single" w:sz="4" w:space="0" w:color="auto"/>
              <w:right w:val="single" w:sz="4" w:space="0" w:color="auto"/>
            </w:tcBorders>
            <w:shd w:val="clear" w:color="auto" w:fill="auto"/>
            <w:vAlign w:val="center"/>
            <w:hideMark/>
          </w:tcPr>
          <w:p w14:paraId="67938327"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eastAsia="fr-FR"/>
              </w:rPr>
              <w:t>Remplacement des tuyaux d'aération et des dalles de couverture des fosses défectueuses</w:t>
            </w:r>
          </w:p>
        </w:tc>
        <w:tc>
          <w:tcPr>
            <w:tcW w:w="1240" w:type="dxa"/>
            <w:tcBorders>
              <w:top w:val="nil"/>
              <w:left w:val="nil"/>
              <w:bottom w:val="single" w:sz="4" w:space="0" w:color="auto"/>
              <w:right w:val="single" w:sz="4" w:space="0" w:color="auto"/>
            </w:tcBorders>
            <w:shd w:val="clear" w:color="auto" w:fill="auto"/>
            <w:vAlign w:val="center"/>
            <w:hideMark/>
          </w:tcPr>
          <w:p w14:paraId="211B5945"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bottom"/>
            <w:hideMark/>
          </w:tcPr>
          <w:p w14:paraId="313C6756"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551BB7"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r>
      <w:tr w:rsidR="00BF3102" w:rsidRPr="008C00E5" w14:paraId="1016C0CD" w14:textId="77777777" w:rsidTr="00356396">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91467B"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3.4</w:t>
            </w:r>
          </w:p>
        </w:tc>
        <w:tc>
          <w:tcPr>
            <w:tcW w:w="5160" w:type="dxa"/>
            <w:tcBorders>
              <w:top w:val="nil"/>
              <w:left w:val="nil"/>
              <w:bottom w:val="single" w:sz="4" w:space="0" w:color="auto"/>
              <w:right w:val="single" w:sz="4" w:space="0" w:color="auto"/>
            </w:tcBorders>
            <w:shd w:val="clear" w:color="auto" w:fill="auto"/>
            <w:vAlign w:val="center"/>
            <w:hideMark/>
          </w:tcPr>
          <w:p w14:paraId="0D499A6E"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eastAsia="fr-FR"/>
              </w:rPr>
              <w:t>Reprise des menuiseries</w:t>
            </w:r>
          </w:p>
        </w:tc>
        <w:tc>
          <w:tcPr>
            <w:tcW w:w="1240" w:type="dxa"/>
            <w:tcBorders>
              <w:top w:val="nil"/>
              <w:left w:val="nil"/>
              <w:bottom w:val="single" w:sz="4" w:space="0" w:color="auto"/>
              <w:right w:val="single" w:sz="4" w:space="0" w:color="auto"/>
            </w:tcBorders>
            <w:shd w:val="clear" w:color="auto" w:fill="auto"/>
            <w:vAlign w:val="center"/>
            <w:hideMark/>
          </w:tcPr>
          <w:p w14:paraId="5BB614D9"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Unité</w:t>
            </w:r>
          </w:p>
        </w:tc>
        <w:tc>
          <w:tcPr>
            <w:tcW w:w="1240" w:type="dxa"/>
            <w:tcBorders>
              <w:top w:val="nil"/>
              <w:left w:val="nil"/>
              <w:bottom w:val="single" w:sz="4" w:space="0" w:color="auto"/>
              <w:right w:val="single" w:sz="4" w:space="0" w:color="auto"/>
            </w:tcBorders>
            <w:shd w:val="clear" w:color="auto" w:fill="auto"/>
            <w:noWrap/>
            <w:vAlign w:val="bottom"/>
            <w:hideMark/>
          </w:tcPr>
          <w:p w14:paraId="734AAD15"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12DF002F"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r>
      <w:tr w:rsidR="00BF3102" w:rsidRPr="008C00E5" w14:paraId="00909886" w14:textId="77777777" w:rsidTr="00356396">
        <w:trPr>
          <w:trHeight w:val="5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3EF3504"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3.5</w:t>
            </w:r>
          </w:p>
        </w:tc>
        <w:tc>
          <w:tcPr>
            <w:tcW w:w="5160" w:type="dxa"/>
            <w:tcBorders>
              <w:top w:val="nil"/>
              <w:left w:val="nil"/>
              <w:bottom w:val="single" w:sz="4" w:space="0" w:color="auto"/>
              <w:right w:val="single" w:sz="4" w:space="0" w:color="auto"/>
            </w:tcBorders>
            <w:shd w:val="clear" w:color="auto" w:fill="auto"/>
            <w:vAlign w:val="center"/>
            <w:hideMark/>
          </w:tcPr>
          <w:p w14:paraId="1AD1AB4E"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eastAsia="fr-FR"/>
              </w:rPr>
              <w:t>Reprise des raccordements autour des fosses et des dalles de couverture</w:t>
            </w:r>
          </w:p>
        </w:tc>
        <w:tc>
          <w:tcPr>
            <w:tcW w:w="1240" w:type="dxa"/>
            <w:tcBorders>
              <w:top w:val="nil"/>
              <w:left w:val="nil"/>
              <w:bottom w:val="single" w:sz="4" w:space="0" w:color="auto"/>
              <w:right w:val="single" w:sz="4" w:space="0" w:color="auto"/>
            </w:tcBorders>
            <w:shd w:val="clear" w:color="auto" w:fill="auto"/>
            <w:vAlign w:val="center"/>
            <w:hideMark/>
          </w:tcPr>
          <w:p w14:paraId="78A5826F"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bottom"/>
            <w:hideMark/>
          </w:tcPr>
          <w:p w14:paraId="0089D7E3"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2BC0CF"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r>
      <w:tr w:rsidR="00BF3102" w:rsidRPr="008C00E5" w14:paraId="2B4FB863" w14:textId="77777777" w:rsidTr="00356396">
        <w:trPr>
          <w:trHeight w:val="5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380B05"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3.6</w:t>
            </w:r>
          </w:p>
        </w:tc>
        <w:tc>
          <w:tcPr>
            <w:tcW w:w="5160" w:type="dxa"/>
            <w:tcBorders>
              <w:top w:val="nil"/>
              <w:left w:val="nil"/>
              <w:bottom w:val="single" w:sz="4" w:space="0" w:color="auto"/>
              <w:right w:val="single" w:sz="4" w:space="0" w:color="auto"/>
            </w:tcBorders>
            <w:shd w:val="clear" w:color="auto" w:fill="auto"/>
            <w:vAlign w:val="center"/>
            <w:hideMark/>
          </w:tcPr>
          <w:p w14:paraId="6F0B9D73"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eastAsia="fr-FR"/>
              </w:rPr>
              <w:t>Reprise de la peinture (avec la reprise de l'enduit intérieur si nécessaire)</w:t>
            </w:r>
          </w:p>
        </w:tc>
        <w:tc>
          <w:tcPr>
            <w:tcW w:w="1240" w:type="dxa"/>
            <w:tcBorders>
              <w:top w:val="nil"/>
              <w:left w:val="nil"/>
              <w:bottom w:val="single" w:sz="4" w:space="0" w:color="auto"/>
              <w:right w:val="single" w:sz="4" w:space="0" w:color="auto"/>
            </w:tcBorders>
            <w:shd w:val="clear" w:color="auto" w:fill="auto"/>
            <w:vAlign w:val="center"/>
            <w:hideMark/>
          </w:tcPr>
          <w:p w14:paraId="2BA439E4"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bottom"/>
            <w:hideMark/>
          </w:tcPr>
          <w:p w14:paraId="564DB612"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7E4EACFF"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r>
      <w:tr w:rsidR="00BF3102" w:rsidRPr="008C00E5" w14:paraId="4202FD94" w14:textId="77777777" w:rsidTr="00356396">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616A49"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3.7</w:t>
            </w:r>
          </w:p>
        </w:tc>
        <w:tc>
          <w:tcPr>
            <w:tcW w:w="5160" w:type="dxa"/>
            <w:tcBorders>
              <w:top w:val="nil"/>
              <w:left w:val="nil"/>
              <w:bottom w:val="single" w:sz="4" w:space="0" w:color="auto"/>
              <w:right w:val="single" w:sz="4" w:space="0" w:color="auto"/>
            </w:tcBorders>
            <w:shd w:val="clear" w:color="auto" w:fill="auto"/>
            <w:vAlign w:val="center"/>
            <w:hideMark/>
          </w:tcPr>
          <w:p w14:paraId="30372E77" w14:textId="77777777" w:rsidR="00BF3102" w:rsidRPr="008C00E5" w:rsidRDefault="00BF3102" w:rsidP="00356396">
            <w:pPr>
              <w:spacing w:after="0" w:line="240" w:lineRule="auto"/>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 xml:space="preserve">Réhabilitation des fosses des latrines </w:t>
            </w:r>
          </w:p>
        </w:tc>
        <w:tc>
          <w:tcPr>
            <w:tcW w:w="1240" w:type="dxa"/>
            <w:tcBorders>
              <w:top w:val="nil"/>
              <w:left w:val="nil"/>
              <w:bottom w:val="single" w:sz="4" w:space="0" w:color="auto"/>
              <w:right w:val="single" w:sz="4" w:space="0" w:color="auto"/>
            </w:tcBorders>
            <w:shd w:val="clear" w:color="auto" w:fill="auto"/>
            <w:vAlign w:val="center"/>
            <w:hideMark/>
          </w:tcPr>
          <w:p w14:paraId="4FFE4AB2" w14:textId="77777777" w:rsidR="00BF3102" w:rsidRPr="008C00E5" w:rsidRDefault="00BF3102" w:rsidP="00356396">
            <w:pPr>
              <w:spacing w:after="0" w:line="240" w:lineRule="auto"/>
              <w:jc w:val="center"/>
              <w:rPr>
                <w:rFonts w:ascii="Georgia" w:eastAsia="Times New Roman" w:hAnsi="Georgia" w:cs="Calibri"/>
                <w:color w:val="000000"/>
                <w:sz w:val="20"/>
                <w:szCs w:val="20"/>
                <w:lang w:val="fr-FR" w:eastAsia="fr-FR"/>
              </w:rPr>
            </w:pPr>
            <w:r w:rsidRPr="008C00E5">
              <w:rPr>
                <w:rFonts w:ascii="Georgia" w:eastAsia="Times New Roman" w:hAnsi="Georgia" w:cs="Calibri"/>
                <w:color w:val="000000"/>
                <w:sz w:val="20"/>
                <w:szCs w:val="20"/>
                <w:lang w:val="fr-FR" w:eastAsia="fr-FR"/>
              </w:rPr>
              <w:t>Forfait</w:t>
            </w:r>
          </w:p>
        </w:tc>
        <w:tc>
          <w:tcPr>
            <w:tcW w:w="1240" w:type="dxa"/>
            <w:tcBorders>
              <w:top w:val="nil"/>
              <w:left w:val="nil"/>
              <w:bottom w:val="single" w:sz="4" w:space="0" w:color="auto"/>
              <w:right w:val="single" w:sz="4" w:space="0" w:color="auto"/>
            </w:tcBorders>
            <w:shd w:val="clear" w:color="auto" w:fill="auto"/>
            <w:noWrap/>
            <w:vAlign w:val="bottom"/>
            <w:hideMark/>
          </w:tcPr>
          <w:p w14:paraId="698462BB"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16CC987F" w14:textId="77777777" w:rsidR="00BF3102" w:rsidRPr="008C00E5" w:rsidRDefault="00BF3102" w:rsidP="00356396">
            <w:pPr>
              <w:spacing w:after="0" w:line="240" w:lineRule="auto"/>
              <w:rPr>
                <w:rFonts w:ascii="Calibri" w:eastAsia="Times New Roman" w:hAnsi="Calibri" w:cs="Calibri"/>
                <w:color w:val="000000"/>
                <w:lang w:val="fr-FR" w:eastAsia="fr-FR"/>
              </w:rPr>
            </w:pPr>
            <w:r w:rsidRPr="008C00E5">
              <w:rPr>
                <w:rFonts w:ascii="Calibri" w:eastAsia="Times New Roman" w:hAnsi="Calibri" w:cs="Calibri"/>
                <w:color w:val="000000"/>
                <w:lang w:val="fr-FR" w:eastAsia="fr-FR"/>
              </w:rPr>
              <w:t> </w:t>
            </w:r>
          </w:p>
        </w:tc>
      </w:tr>
    </w:tbl>
    <w:p w14:paraId="07C6EE83" w14:textId="77777777" w:rsidR="00BF3102" w:rsidRDefault="00BF3102" w:rsidP="00BF3102">
      <w:pPr>
        <w:jc w:val="center"/>
        <w:rPr>
          <w:rFonts w:ascii="Georgia" w:hAnsi="Georgia"/>
          <w:b/>
          <w:bCs/>
          <w:sz w:val="28"/>
          <w:szCs w:val="28"/>
          <w:lang w:val="fr-BE"/>
        </w:rPr>
      </w:pPr>
    </w:p>
    <w:p w14:paraId="75B8BF99" w14:textId="77777777" w:rsidR="00BF3102" w:rsidRDefault="00BF3102" w:rsidP="00BF3102">
      <w:pPr>
        <w:jc w:val="center"/>
        <w:rPr>
          <w:rFonts w:ascii="Georgia" w:hAnsi="Georgia"/>
          <w:b/>
          <w:bCs/>
          <w:sz w:val="28"/>
          <w:szCs w:val="28"/>
          <w:lang w:val="fr-BE"/>
        </w:rPr>
      </w:pPr>
    </w:p>
    <w:p w14:paraId="4B9B50A2" w14:textId="77777777" w:rsidR="00BF3102" w:rsidRDefault="00BF3102" w:rsidP="00BF3102">
      <w:pPr>
        <w:jc w:val="center"/>
        <w:rPr>
          <w:rFonts w:ascii="Georgia" w:hAnsi="Georgia"/>
          <w:b/>
          <w:bCs/>
          <w:sz w:val="28"/>
          <w:szCs w:val="28"/>
          <w:lang w:val="fr-BE"/>
        </w:rPr>
      </w:pPr>
    </w:p>
    <w:p w14:paraId="6624F553" w14:textId="77777777" w:rsidR="00647E53" w:rsidRDefault="00647E53"/>
    <w:sectPr w:rsidR="00647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36F1"/>
    <w:multiLevelType w:val="hybridMultilevel"/>
    <w:tmpl w:val="18446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54F773F"/>
    <w:multiLevelType w:val="hybridMultilevel"/>
    <w:tmpl w:val="189A2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54A7625"/>
    <w:multiLevelType w:val="multilevel"/>
    <w:tmpl w:val="9408841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544289752">
    <w:abstractNumId w:val="2"/>
  </w:num>
  <w:num w:numId="2" w16cid:durableId="279651148">
    <w:abstractNumId w:val="0"/>
  </w:num>
  <w:num w:numId="3" w16cid:durableId="1391146570">
    <w:abstractNumId w:val="1"/>
  </w:num>
  <w:num w:numId="4" w16cid:durableId="1980763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02"/>
    <w:rsid w:val="00647E53"/>
    <w:rsid w:val="00BF3102"/>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1E1F"/>
  <w15:chartTrackingRefBased/>
  <w15:docId w15:val="{690D5085-FD8B-413D-A947-DF0B247B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02"/>
  </w:style>
  <w:style w:type="paragraph" w:styleId="Titre2">
    <w:name w:val="heading 2"/>
    <w:basedOn w:val="Normal"/>
    <w:next w:val="Normal"/>
    <w:link w:val="Titre2Car"/>
    <w:uiPriority w:val="9"/>
    <w:unhideWhenUsed/>
    <w:qFormat/>
    <w:rsid w:val="00BF3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3102"/>
    <w:rPr>
      <w:rFonts w:asciiTheme="majorHAnsi" w:eastAsiaTheme="majorEastAsia" w:hAnsiTheme="majorHAnsi" w:cstheme="majorBidi"/>
      <w:color w:val="2F5496" w:themeColor="accent1" w:themeShade="BF"/>
      <w:sz w:val="26"/>
      <w:szCs w:val="26"/>
    </w:rPr>
  </w:style>
  <w:style w:type="paragraph" w:customStyle="1" w:styleId="BTCtextCTB">
    <w:name w:val="BTC text CTB"/>
    <w:rsid w:val="00BF3102"/>
    <w:pPr>
      <w:spacing w:before="120" w:after="120" w:line="240" w:lineRule="auto"/>
      <w:jc w:val="both"/>
    </w:pPr>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7056</Characters>
  <Application>Microsoft Office Word</Application>
  <DocSecurity>0</DocSecurity>
  <Lines>58</Lines>
  <Paragraphs>16</Paragraphs>
  <ScaleCrop>false</ScaleCrop>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2023-09-27T10:48:00Z</dcterms:created>
  <dcterms:modified xsi:type="dcterms:W3CDTF">2023-09-27T10:58:00Z</dcterms:modified>
</cp:coreProperties>
</file>