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E226" w14:textId="482B8D86" w:rsidR="00BF3102" w:rsidRPr="000621BF" w:rsidRDefault="00BF3102" w:rsidP="00BF3102">
      <w:pPr>
        <w:pStyle w:val="Titre2"/>
        <w:spacing w:after="120"/>
        <w:rPr>
          <w:rFonts w:ascii="Georgia" w:eastAsia="Times New Roman" w:hAnsi="Georgia" w:cs="Times New Roman"/>
          <w:b/>
          <w:iCs/>
          <w:color w:val="auto"/>
        </w:rPr>
      </w:pPr>
      <w:bookmarkStart w:id="0" w:name="_Toc53727337"/>
      <w:r>
        <w:rPr>
          <w:rFonts w:ascii="Georgia" w:eastAsia="Times New Roman" w:hAnsi="Georgia" w:cs="Times New Roman"/>
          <w:b/>
          <w:iCs/>
          <w:color w:val="auto"/>
        </w:rPr>
        <w:t xml:space="preserve">ANNEXE II- </w:t>
      </w:r>
      <w:r w:rsidRPr="000621BF">
        <w:rPr>
          <w:rFonts w:ascii="Georgia" w:eastAsia="Times New Roman" w:hAnsi="Georgia" w:cs="Times New Roman"/>
          <w:b/>
          <w:iCs/>
          <w:color w:val="auto"/>
        </w:rPr>
        <w:t xml:space="preserve">Bordereau de prix unitaires </w:t>
      </w:r>
      <w:bookmarkEnd w:id="0"/>
      <w:r>
        <w:rPr>
          <w:rFonts w:ascii="Georgia" w:eastAsia="Times New Roman" w:hAnsi="Georgia" w:cs="Times New Roman"/>
          <w:b/>
          <w:iCs/>
          <w:color w:val="auto"/>
        </w:rPr>
        <w:t>&amp; définition des prix unitaires</w:t>
      </w:r>
    </w:p>
    <w:p w14:paraId="425E9E4D" w14:textId="77777777" w:rsidR="00BF3102" w:rsidRPr="00F93D15" w:rsidRDefault="00BF3102" w:rsidP="00BF3102">
      <w:pPr>
        <w:pStyle w:val="BTCtextCTB"/>
        <w:rPr>
          <w:rFonts w:ascii="Georgia" w:eastAsia="Calibri" w:hAnsi="Georgia"/>
          <w:b/>
          <w:bCs/>
          <w:sz w:val="21"/>
          <w:szCs w:val="21"/>
        </w:rPr>
      </w:pPr>
      <w:r w:rsidRPr="00F93D15">
        <w:rPr>
          <w:rFonts w:ascii="Georgia" w:eastAsia="Calibri" w:hAnsi="Georgia"/>
          <w:b/>
          <w:bCs/>
          <w:sz w:val="21"/>
          <w:szCs w:val="21"/>
        </w:rPr>
        <w:t>APPLICATION DU BORDEREAU DE PRIX UNITAIRES</w:t>
      </w:r>
    </w:p>
    <w:p w14:paraId="42EBC94A" w14:textId="77777777" w:rsidR="00BF3102" w:rsidRPr="00F93D15" w:rsidRDefault="00BF3102" w:rsidP="00BF3102">
      <w:pPr>
        <w:pStyle w:val="BTCtextCTB"/>
        <w:spacing w:before="0"/>
        <w:rPr>
          <w:rFonts w:ascii="Georgia" w:eastAsia="Calibri" w:hAnsi="Georgia"/>
          <w:sz w:val="21"/>
          <w:szCs w:val="21"/>
        </w:rPr>
      </w:pPr>
      <w:r w:rsidRPr="00F93D15">
        <w:rPr>
          <w:rFonts w:ascii="Georgia" w:eastAsia="Calibri" w:hAnsi="Georgia"/>
          <w:sz w:val="21"/>
          <w:szCs w:val="21"/>
        </w:rPr>
        <w:t>L’expression « Bordereau de Prix Unitaires » implique l’application sans restriction des règlements et normes en vigueur au Mali, sans qu’il soit nécessaire d’y faire référence, et leur application ne peut être dissocié des dossiers de plans et documents auxquels font référence les pièces contractuelles.</w:t>
      </w:r>
    </w:p>
    <w:p w14:paraId="6A95E323" w14:textId="77777777" w:rsidR="00BF3102" w:rsidRPr="00F93D15" w:rsidRDefault="00BF3102" w:rsidP="00BF3102">
      <w:pPr>
        <w:pStyle w:val="BTCtextCTB"/>
        <w:spacing w:before="0"/>
        <w:rPr>
          <w:rFonts w:ascii="Georgia" w:eastAsia="Calibri" w:hAnsi="Georgia"/>
          <w:sz w:val="21"/>
          <w:szCs w:val="21"/>
        </w:rPr>
      </w:pPr>
      <w:r w:rsidRPr="00F93D15">
        <w:rPr>
          <w:rFonts w:ascii="Georgia" w:eastAsia="Calibri" w:hAnsi="Georgia"/>
          <w:sz w:val="21"/>
          <w:szCs w:val="21"/>
        </w:rPr>
        <w:t>Les spécifications du Bordereau De Prix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1337ABF4" w14:textId="77777777" w:rsidR="00BF3102" w:rsidRPr="00F93D15" w:rsidRDefault="00BF3102" w:rsidP="00BF3102">
      <w:pPr>
        <w:pStyle w:val="BTCtextCTB"/>
        <w:spacing w:before="0"/>
        <w:rPr>
          <w:rFonts w:ascii="Georgia" w:eastAsia="Calibri" w:hAnsi="Georgia"/>
          <w:sz w:val="21"/>
          <w:szCs w:val="21"/>
        </w:rPr>
      </w:pPr>
      <w:r w:rsidRPr="00F93D15">
        <w:rPr>
          <w:rFonts w:ascii="Georgia" w:eastAsia="Calibri" w:hAnsi="Georgia"/>
          <w:sz w:val="21"/>
          <w:szCs w:val="21"/>
        </w:rPr>
        <w:t>Les prescriptions techniques particulières et Bordereau de Prix donnent une description aussi complète que possible des travaux à exécuter, dans le but de permettre à l’Entrepreneur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w:t>
      </w:r>
    </w:p>
    <w:p w14:paraId="59CC7B3E" w14:textId="77777777" w:rsidR="00BF3102" w:rsidRPr="00F93D15" w:rsidRDefault="00BF3102" w:rsidP="00BF3102">
      <w:pPr>
        <w:pStyle w:val="BTCtextCTB"/>
        <w:spacing w:before="0"/>
        <w:rPr>
          <w:rFonts w:ascii="Georgia" w:eastAsia="Calibri" w:hAnsi="Georgia"/>
          <w:sz w:val="21"/>
          <w:szCs w:val="21"/>
        </w:rPr>
      </w:pPr>
      <w:r w:rsidRPr="00F93D15">
        <w:rPr>
          <w:rFonts w:ascii="Georgia" w:eastAsia="Calibri" w:hAnsi="Georgia"/>
          <w:sz w:val="21"/>
          <w:szCs w:val="21"/>
        </w:rPr>
        <w:t>L’Entrepreneur devra exécuter sans exception ni réserves, tous les travaux de sa profession, et aura donc compris dans son marché, non seulement les travaux et fournitures décrits dans ces documents, mais encore ceux qui auraient pu échapper aux détails de la description et qui sont indispensables pour le complet achèvement des ouvrages de son corps d’état, suivant les plans remis et les règles de l’art.</w:t>
      </w:r>
    </w:p>
    <w:p w14:paraId="14A0DDEE" w14:textId="77777777" w:rsidR="00BF3102" w:rsidRPr="00F93D15" w:rsidRDefault="00BF3102" w:rsidP="00BF3102">
      <w:pPr>
        <w:pStyle w:val="BTCtextCTB"/>
        <w:spacing w:before="0"/>
        <w:rPr>
          <w:rFonts w:ascii="Georgia" w:eastAsia="Calibri" w:hAnsi="Georgia"/>
          <w:sz w:val="21"/>
          <w:szCs w:val="21"/>
        </w:rPr>
      </w:pPr>
      <w:r w:rsidRPr="00F93D15">
        <w:rPr>
          <w:rFonts w:ascii="Georgia" w:eastAsia="Calibri" w:hAnsi="Georgia"/>
          <w:sz w:val="21"/>
          <w:szCs w:val="21"/>
        </w:rPr>
        <w:t>De même, les travaux prévus aux pièces écrites et chiffrés du marché et qui ne figurent pas dans les plans sont dus par l’Entrepreneur et compris dans les prix.</w:t>
      </w:r>
    </w:p>
    <w:p w14:paraId="7A6EB638" w14:textId="77777777" w:rsidR="00BF3102" w:rsidRPr="00F93D15" w:rsidRDefault="00BF3102" w:rsidP="00BF3102">
      <w:pPr>
        <w:pStyle w:val="BTCtextCTB"/>
        <w:spacing w:before="0"/>
        <w:rPr>
          <w:rFonts w:ascii="Georgia" w:eastAsia="Calibri" w:hAnsi="Georgia"/>
          <w:sz w:val="21"/>
          <w:szCs w:val="21"/>
        </w:rPr>
      </w:pPr>
      <w:r w:rsidRPr="00F93D15">
        <w:rPr>
          <w:rFonts w:ascii="Georgia" w:eastAsia="Calibri" w:hAnsi="Georgia"/>
          <w:sz w:val="21"/>
          <w:szCs w:val="21"/>
        </w:rPr>
        <w:t>En conséquence, l’Entrepreneur ne pourra jamais arguer que des erreurs ou omissions aux plans et Bordereau De Prix puissent le dispenser d’exécuter tous les travaux de son corps d’état, ou fassent l’objet d’une demande supplémentaire de prix.</w:t>
      </w:r>
    </w:p>
    <w:p w14:paraId="04517C7B" w14:textId="77777777" w:rsidR="00BF3102" w:rsidRPr="00F93D15" w:rsidRDefault="00BF3102" w:rsidP="00BF3102">
      <w:pPr>
        <w:pStyle w:val="BTCtextCTB"/>
        <w:spacing w:before="0"/>
        <w:rPr>
          <w:rFonts w:ascii="Georgia" w:eastAsia="Calibri" w:hAnsi="Georgia"/>
          <w:sz w:val="21"/>
          <w:szCs w:val="21"/>
        </w:rPr>
      </w:pPr>
      <w:r w:rsidRPr="00F93D15">
        <w:rPr>
          <w:rFonts w:ascii="Georgia" w:eastAsia="Calibri" w:hAnsi="Georgia"/>
          <w:sz w:val="21"/>
          <w:szCs w:val="21"/>
        </w:rPr>
        <w:t>En outre, il suppose que toute Entreprise est censée :</w:t>
      </w:r>
    </w:p>
    <w:p w14:paraId="45213128"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S’être rendue sur les lieux.</w:t>
      </w:r>
    </w:p>
    <w:p w14:paraId="2567A765"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S’être rendu compte de la situation géographique des lieux de réalisation des ouvrages.</w:t>
      </w:r>
    </w:p>
    <w:p w14:paraId="148D9BB2" w14:textId="77777777" w:rsidR="00BF3102" w:rsidRPr="00F93D15" w:rsidRDefault="00BF3102" w:rsidP="00BF3102">
      <w:pPr>
        <w:pStyle w:val="BTCtextCTB"/>
        <w:spacing w:before="0"/>
        <w:rPr>
          <w:rFonts w:ascii="Georgia" w:eastAsia="Calibri" w:hAnsi="Georgia"/>
          <w:sz w:val="21"/>
          <w:szCs w:val="21"/>
        </w:rPr>
      </w:pPr>
      <w:r w:rsidRPr="00F93D15">
        <w:rPr>
          <w:rFonts w:ascii="Georgia" w:eastAsia="Calibri" w:hAnsi="Georgia"/>
          <w:sz w:val="21"/>
          <w:szCs w:val="21"/>
        </w:rPr>
        <w:t>L’Entrepreneur devra prendre connaissance du Bordereau de prix des autres corps d’état, de façon à assurer la parfaite coordination dans ses interventions respectives, et connaître exactement la limite de fournitures, et signaler les omissions qu’il aurait constaté et les dispositions détaillées qu’il aurait lieu de prendre pour y remédier.</w:t>
      </w:r>
    </w:p>
    <w:p w14:paraId="179AB284" w14:textId="77777777" w:rsidR="00BF3102" w:rsidRPr="00F93D15" w:rsidRDefault="00BF3102" w:rsidP="00BF3102">
      <w:pPr>
        <w:pStyle w:val="BTCtextCTB"/>
        <w:spacing w:before="0"/>
        <w:rPr>
          <w:rFonts w:ascii="Georgia" w:eastAsia="Calibri" w:hAnsi="Georgia"/>
          <w:sz w:val="21"/>
          <w:szCs w:val="21"/>
        </w:rPr>
      </w:pPr>
      <w:r w:rsidRPr="00F93D15">
        <w:rPr>
          <w:rFonts w:ascii="Georgia" w:eastAsia="Calibri" w:hAnsi="Georgia"/>
          <w:sz w:val="21"/>
          <w:szCs w:val="21"/>
        </w:rPr>
        <w:t>Conformément aux CT, la rémunération des prestations énumérées ci-dessous sont comprises dans les prix de l’offre du Soumissionnaire, à savoir :</w:t>
      </w:r>
    </w:p>
    <w:p w14:paraId="24BF23EF"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Tous les frais relatifs à l'établissement et au suivi du Plan d’Assurance Qualité (PAQ) et du Plan d’Hygiène, Sécurité et Environnement (PHSE) ;</w:t>
      </w:r>
    </w:p>
    <w:p w14:paraId="53D24138"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Tous les frais relatif la mise en œuvre du Plan de Gestion Environnemental et Social (PGES) ;</w:t>
      </w:r>
    </w:p>
    <w:p w14:paraId="441CE06E"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Tous les frais de transport, de dédouanement, taxes et transit des matériels et équipements importés par l’Entrepreneur ;</w:t>
      </w:r>
    </w:p>
    <w:p w14:paraId="22DAA2B2"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Tous les frais de contrôles et d’essais demandés par le pouvoir adjudicateur du fait de l'exécution d'ouvrages présentant des vices de construction ;</w:t>
      </w:r>
    </w:p>
    <w:p w14:paraId="38A04C20"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Toutes les dépenses relatives à la sécurité des biens et des personnes ;</w:t>
      </w:r>
    </w:p>
    <w:p w14:paraId="789529B5"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Toutes les dépenses dues aux pertes, avaries ou dommages, ou pertes de temps causées par les conditions climatiques ;</w:t>
      </w:r>
    </w:p>
    <w:p w14:paraId="0D6E0CE7"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lastRenderedPageBreak/>
        <w:t>Toutes les dépenses générées par la mise en œuvre de mesures concernant la protection de l'environnement (protection contre la pollution des eaux, gestion des déchets de chantier, etc.) ;</w:t>
      </w:r>
    </w:p>
    <w:p w14:paraId="51F1AF0B"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Toutes les dispositions ou constructions que l’Entrepreneur jugera nécessaire pour assurer la protection des ouvrages en cours de réalisation, notamment vis-à-vis des aléas climatiques (inondations), ceci avant la réception provisoire ;</w:t>
      </w:r>
    </w:p>
    <w:p w14:paraId="3FD50A85"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Tous les frais de reconnaissances géotechniques nécessaires à l’exécution des ouvrages ;</w:t>
      </w:r>
    </w:p>
    <w:p w14:paraId="6B015BC4" w14:textId="77777777" w:rsidR="00BF3102" w:rsidRPr="00F93D15" w:rsidRDefault="00BF3102" w:rsidP="00BF3102">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L’intervention de laboratoires dans le cadre du contrôle des études et des travaux, et notamment la validation des études géotechniques et des notes de dimensionnement des fondations des ouvrages, ainsi que la supervision des essais de chantier (essais d’écrasement, essais de compacité, essais d’étanchéité, etc.), ceci conformément aux divers articles du CT ;</w:t>
      </w:r>
    </w:p>
    <w:p w14:paraId="2E2A6B09" w14:textId="77777777" w:rsidR="00BF3102" w:rsidRPr="00F93D15" w:rsidRDefault="00BF3102" w:rsidP="00BF3102">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Toutes les dépenses liées à l’élaboration des études d’exécution et à l’établissement des dossiers de récolement : levés topographiques, plans, notes de calculs, sondages, formulation des bétons, procédures d’exécution, méthodes de travaux, etc. ;</w:t>
      </w:r>
    </w:p>
    <w:p w14:paraId="2C59036D" w14:textId="77777777" w:rsidR="00BF3102" w:rsidRPr="00F93D15" w:rsidRDefault="00BF3102" w:rsidP="00BF3102">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coûts liés à la réalisation d’une modélisation hydraulique des réseaux projetés à l’aide d’un modèle mathématique, notamment pour vérifier l’alimentation gravitaire du réseau de distribution depuis les sites d’implantation retenus des ouvrages de stockage ;</w:t>
      </w:r>
    </w:p>
    <w:p w14:paraId="6DE52730" w14:textId="77777777" w:rsidR="00BF3102" w:rsidRPr="00F93D15" w:rsidRDefault="00BF3102" w:rsidP="00BF3102">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frais liés à l’exécution des sondages dans les terrains nécessaires au repérage du réseau d’eau potable existant et des réseaux des autres concessionnaires ;</w:t>
      </w:r>
    </w:p>
    <w:p w14:paraId="0B1D5E4B" w14:textId="77777777" w:rsidR="00BF3102" w:rsidRPr="00F93D15" w:rsidRDefault="00BF3102" w:rsidP="00BF3102">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coûts liés à l’assèchement des fouilles et quel que soit le débit de pompage, y compris toutes sujétions liées au fonctionnement du pompage, notamment l’alimentation électrique et l’évacuation des eaux pompées ;</w:t>
      </w:r>
    </w:p>
    <w:p w14:paraId="00B70E7C" w14:textId="77777777" w:rsidR="00BF3102" w:rsidRPr="00F93D15" w:rsidRDefault="00BF3102" w:rsidP="00BF3102">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frais liés à la protection, au maintien en service et au déplacement des réseaux existants (eau potable, télécommunication, électricité, etc.) ;</w:t>
      </w:r>
    </w:p>
    <w:p w14:paraId="09B3571C" w14:textId="77777777" w:rsidR="00BF3102" w:rsidRPr="00F93D15" w:rsidRDefault="00BF3102" w:rsidP="00BF3102">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coûts relatifs aux travaux de terrassement, et ceci quelle que soit la nature du terrain (notamment en présence de terrains durs et de sols hydromorphes) et la profondeur de la tranchée (sur profondeurs nécessitées par le franchissement d’obstacles) ;</w:t>
      </w:r>
    </w:p>
    <w:p w14:paraId="40217928" w14:textId="77777777" w:rsidR="00BF3102" w:rsidRPr="00F93D15" w:rsidRDefault="00BF3102" w:rsidP="00BF3102">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frais de transport et de mise en décharge définitive des gravats et des déblais non réutilisables, ceci quelle que soit la distance de la décharge ;</w:t>
      </w:r>
    </w:p>
    <w:p w14:paraId="5F31CA69" w14:textId="77777777" w:rsidR="00BF3102" w:rsidRPr="00F93D15" w:rsidRDefault="00BF3102" w:rsidP="00BF3102">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coûts relatifs à la mise en œuvre d’un blindage métallique des parois de la fouille ou autre mode de soutènement adéquat ;</w:t>
      </w:r>
    </w:p>
    <w:p w14:paraId="142EFC42" w14:textId="77777777" w:rsidR="00BF3102" w:rsidRPr="00F93D15" w:rsidRDefault="00BF3102" w:rsidP="00BF3102">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frais imputables aux franchissements d’obstacles présents sur le tracé des canalisations (dalots, fossés, réseaux existants, ponts, cours d’eau, zones humides, zones inondables, etc.) ;</w:t>
      </w:r>
    </w:p>
    <w:p w14:paraId="699028D8" w14:textId="77777777" w:rsidR="00BF3102" w:rsidRPr="00F93D15" w:rsidRDefault="00BF3102" w:rsidP="00BF3102">
      <w:pPr>
        <w:pStyle w:val="BTCtextCTB"/>
        <w:numPr>
          <w:ilvl w:val="0"/>
          <w:numId w:val="3"/>
        </w:numPr>
        <w:spacing w:before="0"/>
        <w:rPr>
          <w:rFonts w:ascii="Georgia" w:eastAsia="Calibri" w:hAnsi="Georgia"/>
          <w:sz w:val="21"/>
          <w:szCs w:val="21"/>
        </w:rPr>
      </w:pPr>
      <w:r w:rsidRPr="00F93D15">
        <w:rPr>
          <w:rFonts w:ascii="Georgia" w:eastAsia="Calibri" w:hAnsi="Georgia"/>
          <w:sz w:val="21"/>
          <w:szCs w:val="21"/>
        </w:rPr>
        <w:t>Toutes les dépenses concernant les aménagements d’exutoire nécessaires à une évacuation gravitaire des eaux de vidange ;</w:t>
      </w:r>
    </w:p>
    <w:p w14:paraId="5A7BE180" w14:textId="77777777" w:rsidR="00BF3102" w:rsidRPr="00F93D15" w:rsidRDefault="00BF3102" w:rsidP="00BF3102">
      <w:pPr>
        <w:pStyle w:val="BTCtextCTB"/>
        <w:numPr>
          <w:ilvl w:val="0"/>
          <w:numId w:val="3"/>
        </w:numPr>
        <w:spacing w:before="0"/>
        <w:rPr>
          <w:rFonts w:ascii="Georgia" w:eastAsia="Calibri" w:hAnsi="Georgia"/>
          <w:sz w:val="21"/>
          <w:szCs w:val="21"/>
        </w:rPr>
      </w:pPr>
      <w:r w:rsidRPr="00F93D15">
        <w:rPr>
          <w:rFonts w:ascii="Georgia" w:eastAsia="Calibri" w:hAnsi="Georgia"/>
          <w:sz w:val="21"/>
          <w:szCs w:val="21"/>
        </w:rPr>
        <w:t>Tous les coûts induits par d’éventuelles réfections de la chaussée bitumée ou latéritique et de ses ouvrages connexes, tels que les ponts, bordures, talus, accotements, fossés, caniveaux, etc., à la suite de dégradations causées par l’exécution des travaux prévus au Marché ;</w:t>
      </w:r>
    </w:p>
    <w:p w14:paraId="5D86CF14" w14:textId="77777777" w:rsidR="00BF3102" w:rsidRPr="00F93D15" w:rsidRDefault="00BF3102" w:rsidP="00BF3102">
      <w:pPr>
        <w:pStyle w:val="BTCtextCTB"/>
        <w:numPr>
          <w:ilvl w:val="0"/>
          <w:numId w:val="3"/>
        </w:numPr>
        <w:spacing w:before="0"/>
        <w:rPr>
          <w:rFonts w:ascii="Georgia" w:eastAsia="Calibri" w:hAnsi="Georgia"/>
          <w:sz w:val="21"/>
          <w:szCs w:val="21"/>
        </w:rPr>
      </w:pPr>
      <w:r w:rsidRPr="00F93D15">
        <w:rPr>
          <w:rFonts w:ascii="Georgia" w:eastAsia="Calibri" w:hAnsi="Georgia"/>
          <w:sz w:val="21"/>
          <w:szCs w:val="21"/>
        </w:rPr>
        <w:t>Tous les frais nécessaires à l’obtention des autorisations administratives nécessaires à l’exécution des travaux (pose sous chaussée et traversées, franchissements de pont, stockages temporaires et définitifs, déviation du trafic, etc.) ;</w:t>
      </w:r>
    </w:p>
    <w:p w14:paraId="17C31B78" w14:textId="77777777" w:rsidR="00BF3102" w:rsidRPr="00F93D15" w:rsidRDefault="00BF3102" w:rsidP="00BF3102">
      <w:pPr>
        <w:pStyle w:val="BTCtextCTB"/>
        <w:spacing w:before="0"/>
        <w:rPr>
          <w:rFonts w:ascii="Georgia" w:eastAsia="Calibri" w:hAnsi="Georgia"/>
          <w:sz w:val="21"/>
          <w:szCs w:val="21"/>
        </w:rPr>
      </w:pPr>
      <w:r w:rsidRPr="00F93D15">
        <w:rPr>
          <w:rFonts w:ascii="Georgia" w:eastAsia="Calibri" w:hAnsi="Georgia"/>
          <w:sz w:val="21"/>
          <w:szCs w:val="21"/>
        </w:rPr>
        <w:t>En outre, les prix du Soumissionnaire sont réputés comprendre :</w:t>
      </w:r>
    </w:p>
    <w:p w14:paraId="33017EF8" w14:textId="77777777" w:rsidR="00BF3102" w:rsidRPr="00F93D15" w:rsidRDefault="00BF3102" w:rsidP="00BF3102">
      <w:pPr>
        <w:pStyle w:val="BTCtextCTB"/>
        <w:numPr>
          <w:ilvl w:val="0"/>
          <w:numId w:val="3"/>
        </w:numPr>
        <w:spacing w:before="0"/>
        <w:rPr>
          <w:rFonts w:ascii="Georgia" w:eastAsia="Calibri" w:hAnsi="Georgia"/>
          <w:sz w:val="21"/>
          <w:szCs w:val="21"/>
        </w:rPr>
      </w:pPr>
      <w:r w:rsidRPr="00F93D15">
        <w:rPr>
          <w:rFonts w:ascii="Georgia" w:eastAsia="Calibri" w:hAnsi="Georgia"/>
          <w:sz w:val="21"/>
          <w:szCs w:val="21"/>
        </w:rPr>
        <w:t>La mise à disposition sur le chantier des principales normes et réglementations auxquelles les CT font référence (voir l’Article 20 de la Partie 1) ;</w:t>
      </w:r>
    </w:p>
    <w:p w14:paraId="10CEC9B3" w14:textId="77777777" w:rsidR="00BF3102" w:rsidRPr="00BF3102" w:rsidRDefault="00BF3102" w:rsidP="00BF3102">
      <w:pPr>
        <w:pStyle w:val="BTCtextCTB"/>
        <w:numPr>
          <w:ilvl w:val="0"/>
          <w:numId w:val="3"/>
        </w:numPr>
        <w:spacing w:before="0"/>
        <w:rPr>
          <w:rFonts w:ascii="Georgia" w:eastAsia="Calibri" w:hAnsi="Georgia"/>
          <w:sz w:val="21"/>
          <w:szCs w:val="21"/>
        </w:rPr>
      </w:pPr>
      <w:r w:rsidRPr="00BF3102">
        <w:rPr>
          <w:rFonts w:ascii="Georgia" w:eastAsia="Calibri" w:hAnsi="Georgia"/>
          <w:sz w:val="21"/>
          <w:szCs w:val="21"/>
        </w:rPr>
        <w:t>L’établissement des permis de construire ;</w:t>
      </w:r>
    </w:p>
    <w:p w14:paraId="681C8462" w14:textId="77777777" w:rsidR="00BF3102" w:rsidRPr="00BF3102" w:rsidRDefault="00BF3102" w:rsidP="00BF3102">
      <w:pPr>
        <w:pStyle w:val="BTCtextCTB"/>
        <w:numPr>
          <w:ilvl w:val="0"/>
          <w:numId w:val="3"/>
        </w:numPr>
        <w:spacing w:before="0"/>
        <w:jc w:val="left"/>
        <w:rPr>
          <w:rFonts w:ascii="Georgia" w:eastAsia="Calibri" w:hAnsi="Georgia"/>
          <w:sz w:val="21"/>
          <w:szCs w:val="21"/>
        </w:rPr>
      </w:pPr>
      <w:r w:rsidRPr="00BF3102">
        <w:rPr>
          <w:rFonts w:ascii="Georgia" w:eastAsia="Calibri" w:hAnsi="Georgia"/>
          <w:sz w:val="21"/>
          <w:szCs w:val="21"/>
        </w:rPr>
        <w:lastRenderedPageBreak/>
        <w:t xml:space="preserve">La formation du personnel à l’exploitation de l’ensemble des installations conformément aux CT </w:t>
      </w:r>
    </w:p>
    <w:p w14:paraId="290F91D3" w14:textId="77777777" w:rsidR="00BF3102" w:rsidRDefault="00BF3102" w:rsidP="00BF3102">
      <w:pPr>
        <w:spacing w:after="180"/>
        <w:jc w:val="center"/>
        <w:rPr>
          <w:rFonts w:ascii="Georgia" w:hAnsi="Georgia"/>
          <w:b/>
          <w:bCs/>
          <w:sz w:val="32"/>
          <w:szCs w:val="32"/>
          <w:lang w:val="fr-BE"/>
        </w:rPr>
      </w:pPr>
    </w:p>
    <w:p w14:paraId="555A068C" w14:textId="77777777" w:rsidR="00BF3102" w:rsidRDefault="00BF3102" w:rsidP="00BF3102">
      <w:pPr>
        <w:spacing w:after="180"/>
        <w:jc w:val="center"/>
        <w:rPr>
          <w:rFonts w:ascii="Georgia" w:hAnsi="Georgia"/>
          <w:b/>
          <w:bCs/>
          <w:sz w:val="32"/>
          <w:szCs w:val="32"/>
          <w:lang w:val="fr-BE"/>
        </w:rPr>
      </w:pPr>
    </w:p>
    <w:p w14:paraId="79B9F9DB" w14:textId="77777777" w:rsidR="00BF3102" w:rsidRDefault="00BF3102" w:rsidP="00BF3102">
      <w:pPr>
        <w:spacing w:after="180"/>
        <w:jc w:val="center"/>
        <w:rPr>
          <w:rFonts w:ascii="Georgia" w:hAnsi="Georgia"/>
          <w:b/>
          <w:bCs/>
          <w:sz w:val="32"/>
          <w:szCs w:val="32"/>
          <w:lang w:val="fr-BE"/>
        </w:rPr>
      </w:pPr>
    </w:p>
    <w:p w14:paraId="6EB32DF5" w14:textId="77777777" w:rsidR="00BF3102" w:rsidRDefault="00BF3102" w:rsidP="00BF3102">
      <w:pPr>
        <w:spacing w:after="180"/>
        <w:jc w:val="center"/>
        <w:rPr>
          <w:rFonts w:ascii="Georgia" w:hAnsi="Georgia"/>
          <w:b/>
          <w:bCs/>
          <w:sz w:val="32"/>
          <w:szCs w:val="32"/>
          <w:lang w:val="fr-BE"/>
        </w:rPr>
      </w:pPr>
    </w:p>
    <w:p w14:paraId="6AF70351" w14:textId="77777777" w:rsidR="00BF3102" w:rsidRDefault="00BF3102" w:rsidP="00BF3102">
      <w:pPr>
        <w:spacing w:after="180"/>
        <w:jc w:val="center"/>
        <w:rPr>
          <w:rFonts w:ascii="Georgia" w:hAnsi="Georgia"/>
          <w:b/>
          <w:bCs/>
          <w:sz w:val="32"/>
          <w:szCs w:val="32"/>
          <w:lang w:val="fr-BE"/>
        </w:rPr>
      </w:pPr>
    </w:p>
    <w:p w14:paraId="2147293F" w14:textId="77777777" w:rsidR="00BF3102" w:rsidRDefault="00BF3102" w:rsidP="00BF3102">
      <w:pPr>
        <w:spacing w:after="180"/>
        <w:jc w:val="center"/>
        <w:rPr>
          <w:rFonts w:ascii="Georgia" w:hAnsi="Georgia"/>
          <w:b/>
          <w:bCs/>
          <w:sz w:val="32"/>
          <w:szCs w:val="32"/>
          <w:lang w:val="fr-BE"/>
        </w:rPr>
      </w:pPr>
    </w:p>
    <w:p w14:paraId="4206223D" w14:textId="77777777" w:rsidR="00BF3102" w:rsidRDefault="00BF3102" w:rsidP="00BF3102">
      <w:pPr>
        <w:spacing w:after="180"/>
        <w:jc w:val="center"/>
        <w:rPr>
          <w:rFonts w:ascii="Georgia" w:hAnsi="Georgia"/>
          <w:b/>
          <w:bCs/>
          <w:sz w:val="32"/>
          <w:szCs w:val="32"/>
          <w:lang w:val="fr-BE"/>
        </w:rPr>
      </w:pPr>
    </w:p>
    <w:p w14:paraId="005C5B86" w14:textId="77777777" w:rsidR="00BF3102" w:rsidRDefault="00BF3102" w:rsidP="00BF3102">
      <w:pPr>
        <w:spacing w:after="180"/>
        <w:jc w:val="center"/>
        <w:rPr>
          <w:rFonts w:ascii="Georgia" w:hAnsi="Georgia"/>
          <w:b/>
          <w:bCs/>
          <w:sz w:val="32"/>
          <w:szCs w:val="32"/>
          <w:lang w:val="fr-BE"/>
        </w:rPr>
      </w:pPr>
    </w:p>
    <w:p w14:paraId="722FE397" w14:textId="77777777" w:rsidR="00BF3102" w:rsidRDefault="00BF3102" w:rsidP="00BF3102">
      <w:pPr>
        <w:spacing w:after="180"/>
        <w:jc w:val="center"/>
        <w:rPr>
          <w:rFonts w:ascii="Georgia" w:hAnsi="Georgia"/>
          <w:b/>
          <w:bCs/>
          <w:sz w:val="32"/>
          <w:szCs w:val="32"/>
          <w:lang w:val="fr-BE"/>
        </w:rPr>
      </w:pPr>
    </w:p>
    <w:p w14:paraId="323B15BD" w14:textId="77777777" w:rsidR="00BF3102" w:rsidRDefault="00BF3102" w:rsidP="00BF3102">
      <w:pPr>
        <w:spacing w:after="180"/>
        <w:jc w:val="center"/>
        <w:rPr>
          <w:rFonts w:ascii="Georgia" w:hAnsi="Georgia"/>
          <w:b/>
          <w:bCs/>
          <w:sz w:val="32"/>
          <w:szCs w:val="32"/>
          <w:lang w:val="fr-BE"/>
        </w:rPr>
      </w:pPr>
    </w:p>
    <w:p w14:paraId="1FBDBB85" w14:textId="77777777" w:rsidR="00BF3102" w:rsidRDefault="00BF3102" w:rsidP="00BF3102">
      <w:pPr>
        <w:spacing w:after="180"/>
        <w:jc w:val="center"/>
        <w:rPr>
          <w:rFonts w:ascii="Georgia" w:hAnsi="Georgia"/>
          <w:b/>
          <w:bCs/>
          <w:sz w:val="32"/>
          <w:szCs w:val="32"/>
          <w:lang w:val="fr-BE"/>
        </w:rPr>
      </w:pPr>
    </w:p>
    <w:p w14:paraId="4CCF9836" w14:textId="77777777" w:rsidR="00BF3102" w:rsidRDefault="00BF3102" w:rsidP="00BF3102">
      <w:pPr>
        <w:spacing w:after="180"/>
        <w:jc w:val="center"/>
        <w:rPr>
          <w:rFonts w:ascii="Georgia" w:hAnsi="Georgia"/>
          <w:b/>
          <w:bCs/>
          <w:sz w:val="32"/>
          <w:szCs w:val="32"/>
          <w:lang w:val="fr-BE"/>
        </w:rPr>
      </w:pPr>
    </w:p>
    <w:p w14:paraId="530F209D" w14:textId="77777777" w:rsidR="00BF3102" w:rsidRDefault="00BF3102" w:rsidP="00BF3102">
      <w:pPr>
        <w:spacing w:after="180"/>
        <w:jc w:val="center"/>
        <w:rPr>
          <w:rFonts w:ascii="Georgia" w:hAnsi="Georgia"/>
          <w:b/>
          <w:bCs/>
          <w:sz w:val="32"/>
          <w:szCs w:val="32"/>
          <w:lang w:val="fr-BE"/>
        </w:rPr>
      </w:pPr>
    </w:p>
    <w:p w14:paraId="06630E71" w14:textId="77777777" w:rsidR="00BF3102" w:rsidRDefault="00BF3102" w:rsidP="00BF3102">
      <w:pPr>
        <w:spacing w:after="180"/>
        <w:jc w:val="center"/>
        <w:rPr>
          <w:rFonts w:ascii="Georgia" w:hAnsi="Georgia"/>
          <w:b/>
          <w:bCs/>
          <w:sz w:val="32"/>
          <w:szCs w:val="32"/>
          <w:lang w:val="fr-BE"/>
        </w:rPr>
      </w:pPr>
    </w:p>
    <w:p w14:paraId="212DABA4" w14:textId="77777777" w:rsidR="00BF3102" w:rsidRDefault="00BF3102" w:rsidP="00BF3102">
      <w:pPr>
        <w:spacing w:after="180"/>
        <w:jc w:val="center"/>
        <w:rPr>
          <w:rFonts w:ascii="Georgia" w:hAnsi="Georgia"/>
          <w:b/>
          <w:bCs/>
          <w:sz w:val="32"/>
          <w:szCs w:val="32"/>
          <w:lang w:val="fr-BE"/>
        </w:rPr>
      </w:pPr>
    </w:p>
    <w:p w14:paraId="701E7AF5" w14:textId="77777777" w:rsidR="00BF3102" w:rsidRDefault="00BF3102" w:rsidP="00BF3102">
      <w:pPr>
        <w:spacing w:after="180"/>
        <w:jc w:val="center"/>
        <w:rPr>
          <w:rFonts w:ascii="Georgia" w:hAnsi="Georgia"/>
          <w:b/>
          <w:bCs/>
          <w:sz w:val="32"/>
          <w:szCs w:val="32"/>
          <w:lang w:val="fr-BE"/>
        </w:rPr>
      </w:pPr>
    </w:p>
    <w:p w14:paraId="5C5FF4AD" w14:textId="77777777" w:rsidR="00BF3102" w:rsidRDefault="00BF3102" w:rsidP="00BF3102">
      <w:pPr>
        <w:spacing w:after="180"/>
        <w:jc w:val="center"/>
        <w:rPr>
          <w:rFonts w:ascii="Georgia" w:hAnsi="Georgia"/>
          <w:b/>
          <w:bCs/>
          <w:sz w:val="32"/>
          <w:szCs w:val="32"/>
          <w:lang w:val="fr-BE"/>
        </w:rPr>
      </w:pPr>
    </w:p>
    <w:p w14:paraId="683A6B6F" w14:textId="77777777" w:rsidR="00BF3102" w:rsidRDefault="00BF3102" w:rsidP="00BF3102">
      <w:pPr>
        <w:spacing w:after="180"/>
        <w:jc w:val="center"/>
        <w:rPr>
          <w:rFonts w:ascii="Georgia" w:hAnsi="Georgia"/>
          <w:b/>
          <w:bCs/>
          <w:sz w:val="32"/>
          <w:szCs w:val="32"/>
          <w:lang w:val="fr-BE"/>
        </w:rPr>
      </w:pPr>
    </w:p>
    <w:p w14:paraId="24387251" w14:textId="77777777" w:rsidR="00BF3102" w:rsidRDefault="00BF3102" w:rsidP="00BF3102">
      <w:pPr>
        <w:spacing w:after="180"/>
        <w:jc w:val="center"/>
        <w:rPr>
          <w:rFonts w:ascii="Georgia" w:hAnsi="Georgia"/>
          <w:b/>
          <w:bCs/>
          <w:sz w:val="32"/>
          <w:szCs w:val="32"/>
          <w:lang w:val="fr-BE"/>
        </w:rPr>
      </w:pPr>
    </w:p>
    <w:p w14:paraId="248663F8" w14:textId="77777777" w:rsidR="00BF3102" w:rsidRDefault="00BF3102" w:rsidP="00BF3102">
      <w:pPr>
        <w:spacing w:after="180"/>
        <w:jc w:val="center"/>
        <w:rPr>
          <w:rFonts w:ascii="Georgia" w:hAnsi="Georgia"/>
          <w:b/>
          <w:bCs/>
          <w:sz w:val="32"/>
          <w:szCs w:val="32"/>
          <w:lang w:val="fr-BE"/>
        </w:rPr>
      </w:pPr>
    </w:p>
    <w:p w14:paraId="52B5F311" w14:textId="77777777" w:rsidR="00BF3102" w:rsidRDefault="00BF3102" w:rsidP="00BF3102">
      <w:pPr>
        <w:spacing w:after="180"/>
        <w:jc w:val="center"/>
        <w:rPr>
          <w:rFonts w:ascii="Georgia" w:hAnsi="Georgia"/>
          <w:b/>
          <w:bCs/>
          <w:sz w:val="32"/>
          <w:szCs w:val="32"/>
          <w:lang w:val="fr-BE"/>
        </w:rPr>
      </w:pPr>
    </w:p>
    <w:p w14:paraId="293AA214" w14:textId="77777777" w:rsidR="00BF3102" w:rsidRDefault="00BF3102" w:rsidP="00BF3102">
      <w:pPr>
        <w:spacing w:after="180"/>
        <w:jc w:val="center"/>
        <w:rPr>
          <w:rFonts w:ascii="Georgia" w:hAnsi="Georgia"/>
          <w:b/>
          <w:bCs/>
          <w:sz w:val="32"/>
          <w:szCs w:val="32"/>
          <w:lang w:val="fr-BE"/>
        </w:rPr>
      </w:pPr>
    </w:p>
    <w:p w14:paraId="49689702" w14:textId="77777777" w:rsidR="00BF3102" w:rsidRPr="00A2162B" w:rsidRDefault="00BF3102" w:rsidP="00BF3102">
      <w:pPr>
        <w:spacing w:after="180"/>
        <w:jc w:val="center"/>
        <w:rPr>
          <w:rFonts w:ascii="Georgia" w:hAnsi="Georgia"/>
          <w:b/>
          <w:bCs/>
          <w:sz w:val="32"/>
          <w:szCs w:val="32"/>
          <w:lang w:val="fr-BE"/>
        </w:rPr>
      </w:pPr>
      <w:r w:rsidRPr="00A2162B">
        <w:rPr>
          <w:rFonts w:ascii="Georgia" w:hAnsi="Georgia"/>
          <w:b/>
          <w:bCs/>
          <w:sz w:val="32"/>
          <w:szCs w:val="32"/>
          <w:lang w:val="fr-BE"/>
        </w:rPr>
        <w:t>Bordereau des prix unitaires</w:t>
      </w:r>
    </w:p>
    <w:p w14:paraId="4C75F4FA" w14:textId="77777777" w:rsidR="00BF3102" w:rsidRDefault="00BF3102" w:rsidP="00BF3102">
      <w:pPr>
        <w:jc w:val="center"/>
        <w:rPr>
          <w:rFonts w:ascii="Georgia" w:hAnsi="Georgia"/>
          <w:b/>
          <w:bCs/>
          <w:sz w:val="28"/>
          <w:szCs w:val="28"/>
          <w:lang w:val="fr-BE"/>
        </w:rPr>
      </w:pPr>
      <w:r>
        <w:rPr>
          <w:rFonts w:ascii="Georgia" w:hAnsi="Georgia"/>
          <w:b/>
          <w:bCs/>
          <w:sz w:val="28"/>
          <w:szCs w:val="28"/>
          <w:lang w:val="fr-BE"/>
        </w:rPr>
        <w:lastRenderedPageBreak/>
        <w:t>Tous les lots</w:t>
      </w:r>
    </w:p>
    <w:tbl>
      <w:tblPr>
        <w:tblW w:w="10120" w:type="dxa"/>
        <w:tblCellMar>
          <w:left w:w="70" w:type="dxa"/>
          <w:right w:w="70" w:type="dxa"/>
        </w:tblCellMar>
        <w:tblLook w:val="04A0" w:firstRow="1" w:lastRow="0" w:firstColumn="1" w:lastColumn="0" w:noHBand="0" w:noVBand="1"/>
      </w:tblPr>
      <w:tblGrid>
        <w:gridCol w:w="1240"/>
        <w:gridCol w:w="5160"/>
        <w:gridCol w:w="1240"/>
        <w:gridCol w:w="1240"/>
        <w:gridCol w:w="1240"/>
      </w:tblGrid>
      <w:tr w:rsidR="00BF3102" w:rsidRPr="008C00E5" w14:paraId="1B58C555" w14:textId="77777777" w:rsidTr="00356396">
        <w:trPr>
          <w:trHeight w:val="288"/>
        </w:trPr>
        <w:tc>
          <w:tcPr>
            <w:tcW w:w="1240" w:type="dxa"/>
            <w:vMerge w:val="restart"/>
            <w:tcBorders>
              <w:top w:val="single" w:sz="4" w:space="0" w:color="auto"/>
              <w:left w:val="single" w:sz="4" w:space="0" w:color="auto"/>
              <w:bottom w:val="single" w:sz="4" w:space="0" w:color="auto"/>
              <w:right w:val="single" w:sz="4" w:space="0" w:color="auto"/>
            </w:tcBorders>
            <w:shd w:val="clear" w:color="000000" w:fill="000066"/>
            <w:vAlign w:val="center"/>
            <w:hideMark/>
          </w:tcPr>
          <w:p w14:paraId="6443FF13" w14:textId="77777777" w:rsidR="00BF3102" w:rsidRPr="008C00E5" w:rsidRDefault="00BF3102" w:rsidP="00356396">
            <w:pPr>
              <w:spacing w:after="0" w:line="240" w:lineRule="auto"/>
              <w:jc w:val="center"/>
              <w:rPr>
                <w:rFonts w:ascii="Georgia" w:eastAsia="Times New Roman" w:hAnsi="Georgia" w:cs="Calibri"/>
                <w:color w:val="FFFFFF"/>
                <w:sz w:val="20"/>
                <w:szCs w:val="20"/>
                <w:lang w:val="fr-FR" w:eastAsia="fr-FR"/>
              </w:rPr>
            </w:pPr>
            <w:r w:rsidRPr="008C00E5">
              <w:rPr>
                <w:rFonts w:ascii="Georgia" w:eastAsia="Times New Roman" w:hAnsi="Georgia" w:cs="Calibri"/>
                <w:color w:val="FFFFFF"/>
                <w:sz w:val="20"/>
                <w:szCs w:val="20"/>
                <w:lang w:val="fr-FR" w:eastAsia="fr-FR"/>
              </w:rPr>
              <w:t>N°</w:t>
            </w:r>
          </w:p>
        </w:tc>
        <w:tc>
          <w:tcPr>
            <w:tcW w:w="5160" w:type="dxa"/>
            <w:vMerge w:val="restart"/>
            <w:tcBorders>
              <w:top w:val="single" w:sz="4" w:space="0" w:color="auto"/>
              <w:left w:val="single" w:sz="4" w:space="0" w:color="auto"/>
              <w:bottom w:val="single" w:sz="4" w:space="0" w:color="auto"/>
              <w:right w:val="single" w:sz="4" w:space="0" w:color="auto"/>
            </w:tcBorders>
            <w:shd w:val="clear" w:color="000000" w:fill="000066"/>
            <w:vAlign w:val="center"/>
            <w:hideMark/>
          </w:tcPr>
          <w:p w14:paraId="1F9D5718" w14:textId="77777777" w:rsidR="00BF3102" w:rsidRPr="008C00E5" w:rsidRDefault="00BF3102" w:rsidP="00356396">
            <w:pPr>
              <w:spacing w:after="0" w:line="240" w:lineRule="auto"/>
              <w:jc w:val="center"/>
              <w:rPr>
                <w:rFonts w:ascii="Georgia" w:eastAsia="Times New Roman" w:hAnsi="Georgia" w:cs="Calibri"/>
                <w:color w:val="FFFFFF"/>
                <w:sz w:val="20"/>
                <w:szCs w:val="20"/>
                <w:lang w:val="fr-FR" w:eastAsia="fr-FR"/>
              </w:rPr>
            </w:pPr>
            <w:r w:rsidRPr="008C00E5">
              <w:rPr>
                <w:rFonts w:ascii="Georgia" w:eastAsia="Times New Roman" w:hAnsi="Georgia" w:cs="Calibri"/>
                <w:color w:val="FFFFFF"/>
                <w:sz w:val="20"/>
                <w:szCs w:val="20"/>
                <w:lang w:val="fr-FR" w:eastAsia="fr-FR"/>
              </w:rPr>
              <w:t>Désignation</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000066"/>
            <w:noWrap/>
            <w:vAlign w:val="center"/>
            <w:hideMark/>
          </w:tcPr>
          <w:p w14:paraId="7222E95D" w14:textId="77777777" w:rsidR="00BF3102" w:rsidRPr="008C00E5" w:rsidRDefault="00BF3102" w:rsidP="00356396">
            <w:pPr>
              <w:spacing w:after="0" w:line="240" w:lineRule="auto"/>
              <w:jc w:val="center"/>
              <w:rPr>
                <w:rFonts w:ascii="Georgia" w:eastAsia="Times New Roman" w:hAnsi="Georgia" w:cs="Calibri"/>
                <w:color w:val="FFFFFF"/>
                <w:sz w:val="20"/>
                <w:szCs w:val="20"/>
                <w:lang w:val="fr-FR" w:eastAsia="fr-FR"/>
              </w:rPr>
            </w:pPr>
            <w:r w:rsidRPr="008C00E5">
              <w:rPr>
                <w:rFonts w:ascii="Georgia" w:eastAsia="Times New Roman" w:hAnsi="Georgia" w:cs="Calibri"/>
                <w:color w:val="FFFFFF"/>
                <w:sz w:val="20"/>
                <w:szCs w:val="20"/>
                <w:lang w:val="fr-FR" w:eastAsia="fr-FR"/>
              </w:rPr>
              <w:t>Unité</w:t>
            </w:r>
          </w:p>
        </w:tc>
        <w:tc>
          <w:tcPr>
            <w:tcW w:w="1240" w:type="dxa"/>
            <w:tcBorders>
              <w:top w:val="single" w:sz="4" w:space="0" w:color="auto"/>
              <w:left w:val="nil"/>
              <w:bottom w:val="single" w:sz="4" w:space="0" w:color="auto"/>
              <w:right w:val="single" w:sz="4" w:space="0" w:color="auto"/>
            </w:tcBorders>
            <w:shd w:val="clear" w:color="000000" w:fill="000066"/>
            <w:vAlign w:val="center"/>
            <w:hideMark/>
          </w:tcPr>
          <w:p w14:paraId="405F9716" w14:textId="77777777" w:rsidR="00BF3102" w:rsidRPr="008C00E5" w:rsidRDefault="00BF3102" w:rsidP="00356396">
            <w:pPr>
              <w:spacing w:after="0" w:line="240" w:lineRule="auto"/>
              <w:jc w:val="center"/>
              <w:rPr>
                <w:rFonts w:ascii="Georgia" w:eastAsia="Times New Roman" w:hAnsi="Georgia" w:cs="Calibri"/>
                <w:color w:val="FFFFFF"/>
                <w:sz w:val="20"/>
                <w:szCs w:val="20"/>
                <w:lang w:val="fr-FR" w:eastAsia="fr-FR"/>
              </w:rPr>
            </w:pPr>
            <w:r w:rsidRPr="008C00E5">
              <w:rPr>
                <w:rFonts w:ascii="Georgia" w:eastAsia="Times New Roman" w:hAnsi="Georgia" w:cs="Calibri"/>
                <w:color w:val="FFFFFF"/>
                <w:sz w:val="20"/>
                <w:szCs w:val="20"/>
                <w:lang w:val="fr-FR" w:eastAsia="fr-FR"/>
              </w:rPr>
              <w:t>P. U</w:t>
            </w:r>
          </w:p>
        </w:tc>
        <w:tc>
          <w:tcPr>
            <w:tcW w:w="1240" w:type="dxa"/>
            <w:tcBorders>
              <w:top w:val="single" w:sz="4" w:space="0" w:color="auto"/>
              <w:left w:val="nil"/>
              <w:bottom w:val="single" w:sz="4" w:space="0" w:color="auto"/>
              <w:right w:val="single" w:sz="4" w:space="0" w:color="auto"/>
            </w:tcBorders>
            <w:shd w:val="clear" w:color="000000" w:fill="000066"/>
            <w:vAlign w:val="center"/>
            <w:hideMark/>
          </w:tcPr>
          <w:p w14:paraId="2E33FC0A" w14:textId="77777777" w:rsidR="00BF3102" w:rsidRPr="008C00E5" w:rsidRDefault="00BF3102" w:rsidP="00356396">
            <w:pPr>
              <w:spacing w:after="0" w:line="240" w:lineRule="auto"/>
              <w:jc w:val="center"/>
              <w:rPr>
                <w:rFonts w:ascii="Georgia" w:eastAsia="Times New Roman" w:hAnsi="Georgia" w:cs="Calibri"/>
                <w:color w:val="FFFFFF"/>
                <w:sz w:val="20"/>
                <w:szCs w:val="20"/>
                <w:lang w:val="fr-FR" w:eastAsia="fr-FR"/>
              </w:rPr>
            </w:pPr>
            <w:r w:rsidRPr="008C00E5">
              <w:rPr>
                <w:rFonts w:ascii="Georgia" w:eastAsia="Times New Roman" w:hAnsi="Georgia" w:cs="Calibri"/>
                <w:color w:val="FFFFFF"/>
                <w:sz w:val="20"/>
                <w:szCs w:val="20"/>
                <w:lang w:val="fr-FR" w:eastAsia="fr-FR"/>
              </w:rPr>
              <w:t>P. U</w:t>
            </w:r>
          </w:p>
        </w:tc>
      </w:tr>
      <w:tr w:rsidR="00BF3102" w:rsidRPr="008C00E5" w14:paraId="740ABECC" w14:textId="77777777" w:rsidTr="00356396">
        <w:trPr>
          <w:trHeight w:val="288"/>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3796FC1C" w14:textId="77777777" w:rsidR="00BF3102" w:rsidRPr="008C00E5" w:rsidRDefault="00BF3102" w:rsidP="00356396">
            <w:pPr>
              <w:spacing w:after="0" w:line="240" w:lineRule="auto"/>
              <w:rPr>
                <w:rFonts w:ascii="Georgia" w:eastAsia="Times New Roman" w:hAnsi="Georgia" w:cs="Calibri"/>
                <w:color w:val="FFFFFF"/>
                <w:sz w:val="20"/>
                <w:szCs w:val="20"/>
                <w:lang w:val="fr-FR" w:eastAsia="fr-FR"/>
              </w:rPr>
            </w:pPr>
          </w:p>
        </w:tc>
        <w:tc>
          <w:tcPr>
            <w:tcW w:w="5160" w:type="dxa"/>
            <w:vMerge/>
            <w:tcBorders>
              <w:top w:val="single" w:sz="4" w:space="0" w:color="auto"/>
              <w:left w:val="single" w:sz="4" w:space="0" w:color="auto"/>
              <w:bottom w:val="single" w:sz="4" w:space="0" w:color="auto"/>
              <w:right w:val="single" w:sz="4" w:space="0" w:color="auto"/>
            </w:tcBorders>
            <w:vAlign w:val="center"/>
            <w:hideMark/>
          </w:tcPr>
          <w:p w14:paraId="36529AC9" w14:textId="77777777" w:rsidR="00BF3102" w:rsidRPr="008C00E5" w:rsidRDefault="00BF3102" w:rsidP="00356396">
            <w:pPr>
              <w:spacing w:after="0" w:line="240" w:lineRule="auto"/>
              <w:rPr>
                <w:rFonts w:ascii="Georgia" w:eastAsia="Times New Roman" w:hAnsi="Georgia" w:cs="Calibri"/>
                <w:color w:val="FFFFFF"/>
                <w:sz w:val="20"/>
                <w:szCs w:val="20"/>
                <w:lang w:val="fr-FR" w:eastAsia="fr-FR"/>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A08D7FB" w14:textId="77777777" w:rsidR="00BF3102" w:rsidRPr="008C00E5" w:rsidRDefault="00BF3102" w:rsidP="00356396">
            <w:pPr>
              <w:spacing w:after="0" w:line="240" w:lineRule="auto"/>
              <w:rPr>
                <w:rFonts w:ascii="Georgia" w:eastAsia="Times New Roman" w:hAnsi="Georgia" w:cs="Calibri"/>
                <w:color w:val="FFFFFF"/>
                <w:sz w:val="20"/>
                <w:szCs w:val="20"/>
                <w:lang w:val="fr-FR" w:eastAsia="fr-FR"/>
              </w:rPr>
            </w:pPr>
          </w:p>
        </w:tc>
        <w:tc>
          <w:tcPr>
            <w:tcW w:w="1240" w:type="dxa"/>
            <w:tcBorders>
              <w:top w:val="nil"/>
              <w:left w:val="nil"/>
              <w:bottom w:val="single" w:sz="4" w:space="0" w:color="auto"/>
              <w:right w:val="single" w:sz="4" w:space="0" w:color="auto"/>
            </w:tcBorders>
            <w:shd w:val="clear" w:color="000000" w:fill="000066"/>
            <w:vAlign w:val="center"/>
            <w:hideMark/>
          </w:tcPr>
          <w:p w14:paraId="60526C2F" w14:textId="77777777" w:rsidR="00BF3102" w:rsidRPr="008C00E5" w:rsidRDefault="00BF3102" w:rsidP="00356396">
            <w:pPr>
              <w:spacing w:after="0" w:line="240" w:lineRule="auto"/>
              <w:jc w:val="center"/>
              <w:rPr>
                <w:rFonts w:ascii="Georgia" w:eastAsia="Times New Roman" w:hAnsi="Georgia" w:cs="Calibri"/>
                <w:color w:val="FFFFFF"/>
                <w:sz w:val="20"/>
                <w:szCs w:val="20"/>
                <w:lang w:val="fr-FR" w:eastAsia="fr-FR"/>
              </w:rPr>
            </w:pPr>
            <w:r w:rsidRPr="008C00E5">
              <w:rPr>
                <w:rFonts w:ascii="Georgia" w:eastAsia="Times New Roman" w:hAnsi="Georgia" w:cs="Calibri"/>
                <w:color w:val="FFFFFF"/>
                <w:sz w:val="20"/>
                <w:szCs w:val="20"/>
                <w:lang w:val="fr-FR" w:eastAsia="fr-FR"/>
              </w:rPr>
              <w:t>En chiffre</w:t>
            </w:r>
          </w:p>
        </w:tc>
        <w:tc>
          <w:tcPr>
            <w:tcW w:w="1240" w:type="dxa"/>
            <w:tcBorders>
              <w:top w:val="nil"/>
              <w:left w:val="nil"/>
              <w:bottom w:val="single" w:sz="4" w:space="0" w:color="auto"/>
              <w:right w:val="single" w:sz="4" w:space="0" w:color="auto"/>
            </w:tcBorders>
            <w:shd w:val="clear" w:color="000000" w:fill="000066"/>
            <w:vAlign w:val="center"/>
            <w:hideMark/>
          </w:tcPr>
          <w:p w14:paraId="550D2329" w14:textId="77777777" w:rsidR="00BF3102" w:rsidRPr="008C00E5" w:rsidRDefault="00BF3102" w:rsidP="00356396">
            <w:pPr>
              <w:spacing w:after="0" w:line="240" w:lineRule="auto"/>
              <w:jc w:val="center"/>
              <w:rPr>
                <w:rFonts w:ascii="Georgia" w:eastAsia="Times New Roman" w:hAnsi="Georgia" w:cs="Calibri"/>
                <w:color w:val="FFFFFF"/>
                <w:sz w:val="20"/>
                <w:szCs w:val="20"/>
                <w:lang w:val="fr-FR" w:eastAsia="fr-FR"/>
              </w:rPr>
            </w:pPr>
            <w:r w:rsidRPr="008C00E5">
              <w:rPr>
                <w:rFonts w:ascii="Georgia" w:eastAsia="Times New Roman" w:hAnsi="Georgia" w:cs="Calibri"/>
                <w:color w:val="FFFFFF"/>
                <w:sz w:val="20"/>
                <w:szCs w:val="20"/>
                <w:lang w:val="fr-FR" w:eastAsia="fr-FR"/>
              </w:rPr>
              <w:t>En lettre</w:t>
            </w:r>
          </w:p>
        </w:tc>
      </w:tr>
      <w:tr w:rsidR="00BF3102" w:rsidRPr="008C00E5" w14:paraId="216670AE" w14:textId="77777777" w:rsidTr="00356396">
        <w:trPr>
          <w:trHeight w:val="288"/>
        </w:trPr>
        <w:tc>
          <w:tcPr>
            <w:tcW w:w="1240" w:type="dxa"/>
            <w:tcBorders>
              <w:top w:val="nil"/>
              <w:left w:val="single" w:sz="4" w:space="0" w:color="auto"/>
              <w:bottom w:val="single" w:sz="4" w:space="0" w:color="auto"/>
              <w:right w:val="single" w:sz="4" w:space="0" w:color="auto"/>
            </w:tcBorders>
            <w:shd w:val="clear" w:color="000000" w:fill="F7CAAC"/>
            <w:vAlign w:val="center"/>
            <w:hideMark/>
          </w:tcPr>
          <w:p w14:paraId="5B468F52" w14:textId="77777777" w:rsidR="00BF3102" w:rsidRPr="008C00E5" w:rsidRDefault="00BF3102" w:rsidP="00356396">
            <w:pPr>
              <w:spacing w:after="0" w:line="240" w:lineRule="auto"/>
              <w:jc w:val="center"/>
              <w:rPr>
                <w:rFonts w:ascii="Georgia" w:eastAsia="Times New Roman" w:hAnsi="Georgia" w:cs="Calibri"/>
                <w:b/>
                <w:bCs/>
                <w:color w:val="000000"/>
                <w:sz w:val="20"/>
                <w:szCs w:val="20"/>
                <w:lang w:val="fr-FR" w:eastAsia="fr-FR"/>
              </w:rPr>
            </w:pPr>
            <w:r w:rsidRPr="008C00E5">
              <w:rPr>
                <w:rFonts w:ascii="Georgia" w:eastAsia="Times New Roman" w:hAnsi="Georgia" w:cs="Calibri"/>
                <w:b/>
                <w:bCs/>
                <w:color w:val="000000"/>
                <w:sz w:val="20"/>
                <w:szCs w:val="20"/>
                <w:lang w:val="fr-FR" w:eastAsia="fr-FR"/>
              </w:rPr>
              <w:t>1</w:t>
            </w:r>
          </w:p>
        </w:tc>
        <w:tc>
          <w:tcPr>
            <w:tcW w:w="8880" w:type="dxa"/>
            <w:gridSpan w:val="4"/>
            <w:tcBorders>
              <w:top w:val="single" w:sz="4" w:space="0" w:color="auto"/>
              <w:left w:val="nil"/>
              <w:bottom w:val="single" w:sz="4" w:space="0" w:color="auto"/>
              <w:right w:val="single" w:sz="4" w:space="0" w:color="auto"/>
            </w:tcBorders>
            <w:shd w:val="clear" w:color="000000" w:fill="F7CAAC"/>
            <w:vAlign w:val="center"/>
            <w:hideMark/>
          </w:tcPr>
          <w:p w14:paraId="3CF51654" w14:textId="77777777" w:rsidR="00BF3102" w:rsidRPr="008C00E5" w:rsidRDefault="00BF3102" w:rsidP="00356396">
            <w:pPr>
              <w:spacing w:after="0" w:line="240" w:lineRule="auto"/>
              <w:rPr>
                <w:rFonts w:ascii="Georgia" w:eastAsia="Times New Roman" w:hAnsi="Georgia" w:cs="Calibri"/>
                <w:b/>
                <w:bCs/>
                <w:color w:val="000000"/>
                <w:sz w:val="20"/>
                <w:szCs w:val="20"/>
                <w:lang w:val="fr-FR" w:eastAsia="fr-FR"/>
              </w:rPr>
            </w:pPr>
            <w:r w:rsidRPr="008C00E5">
              <w:rPr>
                <w:rFonts w:ascii="Georgia" w:eastAsia="Times New Roman" w:hAnsi="Georgia" w:cs="Calibri"/>
                <w:b/>
                <w:bCs/>
                <w:color w:val="000000"/>
                <w:sz w:val="20"/>
                <w:szCs w:val="20"/>
                <w:lang w:val="fr-FR" w:eastAsia="fr-FR"/>
              </w:rPr>
              <w:t>Prix généraux</w:t>
            </w:r>
            <w:r w:rsidRPr="008C00E5">
              <w:rPr>
                <w:rFonts w:ascii="Arial" w:eastAsia="Times New Roman" w:hAnsi="Arial" w:cs="Arial"/>
                <w:color w:val="000000"/>
                <w:sz w:val="16"/>
                <w:szCs w:val="16"/>
                <w:lang w:val="fr-FR" w:eastAsia="fr-FR"/>
              </w:rPr>
              <w:t> </w:t>
            </w:r>
          </w:p>
        </w:tc>
      </w:tr>
      <w:tr w:rsidR="00BF3102" w:rsidRPr="008C00E5" w14:paraId="694803EB" w14:textId="77777777" w:rsidTr="00356396">
        <w:trPr>
          <w:trHeight w:val="78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1FD86B8"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1.1</w:t>
            </w:r>
          </w:p>
        </w:tc>
        <w:tc>
          <w:tcPr>
            <w:tcW w:w="5160" w:type="dxa"/>
            <w:tcBorders>
              <w:top w:val="nil"/>
              <w:left w:val="nil"/>
              <w:bottom w:val="single" w:sz="4" w:space="0" w:color="auto"/>
              <w:right w:val="single" w:sz="4" w:space="0" w:color="auto"/>
            </w:tcBorders>
            <w:shd w:val="clear" w:color="auto" w:fill="auto"/>
            <w:vAlign w:val="center"/>
            <w:hideMark/>
          </w:tcPr>
          <w:p w14:paraId="262633EF"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Amenée, nettoyage des emprises, installation générale des chantiers du lot 1 et mise en place d’une signalisation temporaire du chantier</w:t>
            </w:r>
          </w:p>
        </w:tc>
        <w:tc>
          <w:tcPr>
            <w:tcW w:w="1240" w:type="dxa"/>
            <w:tcBorders>
              <w:top w:val="nil"/>
              <w:left w:val="nil"/>
              <w:bottom w:val="single" w:sz="4" w:space="0" w:color="auto"/>
              <w:right w:val="single" w:sz="4" w:space="0" w:color="auto"/>
            </w:tcBorders>
            <w:shd w:val="clear" w:color="auto" w:fill="auto"/>
            <w:vAlign w:val="center"/>
            <w:hideMark/>
          </w:tcPr>
          <w:p w14:paraId="22A331AA"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Forfait</w:t>
            </w:r>
          </w:p>
        </w:tc>
        <w:tc>
          <w:tcPr>
            <w:tcW w:w="1240" w:type="dxa"/>
            <w:tcBorders>
              <w:top w:val="nil"/>
              <w:left w:val="nil"/>
              <w:bottom w:val="single" w:sz="4" w:space="0" w:color="auto"/>
              <w:right w:val="single" w:sz="4" w:space="0" w:color="auto"/>
            </w:tcBorders>
            <w:shd w:val="clear" w:color="auto" w:fill="auto"/>
            <w:noWrap/>
            <w:vAlign w:val="center"/>
            <w:hideMark/>
          </w:tcPr>
          <w:p w14:paraId="69B5186D"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 </w:t>
            </w:r>
          </w:p>
        </w:tc>
        <w:tc>
          <w:tcPr>
            <w:tcW w:w="1240" w:type="dxa"/>
            <w:tcBorders>
              <w:top w:val="nil"/>
              <w:left w:val="nil"/>
              <w:bottom w:val="single" w:sz="4" w:space="0" w:color="auto"/>
              <w:right w:val="single" w:sz="4" w:space="0" w:color="auto"/>
            </w:tcBorders>
            <w:shd w:val="clear" w:color="auto" w:fill="auto"/>
            <w:noWrap/>
            <w:vAlign w:val="center"/>
            <w:hideMark/>
          </w:tcPr>
          <w:p w14:paraId="63770D59"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 </w:t>
            </w:r>
          </w:p>
        </w:tc>
      </w:tr>
      <w:tr w:rsidR="00BF3102" w:rsidRPr="008C00E5" w14:paraId="391884AF" w14:textId="77777777" w:rsidTr="00356396">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ACB407E"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1.2</w:t>
            </w:r>
          </w:p>
        </w:tc>
        <w:tc>
          <w:tcPr>
            <w:tcW w:w="5160" w:type="dxa"/>
            <w:tcBorders>
              <w:top w:val="nil"/>
              <w:left w:val="nil"/>
              <w:bottom w:val="single" w:sz="4" w:space="0" w:color="auto"/>
              <w:right w:val="single" w:sz="4" w:space="0" w:color="auto"/>
            </w:tcBorders>
            <w:shd w:val="clear" w:color="auto" w:fill="auto"/>
            <w:noWrap/>
            <w:vAlign w:val="center"/>
            <w:hideMark/>
          </w:tcPr>
          <w:p w14:paraId="3275C763"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Nettoyage et repli général du chantier</w:t>
            </w:r>
          </w:p>
        </w:tc>
        <w:tc>
          <w:tcPr>
            <w:tcW w:w="1240" w:type="dxa"/>
            <w:tcBorders>
              <w:top w:val="nil"/>
              <w:left w:val="nil"/>
              <w:bottom w:val="single" w:sz="4" w:space="0" w:color="auto"/>
              <w:right w:val="single" w:sz="4" w:space="0" w:color="auto"/>
            </w:tcBorders>
            <w:shd w:val="clear" w:color="auto" w:fill="auto"/>
            <w:vAlign w:val="center"/>
            <w:hideMark/>
          </w:tcPr>
          <w:p w14:paraId="6B6F01D8"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Forfait</w:t>
            </w:r>
          </w:p>
        </w:tc>
        <w:tc>
          <w:tcPr>
            <w:tcW w:w="1240" w:type="dxa"/>
            <w:tcBorders>
              <w:top w:val="nil"/>
              <w:left w:val="nil"/>
              <w:bottom w:val="single" w:sz="4" w:space="0" w:color="auto"/>
              <w:right w:val="single" w:sz="4" w:space="0" w:color="auto"/>
            </w:tcBorders>
            <w:shd w:val="clear" w:color="auto" w:fill="auto"/>
            <w:noWrap/>
            <w:vAlign w:val="center"/>
            <w:hideMark/>
          </w:tcPr>
          <w:p w14:paraId="1CA6B65B"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 </w:t>
            </w:r>
          </w:p>
        </w:tc>
        <w:tc>
          <w:tcPr>
            <w:tcW w:w="1240" w:type="dxa"/>
            <w:tcBorders>
              <w:top w:val="nil"/>
              <w:left w:val="nil"/>
              <w:bottom w:val="single" w:sz="4" w:space="0" w:color="auto"/>
              <w:right w:val="single" w:sz="4" w:space="0" w:color="auto"/>
            </w:tcBorders>
            <w:shd w:val="clear" w:color="auto" w:fill="auto"/>
            <w:noWrap/>
            <w:vAlign w:val="center"/>
            <w:hideMark/>
          </w:tcPr>
          <w:p w14:paraId="42AE7057"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 </w:t>
            </w:r>
          </w:p>
        </w:tc>
      </w:tr>
      <w:tr w:rsidR="00BF3102" w:rsidRPr="008C00E5" w14:paraId="724DEFB0" w14:textId="77777777" w:rsidTr="00356396">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CA7078F"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1.3</w:t>
            </w:r>
          </w:p>
        </w:tc>
        <w:tc>
          <w:tcPr>
            <w:tcW w:w="5160" w:type="dxa"/>
            <w:tcBorders>
              <w:top w:val="nil"/>
              <w:left w:val="nil"/>
              <w:bottom w:val="single" w:sz="4" w:space="0" w:color="auto"/>
              <w:right w:val="single" w:sz="4" w:space="0" w:color="auto"/>
            </w:tcBorders>
            <w:shd w:val="clear" w:color="auto" w:fill="auto"/>
            <w:noWrap/>
            <w:vAlign w:val="center"/>
            <w:hideMark/>
          </w:tcPr>
          <w:p w14:paraId="2ED9FEEC"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Implantation des ouvrages</w:t>
            </w:r>
          </w:p>
        </w:tc>
        <w:tc>
          <w:tcPr>
            <w:tcW w:w="1240" w:type="dxa"/>
            <w:tcBorders>
              <w:top w:val="nil"/>
              <w:left w:val="nil"/>
              <w:bottom w:val="single" w:sz="4" w:space="0" w:color="auto"/>
              <w:right w:val="single" w:sz="4" w:space="0" w:color="auto"/>
            </w:tcBorders>
            <w:shd w:val="clear" w:color="auto" w:fill="auto"/>
            <w:vAlign w:val="center"/>
            <w:hideMark/>
          </w:tcPr>
          <w:p w14:paraId="7C1574E1"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Forfait</w:t>
            </w:r>
          </w:p>
        </w:tc>
        <w:tc>
          <w:tcPr>
            <w:tcW w:w="1240" w:type="dxa"/>
            <w:tcBorders>
              <w:top w:val="nil"/>
              <w:left w:val="nil"/>
              <w:bottom w:val="single" w:sz="4" w:space="0" w:color="auto"/>
              <w:right w:val="single" w:sz="4" w:space="0" w:color="auto"/>
            </w:tcBorders>
            <w:shd w:val="clear" w:color="auto" w:fill="auto"/>
            <w:noWrap/>
            <w:vAlign w:val="center"/>
            <w:hideMark/>
          </w:tcPr>
          <w:p w14:paraId="5E31D113"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 </w:t>
            </w:r>
          </w:p>
        </w:tc>
        <w:tc>
          <w:tcPr>
            <w:tcW w:w="1240" w:type="dxa"/>
            <w:tcBorders>
              <w:top w:val="nil"/>
              <w:left w:val="nil"/>
              <w:bottom w:val="single" w:sz="4" w:space="0" w:color="auto"/>
              <w:right w:val="single" w:sz="4" w:space="0" w:color="auto"/>
            </w:tcBorders>
            <w:shd w:val="clear" w:color="auto" w:fill="auto"/>
            <w:noWrap/>
            <w:vAlign w:val="center"/>
            <w:hideMark/>
          </w:tcPr>
          <w:p w14:paraId="382EB120"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 </w:t>
            </w:r>
          </w:p>
        </w:tc>
      </w:tr>
      <w:tr w:rsidR="00BF3102" w:rsidRPr="008C00E5" w14:paraId="32E477AC" w14:textId="77777777" w:rsidTr="00356396">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2F135B0"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1.4</w:t>
            </w:r>
          </w:p>
        </w:tc>
        <w:tc>
          <w:tcPr>
            <w:tcW w:w="5160" w:type="dxa"/>
            <w:tcBorders>
              <w:top w:val="nil"/>
              <w:left w:val="nil"/>
              <w:bottom w:val="single" w:sz="4" w:space="0" w:color="auto"/>
              <w:right w:val="single" w:sz="4" w:space="0" w:color="auto"/>
            </w:tcBorders>
            <w:shd w:val="clear" w:color="auto" w:fill="auto"/>
            <w:noWrap/>
            <w:vAlign w:val="center"/>
            <w:hideMark/>
          </w:tcPr>
          <w:p w14:paraId="6AA5796D"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Dossier d'exécution et plan de récolement</w:t>
            </w:r>
          </w:p>
        </w:tc>
        <w:tc>
          <w:tcPr>
            <w:tcW w:w="1240" w:type="dxa"/>
            <w:tcBorders>
              <w:top w:val="nil"/>
              <w:left w:val="nil"/>
              <w:bottom w:val="single" w:sz="4" w:space="0" w:color="auto"/>
              <w:right w:val="single" w:sz="4" w:space="0" w:color="auto"/>
            </w:tcBorders>
            <w:shd w:val="clear" w:color="auto" w:fill="auto"/>
            <w:vAlign w:val="center"/>
            <w:hideMark/>
          </w:tcPr>
          <w:p w14:paraId="6930384A"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Forfait</w:t>
            </w:r>
          </w:p>
        </w:tc>
        <w:tc>
          <w:tcPr>
            <w:tcW w:w="1240" w:type="dxa"/>
            <w:tcBorders>
              <w:top w:val="nil"/>
              <w:left w:val="nil"/>
              <w:bottom w:val="single" w:sz="4" w:space="0" w:color="auto"/>
              <w:right w:val="single" w:sz="4" w:space="0" w:color="auto"/>
            </w:tcBorders>
            <w:shd w:val="clear" w:color="auto" w:fill="auto"/>
            <w:noWrap/>
            <w:vAlign w:val="center"/>
            <w:hideMark/>
          </w:tcPr>
          <w:p w14:paraId="79EC6C16"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 </w:t>
            </w:r>
          </w:p>
        </w:tc>
        <w:tc>
          <w:tcPr>
            <w:tcW w:w="1240" w:type="dxa"/>
            <w:tcBorders>
              <w:top w:val="nil"/>
              <w:left w:val="nil"/>
              <w:bottom w:val="single" w:sz="4" w:space="0" w:color="auto"/>
              <w:right w:val="single" w:sz="4" w:space="0" w:color="auto"/>
            </w:tcBorders>
            <w:shd w:val="clear" w:color="auto" w:fill="auto"/>
            <w:noWrap/>
            <w:vAlign w:val="center"/>
            <w:hideMark/>
          </w:tcPr>
          <w:p w14:paraId="7DFB75D5"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 </w:t>
            </w:r>
          </w:p>
        </w:tc>
      </w:tr>
      <w:tr w:rsidR="00BF3102" w:rsidRPr="008C00E5" w14:paraId="1AAB8A6A" w14:textId="77777777" w:rsidTr="00356396">
        <w:trPr>
          <w:trHeight w:val="288"/>
        </w:trPr>
        <w:tc>
          <w:tcPr>
            <w:tcW w:w="1240" w:type="dxa"/>
            <w:tcBorders>
              <w:top w:val="nil"/>
              <w:left w:val="single" w:sz="4" w:space="0" w:color="auto"/>
              <w:bottom w:val="single" w:sz="4" w:space="0" w:color="auto"/>
              <w:right w:val="single" w:sz="4" w:space="0" w:color="auto"/>
            </w:tcBorders>
            <w:shd w:val="clear" w:color="000000" w:fill="F7CAAC"/>
            <w:vAlign w:val="center"/>
            <w:hideMark/>
          </w:tcPr>
          <w:p w14:paraId="01CFCEBD" w14:textId="77777777" w:rsidR="00BF3102" w:rsidRPr="008C00E5" w:rsidRDefault="00BF3102" w:rsidP="00356396">
            <w:pPr>
              <w:spacing w:after="0" w:line="240" w:lineRule="auto"/>
              <w:jc w:val="center"/>
              <w:rPr>
                <w:rFonts w:ascii="Georgia" w:eastAsia="Times New Roman" w:hAnsi="Georgia" w:cs="Calibri"/>
                <w:b/>
                <w:bCs/>
                <w:color w:val="000000"/>
                <w:sz w:val="20"/>
                <w:szCs w:val="20"/>
                <w:lang w:val="fr-FR" w:eastAsia="fr-FR"/>
              </w:rPr>
            </w:pPr>
            <w:r w:rsidRPr="008C00E5">
              <w:rPr>
                <w:rFonts w:ascii="Georgia" w:eastAsia="Times New Roman" w:hAnsi="Georgia" w:cs="Calibri"/>
                <w:b/>
                <w:bCs/>
                <w:color w:val="000000"/>
                <w:sz w:val="20"/>
                <w:szCs w:val="20"/>
                <w:lang w:val="fr-FR" w:eastAsia="fr-FR"/>
              </w:rPr>
              <w:t>2</w:t>
            </w:r>
          </w:p>
        </w:tc>
        <w:tc>
          <w:tcPr>
            <w:tcW w:w="8880" w:type="dxa"/>
            <w:gridSpan w:val="4"/>
            <w:tcBorders>
              <w:top w:val="single" w:sz="4" w:space="0" w:color="auto"/>
              <w:left w:val="nil"/>
              <w:bottom w:val="single" w:sz="4" w:space="0" w:color="auto"/>
              <w:right w:val="single" w:sz="4" w:space="0" w:color="auto"/>
            </w:tcBorders>
            <w:shd w:val="clear" w:color="000000" w:fill="F7CAAC"/>
            <w:vAlign w:val="center"/>
            <w:hideMark/>
          </w:tcPr>
          <w:p w14:paraId="1C3AE68E" w14:textId="77777777" w:rsidR="00BF3102" w:rsidRPr="008C00E5" w:rsidRDefault="00BF3102" w:rsidP="00356396">
            <w:pPr>
              <w:spacing w:after="0" w:line="240" w:lineRule="auto"/>
              <w:rPr>
                <w:rFonts w:ascii="Georgia" w:eastAsia="Times New Roman" w:hAnsi="Georgia" w:cs="Calibri"/>
                <w:b/>
                <w:bCs/>
                <w:color w:val="000000"/>
                <w:sz w:val="20"/>
                <w:szCs w:val="20"/>
                <w:lang w:val="fr-FR" w:eastAsia="fr-FR"/>
              </w:rPr>
            </w:pPr>
            <w:r w:rsidRPr="008C00E5">
              <w:rPr>
                <w:rFonts w:ascii="Georgia" w:eastAsia="Times New Roman" w:hAnsi="Georgia" w:cs="Calibri"/>
                <w:b/>
                <w:bCs/>
                <w:color w:val="000000"/>
                <w:sz w:val="20"/>
                <w:szCs w:val="20"/>
                <w:lang w:val="fr-FR" w:eastAsia="fr-FR"/>
              </w:rPr>
              <w:t>Réalisation de nouveaux blocs de latrines à 3 cabines</w:t>
            </w:r>
          </w:p>
        </w:tc>
      </w:tr>
      <w:tr w:rsidR="00BF3102" w:rsidRPr="008C00E5" w14:paraId="155829DF" w14:textId="77777777" w:rsidTr="00356396">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1E9D129"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2.1</w:t>
            </w:r>
          </w:p>
        </w:tc>
        <w:tc>
          <w:tcPr>
            <w:tcW w:w="5160" w:type="dxa"/>
            <w:tcBorders>
              <w:top w:val="nil"/>
              <w:left w:val="nil"/>
              <w:bottom w:val="single" w:sz="4" w:space="0" w:color="auto"/>
              <w:right w:val="single" w:sz="4" w:space="0" w:color="auto"/>
            </w:tcBorders>
            <w:shd w:val="clear" w:color="auto" w:fill="auto"/>
            <w:vAlign w:val="center"/>
            <w:hideMark/>
          </w:tcPr>
          <w:p w14:paraId="4209E4C4"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 xml:space="preserve">Construction d'un bloc de 3 latrines </w:t>
            </w:r>
          </w:p>
        </w:tc>
        <w:tc>
          <w:tcPr>
            <w:tcW w:w="1240" w:type="dxa"/>
            <w:tcBorders>
              <w:top w:val="nil"/>
              <w:left w:val="nil"/>
              <w:bottom w:val="single" w:sz="4" w:space="0" w:color="auto"/>
              <w:right w:val="single" w:sz="4" w:space="0" w:color="auto"/>
            </w:tcBorders>
            <w:shd w:val="clear" w:color="auto" w:fill="auto"/>
            <w:vAlign w:val="center"/>
            <w:hideMark/>
          </w:tcPr>
          <w:p w14:paraId="109A0900"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Forfait</w:t>
            </w:r>
          </w:p>
        </w:tc>
        <w:tc>
          <w:tcPr>
            <w:tcW w:w="1240" w:type="dxa"/>
            <w:tcBorders>
              <w:top w:val="nil"/>
              <w:left w:val="nil"/>
              <w:bottom w:val="single" w:sz="4" w:space="0" w:color="auto"/>
              <w:right w:val="single" w:sz="4" w:space="0" w:color="auto"/>
            </w:tcBorders>
            <w:shd w:val="clear" w:color="auto" w:fill="auto"/>
            <w:noWrap/>
            <w:vAlign w:val="bottom"/>
            <w:hideMark/>
          </w:tcPr>
          <w:p w14:paraId="0057F7A8"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49C4936A"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r>
      <w:tr w:rsidR="00BF3102" w:rsidRPr="008C00E5" w14:paraId="3E9D20FD" w14:textId="77777777" w:rsidTr="00356396">
        <w:trPr>
          <w:trHeight w:val="288"/>
        </w:trPr>
        <w:tc>
          <w:tcPr>
            <w:tcW w:w="1240" w:type="dxa"/>
            <w:tcBorders>
              <w:top w:val="nil"/>
              <w:left w:val="single" w:sz="4" w:space="0" w:color="auto"/>
              <w:bottom w:val="single" w:sz="4" w:space="0" w:color="auto"/>
              <w:right w:val="single" w:sz="4" w:space="0" w:color="auto"/>
            </w:tcBorders>
            <w:shd w:val="clear" w:color="000000" w:fill="F7CAAC"/>
            <w:vAlign w:val="center"/>
            <w:hideMark/>
          </w:tcPr>
          <w:p w14:paraId="724B0223" w14:textId="77777777" w:rsidR="00BF3102" w:rsidRPr="008C00E5" w:rsidRDefault="00BF3102" w:rsidP="00356396">
            <w:pPr>
              <w:spacing w:after="0" w:line="240" w:lineRule="auto"/>
              <w:jc w:val="center"/>
              <w:rPr>
                <w:rFonts w:ascii="Georgia" w:eastAsia="Times New Roman" w:hAnsi="Georgia" w:cs="Calibri"/>
                <w:b/>
                <w:bCs/>
                <w:color w:val="000000"/>
                <w:sz w:val="20"/>
                <w:szCs w:val="20"/>
                <w:lang w:val="fr-FR" w:eastAsia="fr-FR"/>
              </w:rPr>
            </w:pPr>
            <w:r w:rsidRPr="008C00E5">
              <w:rPr>
                <w:rFonts w:ascii="Georgia" w:eastAsia="Times New Roman" w:hAnsi="Georgia" w:cs="Calibri"/>
                <w:b/>
                <w:bCs/>
                <w:color w:val="000000"/>
                <w:sz w:val="20"/>
                <w:szCs w:val="20"/>
                <w:lang w:val="fr-FR" w:eastAsia="fr-FR"/>
              </w:rPr>
              <w:t>3</w:t>
            </w:r>
          </w:p>
        </w:tc>
        <w:tc>
          <w:tcPr>
            <w:tcW w:w="8880" w:type="dxa"/>
            <w:gridSpan w:val="4"/>
            <w:tcBorders>
              <w:top w:val="single" w:sz="4" w:space="0" w:color="auto"/>
              <w:left w:val="nil"/>
              <w:bottom w:val="single" w:sz="4" w:space="0" w:color="auto"/>
              <w:right w:val="single" w:sz="4" w:space="0" w:color="auto"/>
            </w:tcBorders>
            <w:shd w:val="clear" w:color="000000" w:fill="F7CAAC"/>
            <w:vAlign w:val="center"/>
            <w:hideMark/>
          </w:tcPr>
          <w:p w14:paraId="429DE669" w14:textId="77777777" w:rsidR="00BF3102" w:rsidRPr="008C00E5" w:rsidRDefault="00BF3102" w:rsidP="00356396">
            <w:pPr>
              <w:spacing w:after="0" w:line="240" w:lineRule="auto"/>
              <w:rPr>
                <w:rFonts w:ascii="Georgia" w:eastAsia="Times New Roman" w:hAnsi="Georgia" w:cs="Calibri"/>
                <w:b/>
                <w:bCs/>
                <w:color w:val="000000"/>
                <w:sz w:val="20"/>
                <w:szCs w:val="20"/>
                <w:lang w:val="fr-FR" w:eastAsia="fr-FR"/>
              </w:rPr>
            </w:pPr>
            <w:r w:rsidRPr="008C00E5">
              <w:rPr>
                <w:rFonts w:ascii="Georgia" w:eastAsia="Times New Roman" w:hAnsi="Georgia" w:cs="Calibri"/>
                <w:b/>
                <w:bCs/>
                <w:color w:val="000000"/>
                <w:sz w:val="20"/>
                <w:szCs w:val="20"/>
                <w:lang w:val="fr-FR" w:eastAsia="fr-FR"/>
              </w:rPr>
              <w:t>Réhabilitation des latrines existantes</w:t>
            </w:r>
          </w:p>
        </w:tc>
      </w:tr>
      <w:tr w:rsidR="00BF3102" w:rsidRPr="008C00E5" w14:paraId="3D1645AD" w14:textId="77777777" w:rsidTr="00356396">
        <w:trPr>
          <w:trHeight w:val="52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D075165"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3.1</w:t>
            </w:r>
          </w:p>
        </w:tc>
        <w:tc>
          <w:tcPr>
            <w:tcW w:w="5160" w:type="dxa"/>
            <w:tcBorders>
              <w:top w:val="nil"/>
              <w:left w:val="nil"/>
              <w:bottom w:val="single" w:sz="4" w:space="0" w:color="auto"/>
              <w:right w:val="single" w:sz="4" w:space="0" w:color="auto"/>
            </w:tcBorders>
            <w:shd w:val="clear" w:color="auto" w:fill="auto"/>
            <w:vAlign w:val="center"/>
            <w:hideMark/>
          </w:tcPr>
          <w:p w14:paraId="0CCA4E1C"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 xml:space="preserve">Reprise des sols et des fissures au niveau des murs (nettoyage, grattage et colmatage) </w:t>
            </w:r>
          </w:p>
        </w:tc>
        <w:tc>
          <w:tcPr>
            <w:tcW w:w="1240" w:type="dxa"/>
            <w:tcBorders>
              <w:top w:val="nil"/>
              <w:left w:val="nil"/>
              <w:bottom w:val="single" w:sz="4" w:space="0" w:color="auto"/>
              <w:right w:val="single" w:sz="4" w:space="0" w:color="auto"/>
            </w:tcBorders>
            <w:shd w:val="clear" w:color="auto" w:fill="auto"/>
            <w:vAlign w:val="center"/>
            <w:hideMark/>
          </w:tcPr>
          <w:p w14:paraId="48234769"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Forfait</w:t>
            </w:r>
          </w:p>
        </w:tc>
        <w:tc>
          <w:tcPr>
            <w:tcW w:w="1240" w:type="dxa"/>
            <w:tcBorders>
              <w:top w:val="nil"/>
              <w:left w:val="nil"/>
              <w:bottom w:val="single" w:sz="4" w:space="0" w:color="auto"/>
              <w:right w:val="single" w:sz="4" w:space="0" w:color="auto"/>
            </w:tcBorders>
            <w:shd w:val="clear" w:color="auto" w:fill="auto"/>
            <w:noWrap/>
            <w:vAlign w:val="bottom"/>
            <w:hideMark/>
          </w:tcPr>
          <w:p w14:paraId="0C776CAD"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C90E10B"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r>
      <w:tr w:rsidR="00BF3102" w:rsidRPr="008C00E5" w14:paraId="132B6B5F" w14:textId="77777777" w:rsidTr="00356396">
        <w:trPr>
          <w:trHeight w:val="792"/>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A7BE028"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3.2</w:t>
            </w:r>
          </w:p>
        </w:tc>
        <w:tc>
          <w:tcPr>
            <w:tcW w:w="5160" w:type="dxa"/>
            <w:tcBorders>
              <w:top w:val="nil"/>
              <w:left w:val="nil"/>
              <w:bottom w:val="single" w:sz="4" w:space="0" w:color="auto"/>
              <w:right w:val="single" w:sz="4" w:space="0" w:color="auto"/>
            </w:tcBorders>
            <w:shd w:val="clear" w:color="auto" w:fill="auto"/>
            <w:vAlign w:val="center"/>
            <w:hideMark/>
          </w:tcPr>
          <w:p w14:paraId="1D531DFF"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eastAsia="fr-FR"/>
              </w:rPr>
              <w:t>Aménagement des rampes d'accès au niveau de tous les blocs de latrines (rampe en fer rond diamètre 30 cm, plateforme en BA avec pente d’accès, etc…)</w:t>
            </w:r>
          </w:p>
        </w:tc>
        <w:tc>
          <w:tcPr>
            <w:tcW w:w="1240" w:type="dxa"/>
            <w:tcBorders>
              <w:top w:val="nil"/>
              <w:left w:val="nil"/>
              <w:bottom w:val="single" w:sz="4" w:space="0" w:color="auto"/>
              <w:right w:val="single" w:sz="4" w:space="0" w:color="auto"/>
            </w:tcBorders>
            <w:shd w:val="clear" w:color="auto" w:fill="auto"/>
            <w:vAlign w:val="center"/>
            <w:hideMark/>
          </w:tcPr>
          <w:p w14:paraId="18B293B6"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Forfait</w:t>
            </w:r>
          </w:p>
        </w:tc>
        <w:tc>
          <w:tcPr>
            <w:tcW w:w="1240" w:type="dxa"/>
            <w:tcBorders>
              <w:top w:val="nil"/>
              <w:left w:val="nil"/>
              <w:bottom w:val="single" w:sz="4" w:space="0" w:color="auto"/>
              <w:right w:val="single" w:sz="4" w:space="0" w:color="auto"/>
            </w:tcBorders>
            <w:shd w:val="clear" w:color="auto" w:fill="auto"/>
            <w:noWrap/>
            <w:vAlign w:val="bottom"/>
            <w:hideMark/>
          </w:tcPr>
          <w:p w14:paraId="15D958F4"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4E364615"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r>
      <w:tr w:rsidR="00BF3102" w:rsidRPr="008C00E5" w14:paraId="5D1534A3" w14:textId="77777777" w:rsidTr="00356396">
        <w:trPr>
          <w:trHeight w:val="52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3C2E9E4"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3.3</w:t>
            </w:r>
          </w:p>
        </w:tc>
        <w:tc>
          <w:tcPr>
            <w:tcW w:w="5160" w:type="dxa"/>
            <w:tcBorders>
              <w:top w:val="nil"/>
              <w:left w:val="nil"/>
              <w:bottom w:val="single" w:sz="4" w:space="0" w:color="auto"/>
              <w:right w:val="single" w:sz="4" w:space="0" w:color="auto"/>
            </w:tcBorders>
            <w:shd w:val="clear" w:color="auto" w:fill="auto"/>
            <w:vAlign w:val="center"/>
            <w:hideMark/>
          </w:tcPr>
          <w:p w14:paraId="67938327"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eastAsia="fr-FR"/>
              </w:rPr>
              <w:t>Remplacement des tuyaux d'aération et des dalles de couverture des fosses défectueuses</w:t>
            </w:r>
          </w:p>
        </w:tc>
        <w:tc>
          <w:tcPr>
            <w:tcW w:w="1240" w:type="dxa"/>
            <w:tcBorders>
              <w:top w:val="nil"/>
              <w:left w:val="nil"/>
              <w:bottom w:val="single" w:sz="4" w:space="0" w:color="auto"/>
              <w:right w:val="single" w:sz="4" w:space="0" w:color="auto"/>
            </w:tcBorders>
            <w:shd w:val="clear" w:color="auto" w:fill="auto"/>
            <w:vAlign w:val="center"/>
            <w:hideMark/>
          </w:tcPr>
          <w:p w14:paraId="211B5945"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Forfait</w:t>
            </w:r>
          </w:p>
        </w:tc>
        <w:tc>
          <w:tcPr>
            <w:tcW w:w="1240" w:type="dxa"/>
            <w:tcBorders>
              <w:top w:val="nil"/>
              <w:left w:val="nil"/>
              <w:bottom w:val="single" w:sz="4" w:space="0" w:color="auto"/>
              <w:right w:val="single" w:sz="4" w:space="0" w:color="auto"/>
            </w:tcBorders>
            <w:shd w:val="clear" w:color="auto" w:fill="auto"/>
            <w:noWrap/>
            <w:vAlign w:val="bottom"/>
            <w:hideMark/>
          </w:tcPr>
          <w:p w14:paraId="313C6756"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75551BB7"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r>
      <w:tr w:rsidR="00BF3102" w:rsidRPr="008C00E5" w14:paraId="1016C0CD" w14:textId="77777777" w:rsidTr="00356396">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191467B"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3.4</w:t>
            </w:r>
          </w:p>
        </w:tc>
        <w:tc>
          <w:tcPr>
            <w:tcW w:w="5160" w:type="dxa"/>
            <w:tcBorders>
              <w:top w:val="nil"/>
              <w:left w:val="nil"/>
              <w:bottom w:val="single" w:sz="4" w:space="0" w:color="auto"/>
              <w:right w:val="single" w:sz="4" w:space="0" w:color="auto"/>
            </w:tcBorders>
            <w:shd w:val="clear" w:color="auto" w:fill="auto"/>
            <w:vAlign w:val="center"/>
            <w:hideMark/>
          </w:tcPr>
          <w:p w14:paraId="0D499A6E"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eastAsia="fr-FR"/>
              </w:rPr>
              <w:t>Reprise des menuiseries</w:t>
            </w:r>
          </w:p>
        </w:tc>
        <w:tc>
          <w:tcPr>
            <w:tcW w:w="1240" w:type="dxa"/>
            <w:tcBorders>
              <w:top w:val="nil"/>
              <w:left w:val="nil"/>
              <w:bottom w:val="single" w:sz="4" w:space="0" w:color="auto"/>
              <w:right w:val="single" w:sz="4" w:space="0" w:color="auto"/>
            </w:tcBorders>
            <w:shd w:val="clear" w:color="auto" w:fill="auto"/>
            <w:vAlign w:val="center"/>
            <w:hideMark/>
          </w:tcPr>
          <w:p w14:paraId="5BB614D9"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Unité</w:t>
            </w:r>
          </w:p>
        </w:tc>
        <w:tc>
          <w:tcPr>
            <w:tcW w:w="1240" w:type="dxa"/>
            <w:tcBorders>
              <w:top w:val="nil"/>
              <w:left w:val="nil"/>
              <w:bottom w:val="single" w:sz="4" w:space="0" w:color="auto"/>
              <w:right w:val="single" w:sz="4" w:space="0" w:color="auto"/>
            </w:tcBorders>
            <w:shd w:val="clear" w:color="auto" w:fill="auto"/>
            <w:noWrap/>
            <w:vAlign w:val="bottom"/>
            <w:hideMark/>
          </w:tcPr>
          <w:p w14:paraId="734AAD15"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12DF002F"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r>
      <w:tr w:rsidR="00BF3102" w:rsidRPr="008C00E5" w14:paraId="00909886" w14:textId="77777777" w:rsidTr="00356396">
        <w:trPr>
          <w:trHeight w:val="52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3EF3504"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3.5</w:t>
            </w:r>
          </w:p>
        </w:tc>
        <w:tc>
          <w:tcPr>
            <w:tcW w:w="5160" w:type="dxa"/>
            <w:tcBorders>
              <w:top w:val="nil"/>
              <w:left w:val="nil"/>
              <w:bottom w:val="single" w:sz="4" w:space="0" w:color="auto"/>
              <w:right w:val="single" w:sz="4" w:space="0" w:color="auto"/>
            </w:tcBorders>
            <w:shd w:val="clear" w:color="auto" w:fill="auto"/>
            <w:vAlign w:val="center"/>
            <w:hideMark/>
          </w:tcPr>
          <w:p w14:paraId="1AD1AB4E"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eastAsia="fr-FR"/>
              </w:rPr>
              <w:t>Reprise des raccordements autour des fosses et des dalles de couverture</w:t>
            </w:r>
          </w:p>
        </w:tc>
        <w:tc>
          <w:tcPr>
            <w:tcW w:w="1240" w:type="dxa"/>
            <w:tcBorders>
              <w:top w:val="nil"/>
              <w:left w:val="nil"/>
              <w:bottom w:val="single" w:sz="4" w:space="0" w:color="auto"/>
              <w:right w:val="single" w:sz="4" w:space="0" w:color="auto"/>
            </w:tcBorders>
            <w:shd w:val="clear" w:color="auto" w:fill="auto"/>
            <w:vAlign w:val="center"/>
            <w:hideMark/>
          </w:tcPr>
          <w:p w14:paraId="78A5826F"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Forfait</w:t>
            </w:r>
          </w:p>
        </w:tc>
        <w:tc>
          <w:tcPr>
            <w:tcW w:w="1240" w:type="dxa"/>
            <w:tcBorders>
              <w:top w:val="nil"/>
              <w:left w:val="nil"/>
              <w:bottom w:val="single" w:sz="4" w:space="0" w:color="auto"/>
              <w:right w:val="single" w:sz="4" w:space="0" w:color="auto"/>
            </w:tcBorders>
            <w:shd w:val="clear" w:color="auto" w:fill="auto"/>
            <w:noWrap/>
            <w:vAlign w:val="bottom"/>
            <w:hideMark/>
          </w:tcPr>
          <w:p w14:paraId="0089D7E3"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432BC0CF"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r>
      <w:tr w:rsidR="00BF3102" w:rsidRPr="008C00E5" w14:paraId="2B4FB863" w14:textId="77777777" w:rsidTr="00356396">
        <w:trPr>
          <w:trHeight w:val="52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6380B05"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3.6</w:t>
            </w:r>
          </w:p>
        </w:tc>
        <w:tc>
          <w:tcPr>
            <w:tcW w:w="5160" w:type="dxa"/>
            <w:tcBorders>
              <w:top w:val="nil"/>
              <w:left w:val="nil"/>
              <w:bottom w:val="single" w:sz="4" w:space="0" w:color="auto"/>
              <w:right w:val="single" w:sz="4" w:space="0" w:color="auto"/>
            </w:tcBorders>
            <w:shd w:val="clear" w:color="auto" w:fill="auto"/>
            <w:vAlign w:val="center"/>
            <w:hideMark/>
          </w:tcPr>
          <w:p w14:paraId="6F0B9D73"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eastAsia="fr-FR"/>
              </w:rPr>
              <w:t>Reprise de la peinture (avec la reprise de l'enduit intérieur si nécessaire)</w:t>
            </w:r>
          </w:p>
        </w:tc>
        <w:tc>
          <w:tcPr>
            <w:tcW w:w="1240" w:type="dxa"/>
            <w:tcBorders>
              <w:top w:val="nil"/>
              <w:left w:val="nil"/>
              <w:bottom w:val="single" w:sz="4" w:space="0" w:color="auto"/>
              <w:right w:val="single" w:sz="4" w:space="0" w:color="auto"/>
            </w:tcBorders>
            <w:shd w:val="clear" w:color="auto" w:fill="auto"/>
            <w:vAlign w:val="center"/>
            <w:hideMark/>
          </w:tcPr>
          <w:p w14:paraId="2BA439E4"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Forfait</w:t>
            </w:r>
          </w:p>
        </w:tc>
        <w:tc>
          <w:tcPr>
            <w:tcW w:w="1240" w:type="dxa"/>
            <w:tcBorders>
              <w:top w:val="nil"/>
              <w:left w:val="nil"/>
              <w:bottom w:val="single" w:sz="4" w:space="0" w:color="auto"/>
              <w:right w:val="single" w:sz="4" w:space="0" w:color="auto"/>
            </w:tcBorders>
            <w:shd w:val="clear" w:color="auto" w:fill="auto"/>
            <w:noWrap/>
            <w:vAlign w:val="bottom"/>
            <w:hideMark/>
          </w:tcPr>
          <w:p w14:paraId="564DB612"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7E4EACFF"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r>
      <w:tr w:rsidR="00BF3102" w:rsidRPr="008C00E5" w14:paraId="4202FD94" w14:textId="77777777" w:rsidTr="00356396">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C616A49"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3.7</w:t>
            </w:r>
          </w:p>
        </w:tc>
        <w:tc>
          <w:tcPr>
            <w:tcW w:w="5160" w:type="dxa"/>
            <w:tcBorders>
              <w:top w:val="nil"/>
              <w:left w:val="nil"/>
              <w:bottom w:val="single" w:sz="4" w:space="0" w:color="auto"/>
              <w:right w:val="single" w:sz="4" w:space="0" w:color="auto"/>
            </w:tcBorders>
            <w:shd w:val="clear" w:color="auto" w:fill="auto"/>
            <w:vAlign w:val="center"/>
            <w:hideMark/>
          </w:tcPr>
          <w:p w14:paraId="30372E77" w14:textId="77777777" w:rsidR="00BF3102" w:rsidRPr="008C00E5" w:rsidRDefault="00BF3102" w:rsidP="00356396">
            <w:pPr>
              <w:spacing w:after="0" w:line="240" w:lineRule="auto"/>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 xml:space="preserve">Réhabilitation des fosses des latrines </w:t>
            </w:r>
          </w:p>
        </w:tc>
        <w:tc>
          <w:tcPr>
            <w:tcW w:w="1240" w:type="dxa"/>
            <w:tcBorders>
              <w:top w:val="nil"/>
              <w:left w:val="nil"/>
              <w:bottom w:val="single" w:sz="4" w:space="0" w:color="auto"/>
              <w:right w:val="single" w:sz="4" w:space="0" w:color="auto"/>
            </w:tcBorders>
            <w:shd w:val="clear" w:color="auto" w:fill="auto"/>
            <w:vAlign w:val="center"/>
            <w:hideMark/>
          </w:tcPr>
          <w:p w14:paraId="4FFE4AB2" w14:textId="77777777" w:rsidR="00BF3102" w:rsidRPr="008C00E5" w:rsidRDefault="00BF3102" w:rsidP="00356396">
            <w:pPr>
              <w:spacing w:after="0" w:line="240" w:lineRule="auto"/>
              <w:jc w:val="center"/>
              <w:rPr>
                <w:rFonts w:ascii="Georgia" w:eastAsia="Times New Roman" w:hAnsi="Georgia" w:cs="Calibri"/>
                <w:color w:val="000000"/>
                <w:sz w:val="20"/>
                <w:szCs w:val="20"/>
                <w:lang w:val="fr-FR" w:eastAsia="fr-FR"/>
              </w:rPr>
            </w:pPr>
            <w:r w:rsidRPr="008C00E5">
              <w:rPr>
                <w:rFonts w:ascii="Georgia" w:eastAsia="Times New Roman" w:hAnsi="Georgia" w:cs="Calibri"/>
                <w:color w:val="000000"/>
                <w:sz w:val="20"/>
                <w:szCs w:val="20"/>
                <w:lang w:val="fr-FR" w:eastAsia="fr-FR"/>
              </w:rPr>
              <w:t>Forfait</w:t>
            </w:r>
          </w:p>
        </w:tc>
        <w:tc>
          <w:tcPr>
            <w:tcW w:w="1240" w:type="dxa"/>
            <w:tcBorders>
              <w:top w:val="nil"/>
              <w:left w:val="nil"/>
              <w:bottom w:val="single" w:sz="4" w:space="0" w:color="auto"/>
              <w:right w:val="single" w:sz="4" w:space="0" w:color="auto"/>
            </w:tcBorders>
            <w:shd w:val="clear" w:color="auto" w:fill="auto"/>
            <w:noWrap/>
            <w:vAlign w:val="bottom"/>
            <w:hideMark/>
          </w:tcPr>
          <w:p w14:paraId="698462BB"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16CC987F" w14:textId="77777777" w:rsidR="00BF3102" w:rsidRPr="008C00E5" w:rsidRDefault="00BF3102" w:rsidP="00356396">
            <w:pPr>
              <w:spacing w:after="0" w:line="240" w:lineRule="auto"/>
              <w:rPr>
                <w:rFonts w:ascii="Calibri" w:eastAsia="Times New Roman" w:hAnsi="Calibri" w:cs="Calibri"/>
                <w:color w:val="000000"/>
                <w:lang w:val="fr-FR" w:eastAsia="fr-FR"/>
              </w:rPr>
            </w:pPr>
            <w:r w:rsidRPr="008C00E5">
              <w:rPr>
                <w:rFonts w:ascii="Calibri" w:eastAsia="Times New Roman" w:hAnsi="Calibri" w:cs="Calibri"/>
                <w:color w:val="000000"/>
                <w:lang w:val="fr-FR" w:eastAsia="fr-FR"/>
              </w:rPr>
              <w:t> </w:t>
            </w:r>
          </w:p>
        </w:tc>
      </w:tr>
    </w:tbl>
    <w:p w14:paraId="07C6EE83" w14:textId="77777777" w:rsidR="00BF3102" w:rsidRDefault="00BF3102" w:rsidP="00BF3102">
      <w:pPr>
        <w:jc w:val="center"/>
        <w:rPr>
          <w:rFonts w:ascii="Georgia" w:hAnsi="Georgia"/>
          <w:b/>
          <w:bCs/>
          <w:sz w:val="28"/>
          <w:szCs w:val="28"/>
          <w:lang w:val="fr-BE"/>
        </w:rPr>
      </w:pPr>
    </w:p>
    <w:p w14:paraId="75B8BF99" w14:textId="77777777" w:rsidR="00BF3102" w:rsidRDefault="00BF3102" w:rsidP="00BF3102">
      <w:pPr>
        <w:jc w:val="center"/>
        <w:rPr>
          <w:rFonts w:ascii="Georgia" w:hAnsi="Georgia"/>
          <w:b/>
          <w:bCs/>
          <w:sz w:val="28"/>
          <w:szCs w:val="28"/>
          <w:lang w:val="fr-BE"/>
        </w:rPr>
      </w:pPr>
    </w:p>
    <w:p w14:paraId="4B9B50A2" w14:textId="77777777" w:rsidR="00BF3102" w:rsidRDefault="00BF3102" w:rsidP="00BF3102">
      <w:pPr>
        <w:jc w:val="center"/>
        <w:rPr>
          <w:rFonts w:ascii="Georgia" w:hAnsi="Georgia"/>
          <w:b/>
          <w:bCs/>
          <w:sz w:val="28"/>
          <w:szCs w:val="28"/>
          <w:lang w:val="fr-BE"/>
        </w:rPr>
      </w:pPr>
    </w:p>
    <w:p w14:paraId="6624F553" w14:textId="77777777" w:rsidR="00647E53" w:rsidRDefault="00647E53"/>
    <w:sectPr w:rsidR="00647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D36F1"/>
    <w:multiLevelType w:val="hybridMultilevel"/>
    <w:tmpl w:val="184462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54F773F"/>
    <w:multiLevelType w:val="hybridMultilevel"/>
    <w:tmpl w:val="189A2D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67E43D5"/>
    <w:multiLevelType w:val="hybridMultilevel"/>
    <w:tmpl w:val="20360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54A7625"/>
    <w:multiLevelType w:val="multilevel"/>
    <w:tmpl w:val="94088414"/>
    <w:lvl w:ilvl="0">
      <w:start w:val="2"/>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544289752">
    <w:abstractNumId w:val="2"/>
  </w:num>
  <w:num w:numId="2" w16cid:durableId="279651148">
    <w:abstractNumId w:val="0"/>
  </w:num>
  <w:num w:numId="3" w16cid:durableId="1391146570">
    <w:abstractNumId w:val="1"/>
  </w:num>
  <w:num w:numId="4" w16cid:durableId="1980763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02"/>
    <w:rsid w:val="00647E53"/>
    <w:rsid w:val="00BF3102"/>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1E1F"/>
  <w15:chartTrackingRefBased/>
  <w15:docId w15:val="{690D5085-FD8B-413D-A947-DF0B247B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102"/>
  </w:style>
  <w:style w:type="paragraph" w:styleId="Titre2">
    <w:name w:val="heading 2"/>
    <w:basedOn w:val="Normal"/>
    <w:next w:val="Normal"/>
    <w:link w:val="Titre2Car"/>
    <w:uiPriority w:val="9"/>
    <w:unhideWhenUsed/>
    <w:qFormat/>
    <w:rsid w:val="00BF31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F3102"/>
    <w:rPr>
      <w:rFonts w:asciiTheme="majorHAnsi" w:eastAsiaTheme="majorEastAsia" w:hAnsiTheme="majorHAnsi" w:cstheme="majorBidi"/>
      <w:color w:val="2F5496" w:themeColor="accent1" w:themeShade="BF"/>
      <w:sz w:val="26"/>
      <w:szCs w:val="26"/>
    </w:rPr>
  </w:style>
  <w:style w:type="paragraph" w:customStyle="1" w:styleId="BTCtextCTB">
    <w:name w:val="BTC text CTB"/>
    <w:rsid w:val="00BF3102"/>
    <w:pPr>
      <w:spacing w:before="120" w:after="120" w:line="240" w:lineRule="auto"/>
      <w:jc w:val="both"/>
    </w:pPr>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1282</Words>
  <Characters>7056</Characters>
  <Application>Microsoft Office Word</Application>
  <DocSecurity>0</DocSecurity>
  <Lines>58</Lines>
  <Paragraphs>16</Paragraphs>
  <ScaleCrop>false</ScaleCrop>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2023-09-27T10:48:00Z</dcterms:created>
  <dcterms:modified xsi:type="dcterms:W3CDTF">2023-09-27T10:58:00Z</dcterms:modified>
</cp:coreProperties>
</file>