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EB3E9CF" w:rsidR="00CF40E1" w:rsidRDefault="00883144"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7DADA18C" w14:textId="77777777" w:rsidR="008B1DD6" w:rsidRDefault="008B1DD6" w:rsidP="004145B4">
                            <w:pPr>
                              <w:pStyle w:val="Titrecouverture"/>
                              <w:rPr>
                                <w:sz w:val="24"/>
                                <w:szCs w:val="24"/>
                              </w:rPr>
                            </w:pPr>
                          </w:p>
                          <w:p w14:paraId="11063250" w14:textId="59FECF6B" w:rsidR="00A57C50" w:rsidRDefault="00A57C50" w:rsidP="004145B4">
                            <w:pPr>
                              <w:pStyle w:val="Titrecouverture"/>
                              <w:rPr>
                                <w:sz w:val="24"/>
                                <w:szCs w:val="24"/>
                              </w:rPr>
                            </w:pPr>
                            <w:r>
                              <w:rPr>
                                <w:sz w:val="24"/>
                                <w:szCs w:val="24"/>
                              </w:rPr>
                              <w:t>Marché de Services</w:t>
                            </w:r>
                            <w:r w:rsidR="008B1DD6">
                              <w:rPr>
                                <w:sz w:val="24"/>
                                <w:szCs w:val="24"/>
                              </w:rPr>
                              <w:t>, via un contrat cadre d’une durée de 4 an</w:t>
                            </w:r>
                            <w:r w:rsidR="0011781A">
                              <w:rPr>
                                <w:sz w:val="24"/>
                                <w:szCs w:val="24"/>
                              </w:rPr>
                              <w:t xml:space="preserve">s, relatif à </w:t>
                            </w:r>
                            <w:bookmarkStart w:id="0" w:name="_Hlk148442312"/>
                            <w:r w:rsidR="0011781A">
                              <w:rPr>
                                <w:sz w:val="24"/>
                                <w:szCs w:val="24"/>
                              </w:rPr>
                              <w:t>la mobilisation d’expertise en soutien à l’écosystème entrepreneurial en RDC</w:t>
                            </w:r>
                            <w:bookmarkEnd w:id="0"/>
                            <w:r w:rsidR="008B1DD6">
                              <w:rPr>
                                <w:sz w:val="24"/>
                                <w:szCs w:val="24"/>
                              </w:rPr>
                              <w:t>.</w:t>
                            </w:r>
                          </w:p>
                          <w:p w14:paraId="6D9FFDD1" w14:textId="77777777" w:rsidR="008B1DD6" w:rsidRDefault="008B1DD6" w:rsidP="004145B4">
                            <w:pPr>
                              <w:pStyle w:val="Titrecouverture"/>
                              <w:rPr>
                                <w:b/>
                                <w:bCs/>
                                <w:sz w:val="24"/>
                                <w:szCs w:val="24"/>
                                <w:u w:val="single"/>
                              </w:rPr>
                            </w:pPr>
                          </w:p>
                          <w:p w14:paraId="48D54630" w14:textId="4D090209" w:rsidR="00A57C50" w:rsidRDefault="00A57C50" w:rsidP="004145B4">
                            <w:pPr>
                              <w:pStyle w:val="Titrecouverture"/>
                              <w:rPr>
                                <w:sz w:val="24"/>
                                <w:szCs w:val="24"/>
                              </w:rPr>
                            </w:pPr>
                            <w:r>
                              <w:rPr>
                                <w:sz w:val="24"/>
                                <w:szCs w:val="24"/>
                              </w:rPr>
                              <w:t>Procédure Ouverte</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7DADA18C" w14:textId="77777777" w:rsidR="008B1DD6" w:rsidRDefault="008B1DD6" w:rsidP="004145B4">
                      <w:pPr>
                        <w:pStyle w:val="Titrecouverture"/>
                        <w:rPr>
                          <w:sz w:val="24"/>
                          <w:szCs w:val="24"/>
                        </w:rPr>
                      </w:pPr>
                    </w:p>
                    <w:p w14:paraId="11063250" w14:textId="59FECF6B" w:rsidR="00A57C50" w:rsidRDefault="00A57C50" w:rsidP="004145B4">
                      <w:pPr>
                        <w:pStyle w:val="Titrecouverture"/>
                        <w:rPr>
                          <w:sz w:val="24"/>
                          <w:szCs w:val="24"/>
                        </w:rPr>
                      </w:pPr>
                      <w:r>
                        <w:rPr>
                          <w:sz w:val="24"/>
                          <w:szCs w:val="24"/>
                        </w:rPr>
                        <w:t>Marché de Services</w:t>
                      </w:r>
                      <w:r w:rsidR="008B1DD6">
                        <w:rPr>
                          <w:sz w:val="24"/>
                          <w:szCs w:val="24"/>
                        </w:rPr>
                        <w:t>, via un contrat cadre d’une durée de 4 an</w:t>
                      </w:r>
                      <w:r w:rsidR="0011781A">
                        <w:rPr>
                          <w:sz w:val="24"/>
                          <w:szCs w:val="24"/>
                        </w:rPr>
                        <w:t xml:space="preserve">s, relatif à </w:t>
                      </w:r>
                      <w:bookmarkStart w:id="1" w:name="_Hlk148442312"/>
                      <w:r w:rsidR="0011781A">
                        <w:rPr>
                          <w:sz w:val="24"/>
                          <w:szCs w:val="24"/>
                        </w:rPr>
                        <w:t>la mobilisation d’expertise en soutien à l’écosystème entrepreneurial en RDC</w:t>
                      </w:r>
                      <w:bookmarkEnd w:id="1"/>
                      <w:r w:rsidR="008B1DD6">
                        <w:rPr>
                          <w:sz w:val="24"/>
                          <w:szCs w:val="24"/>
                        </w:rPr>
                        <w:t>.</w:t>
                      </w:r>
                    </w:p>
                    <w:p w14:paraId="6D9FFDD1" w14:textId="77777777" w:rsidR="008B1DD6" w:rsidRDefault="008B1DD6" w:rsidP="004145B4">
                      <w:pPr>
                        <w:pStyle w:val="Titrecouverture"/>
                        <w:rPr>
                          <w:b/>
                          <w:bCs/>
                          <w:sz w:val="24"/>
                          <w:szCs w:val="24"/>
                          <w:u w:val="single"/>
                        </w:rPr>
                      </w:pPr>
                    </w:p>
                    <w:p w14:paraId="48D54630" w14:textId="4D090209" w:rsidR="00A57C50" w:rsidRDefault="00A57C50" w:rsidP="004145B4">
                      <w:pPr>
                        <w:pStyle w:val="Titrecouverture"/>
                        <w:rPr>
                          <w:sz w:val="24"/>
                          <w:szCs w:val="24"/>
                        </w:rPr>
                      </w:pPr>
                      <w:r>
                        <w:rPr>
                          <w:sz w:val="24"/>
                          <w:szCs w:val="24"/>
                        </w:rPr>
                        <w:t>Procédure Ouverte</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483E8DA" w14:textId="51A9858D" w:rsidR="00EA7CA1" w:rsidRDefault="71EBF40D">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50246275" w:history="1">
        <w:r w:rsidR="00EA7CA1" w:rsidRPr="00E60090">
          <w:rPr>
            <w:rStyle w:val="Lienhypertexte"/>
            <w:noProof/>
          </w:rPr>
          <w:t>1</w:t>
        </w:r>
        <w:r w:rsidR="00EA7CA1">
          <w:rPr>
            <w:rFonts w:asciiTheme="minorHAnsi" w:eastAsiaTheme="minorEastAsia" w:hAnsiTheme="minorHAnsi" w:cstheme="minorBidi"/>
            <w:b w:val="0"/>
            <w:noProof/>
            <w:color w:val="auto"/>
            <w:kern w:val="2"/>
            <w:sz w:val="22"/>
            <w:lang w:val="fr-FR" w:eastAsia="fr-FR"/>
            <w14:ligatures w14:val="standardContextual"/>
          </w:rPr>
          <w:tab/>
        </w:r>
        <w:r w:rsidR="00EA7CA1" w:rsidRPr="00E60090">
          <w:rPr>
            <w:rStyle w:val="Lienhypertexte"/>
            <w:noProof/>
          </w:rPr>
          <w:t>Généralités</w:t>
        </w:r>
        <w:r w:rsidR="00EA7CA1">
          <w:rPr>
            <w:noProof/>
            <w:webHidden/>
          </w:rPr>
          <w:tab/>
        </w:r>
        <w:r w:rsidR="00EA7CA1">
          <w:rPr>
            <w:noProof/>
            <w:webHidden/>
          </w:rPr>
          <w:fldChar w:fldCharType="begin"/>
        </w:r>
        <w:r w:rsidR="00EA7CA1">
          <w:rPr>
            <w:noProof/>
            <w:webHidden/>
          </w:rPr>
          <w:instrText xml:space="preserve"> PAGEREF _Toc150246275 \h </w:instrText>
        </w:r>
        <w:r w:rsidR="00EA7CA1">
          <w:rPr>
            <w:noProof/>
            <w:webHidden/>
          </w:rPr>
        </w:r>
        <w:r w:rsidR="00EA7CA1">
          <w:rPr>
            <w:noProof/>
            <w:webHidden/>
          </w:rPr>
          <w:fldChar w:fldCharType="separate"/>
        </w:r>
        <w:r w:rsidR="00EA7CA1">
          <w:rPr>
            <w:noProof/>
            <w:webHidden/>
          </w:rPr>
          <w:t>5</w:t>
        </w:r>
        <w:r w:rsidR="00EA7CA1">
          <w:rPr>
            <w:noProof/>
            <w:webHidden/>
          </w:rPr>
          <w:fldChar w:fldCharType="end"/>
        </w:r>
      </w:hyperlink>
    </w:p>
    <w:p w14:paraId="3388E3E3" w14:textId="115B5322"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76" w:history="1">
        <w:r w:rsidRPr="00E60090">
          <w:rPr>
            <w:rStyle w:val="Lienhypertexte"/>
            <w:noProof/>
          </w:rPr>
          <w:t>1.1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_Toc150246276 \h </w:instrText>
        </w:r>
        <w:r>
          <w:rPr>
            <w:noProof/>
            <w:webHidden/>
          </w:rPr>
        </w:r>
        <w:r>
          <w:rPr>
            <w:noProof/>
            <w:webHidden/>
          </w:rPr>
          <w:fldChar w:fldCharType="separate"/>
        </w:r>
        <w:r>
          <w:rPr>
            <w:noProof/>
            <w:webHidden/>
          </w:rPr>
          <w:t>5</w:t>
        </w:r>
        <w:r>
          <w:rPr>
            <w:noProof/>
            <w:webHidden/>
          </w:rPr>
          <w:fldChar w:fldCharType="end"/>
        </w:r>
      </w:hyperlink>
    </w:p>
    <w:p w14:paraId="259B5C80" w14:textId="080FB83C"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77" w:history="1">
        <w:r w:rsidRPr="00E60090">
          <w:rPr>
            <w:rStyle w:val="Lienhypertexte"/>
            <w:noProof/>
          </w:rPr>
          <w:t>1.2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Pouvoir adjudicateur</w:t>
        </w:r>
        <w:r>
          <w:rPr>
            <w:noProof/>
            <w:webHidden/>
          </w:rPr>
          <w:tab/>
        </w:r>
        <w:r>
          <w:rPr>
            <w:noProof/>
            <w:webHidden/>
          </w:rPr>
          <w:fldChar w:fldCharType="begin"/>
        </w:r>
        <w:r>
          <w:rPr>
            <w:noProof/>
            <w:webHidden/>
          </w:rPr>
          <w:instrText xml:space="preserve"> PAGEREF _Toc150246277 \h </w:instrText>
        </w:r>
        <w:r>
          <w:rPr>
            <w:noProof/>
            <w:webHidden/>
          </w:rPr>
        </w:r>
        <w:r>
          <w:rPr>
            <w:noProof/>
            <w:webHidden/>
          </w:rPr>
          <w:fldChar w:fldCharType="separate"/>
        </w:r>
        <w:r>
          <w:rPr>
            <w:noProof/>
            <w:webHidden/>
          </w:rPr>
          <w:t>5</w:t>
        </w:r>
        <w:r>
          <w:rPr>
            <w:noProof/>
            <w:webHidden/>
          </w:rPr>
          <w:fldChar w:fldCharType="end"/>
        </w:r>
      </w:hyperlink>
    </w:p>
    <w:p w14:paraId="54385697" w14:textId="17DA57C3"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78" w:history="1">
        <w:r w:rsidRPr="00E60090">
          <w:rPr>
            <w:rStyle w:val="Lienhypertexte"/>
            <w:noProof/>
          </w:rPr>
          <w:t>1.3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Cadre institutionnel d’Enabel</w:t>
        </w:r>
        <w:r>
          <w:rPr>
            <w:noProof/>
            <w:webHidden/>
          </w:rPr>
          <w:tab/>
        </w:r>
        <w:r>
          <w:rPr>
            <w:noProof/>
            <w:webHidden/>
          </w:rPr>
          <w:fldChar w:fldCharType="begin"/>
        </w:r>
        <w:r>
          <w:rPr>
            <w:noProof/>
            <w:webHidden/>
          </w:rPr>
          <w:instrText xml:space="preserve"> PAGEREF _Toc150246278 \h </w:instrText>
        </w:r>
        <w:r>
          <w:rPr>
            <w:noProof/>
            <w:webHidden/>
          </w:rPr>
        </w:r>
        <w:r>
          <w:rPr>
            <w:noProof/>
            <w:webHidden/>
          </w:rPr>
          <w:fldChar w:fldCharType="separate"/>
        </w:r>
        <w:r>
          <w:rPr>
            <w:noProof/>
            <w:webHidden/>
          </w:rPr>
          <w:t>5</w:t>
        </w:r>
        <w:r>
          <w:rPr>
            <w:noProof/>
            <w:webHidden/>
          </w:rPr>
          <w:fldChar w:fldCharType="end"/>
        </w:r>
      </w:hyperlink>
    </w:p>
    <w:p w14:paraId="105ED29F" w14:textId="4265240B"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79" w:history="1">
        <w:r w:rsidRPr="00E60090">
          <w:rPr>
            <w:rStyle w:val="Lienhypertexte"/>
            <w:noProof/>
          </w:rPr>
          <w:t>1.4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Règles régissant le marché</w:t>
        </w:r>
        <w:r>
          <w:rPr>
            <w:noProof/>
            <w:webHidden/>
          </w:rPr>
          <w:tab/>
        </w:r>
        <w:r>
          <w:rPr>
            <w:noProof/>
            <w:webHidden/>
          </w:rPr>
          <w:fldChar w:fldCharType="begin"/>
        </w:r>
        <w:r>
          <w:rPr>
            <w:noProof/>
            <w:webHidden/>
          </w:rPr>
          <w:instrText xml:space="preserve"> PAGEREF _Toc150246279 \h </w:instrText>
        </w:r>
        <w:r>
          <w:rPr>
            <w:noProof/>
            <w:webHidden/>
          </w:rPr>
        </w:r>
        <w:r>
          <w:rPr>
            <w:noProof/>
            <w:webHidden/>
          </w:rPr>
          <w:fldChar w:fldCharType="separate"/>
        </w:r>
        <w:r>
          <w:rPr>
            <w:noProof/>
            <w:webHidden/>
          </w:rPr>
          <w:t>6</w:t>
        </w:r>
        <w:r>
          <w:rPr>
            <w:noProof/>
            <w:webHidden/>
          </w:rPr>
          <w:fldChar w:fldCharType="end"/>
        </w:r>
      </w:hyperlink>
    </w:p>
    <w:p w14:paraId="20C2E997" w14:textId="72A3AAAA"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0" w:history="1">
        <w:r w:rsidRPr="00E60090">
          <w:rPr>
            <w:rStyle w:val="Lienhypertexte"/>
            <w:noProof/>
          </w:rPr>
          <w:t>1.5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Définitions</w:t>
        </w:r>
        <w:r>
          <w:rPr>
            <w:noProof/>
            <w:webHidden/>
          </w:rPr>
          <w:tab/>
        </w:r>
        <w:r>
          <w:rPr>
            <w:noProof/>
            <w:webHidden/>
          </w:rPr>
          <w:fldChar w:fldCharType="begin"/>
        </w:r>
        <w:r>
          <w:rPr>
            <w:noProof/>
            <w:webHidden/>
          </w:rPr>
          <w:instrText xml:space="preserve"> PAGEREF _Toc150246280 \h </w:instrText>
        </w:r>
        <w:r>
          <w:rPr>
            <w:noProof/>
            <w:webHidden/>
          </w:rPr>
        </w:r>
        <w:r>
          <w:rPr>
            <w:noProof/>
            <w:webHidden/>
          </w:rPr>
          <w:fldChar w:fldCharType="separate"/>
        </w:r>
        <w:r>
          <w:rPr>
            <w:noProof/>
            <w:webHidden/>
          </w:rPr>
          <w:t>7</w:t>
        </w:r>
        <w:r>
          <w:rPr>
            <w:noProof/>
            <w:webHidden/>
          </w:rPr>
          <w:fldChar w:fldCharType="end"/>
        </w:r>
      </w:hyperlink>
    </w:p>
    <w:p w14:paraId="708818CC" w14:textId="5E9679AC"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1" w:history="1">
        <w:r w:rsidRPr="00E60090">
          <w:rPr>
            <w:rStyle w:val="Lienhypertexte"/>
            <w:noProof/>
          </w:rPr>
          <w:t>1.6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Confidentialité</w:t>
        </w:r>
        <w:r>
          <w:rPr>
            <w:noProof/>
            <w:webHidden/>
          </w:rPr>
          <w:tab/>
        </w:r>
        <w:r>
          <w:rPr>
            <w:noProof/>
            <w:webHidden/>
          </w:rPr>
          <w:fldChar w:fldCharType="begin"/>
        </w:r>
        <w:r>
          <w:rPr>
            <w:noProof/>
            <w:webHidden/>
          </w:rPr>
          <w:instrText xml:space="preserve"> PAGEREF _Toc150246281 \h </w:instrText>
        </w:r>
        <w:r>
          <w:rPr>
            <w:noProof/>
            <w:webHidden/>
          </w:rPr>
        </w:r>
        <w:r>
          <w:rPr>
            <w:noProof/>
            <w:webHidden/>
          </w:rPr>
          <w:fldChar w:fldCharType="separate"/>
        </w:r>
        <w:r>
          <w:rPr>
            <w:noProof/>
            <w:webHidden/>
          </w:rPr>
          <w:t>8</w:t>
        </w:r>
        <w:r>
          <w:rPr>
            <w:noProof/>
            <w:webHidden/>
          </w:rPr>
          <w:fldChar w:fldCharType="end"/>
        </w:r>
      </w:hyperlink>
    </w:p>
    <w:p w14:paraId="302C4D3C" w14:textId="18B7C2EB"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282" w:history="1">
        <w:r w:rsidRPr="00E60090">
          <w:rPr>
            <w:rStyle w:val="Lienhypertexte"/>
            <w:noProof/>
            <w:lang w:val="fr-FR"/>
          </w:rPr>
          <w:t>1.6.1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_Toc150246282 \h </w:instrText>
        </w:r>
        <w:r>
          <w:rPr>
            <w:noProof/>
            <w:webHidden/>
          </w:rPr>
        </w:r>
        <w:r>
          <w:rPr>
            <w:noProof/>
            <w:webHidden/>
          </w:rPr>
          <w:fldChar w:fldCharType="separate"/>
        </w:r>
        <w:r>
          <w:rPr>
            <w:noProof/>
            <w:webHidden/>
          </w:rPr>
          <w:t>8</w:t>
        </w:r>
        <w:r>
          <w:rPr>
            <w:noProof/>
            <w:webHidden/>
          </w:rPr>
          <w:fldChar w:fldCharType="end"/>
        </w:r>
      </w:hyperlink>
    </w:p>
    <w:p w14:paraId="2E9BCBD8" w14:textId="02150F99"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283" w:history="1">
        <w:r w:rsidRPr="00E60090">
          <w:rPr>
            <w:rStyle w:val="Lienhypertexte"/>
            <w:noProof/>
          </w:rPr>
          <w:t>1.6.2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Confidentialité</w:t>
        </w:r>
        <w:r>
          <w:rPr>
            <w:noProof/>
            <w:webHidden/>
          </w:rPr>
          <w:tab/>
        </w:r>
        <w:r>
          <w:rPr>
            <w:noProof/>
            <w:webHidden/>
          </w:rPr>
          <w:fldChar w:fldCharType="begin"/>
        </w:r>
        <w:r>
          <w:rPr>
            <w:noProof/>
            <w:webHidden/>
          </w:rPr>
          <w:instrText xml:space="preserve"> PAGEREF _Toc150246283 \h </w:instrText>
        </w:r>
        <w:r>
          <w:rPr>
            <w:noProof/>
            <w:webHidden/>
          </w:rPr>
        </w:r>
        <w:r>
          <w:rPr>
            <w:noProof/>
            <w:webHidden/>
          </w:rPr>
          <w:fldChar w:fldCharType="separate"/>
        </w:r>
        <w:r>
          <w:rPr>
            <w:noProof/>
            <w:webHidden/>
          </w:rPr>
          <w:t>8</w:t>
        </w:r>
        <w:r>
          <w:rPr>
            <w:noProof/>
            <w:webHidden/>
          </w:rPr>
          <w:fldChar w:fldCharType="end"/>
        </w:r>
      </w:hyperlink>
    </w:p>
    <w:p w14:paraId="29E7D72A" w14:textId="766D7219"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4" w:history="1">
        <w:r w:rsidRPr="00E60090">
          <w:rPr>
            <w:rStyle w:val="Lienhypertexte"/>
            <w:noProof/>
          </w:rPr>
          <w:t>1.7</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Obligations déontologiques</w:t>
        </w:r>
        <w:r>
          <w:rPr>
            <w:noProof/>
            <w:webHidden/>
          </w:rPr>
          <w:tab/>
        </w:r>
        <w:r>
          <w:rPr>
            <w:noProof/>
            <w:webHidden/>
          </w:rPr>
          <w:fldChar w:fldCharType="begin"/>
        </w:r>
        <w:r>
          <w:rPr>
            <w:noProof/>
            <w:webHidden/>
          </w:rPr>
          <w:instrText xml:space="preserve"> PAGEREF _Toc150246284 \h </w:instrText>
        </w:r>
        <w:r>
          <w:rPr>
            <w:noProof/>
            <w:webHidden/>
          </w:rPr>
        </w:r>
        <w:r>
          <w:rPr>
            <w:noProof/>
            <w:webHidden/>
          </w:rPr>
          <w:fldChar w:fldCharType="separate"/>
        </w:r>
        <w:r>
          <w:rPr>
            <w:noProof/>
            <w:webHidden/>
          </w:rPr>
          <w:t>9</w:t>
        </w:r>
        <w:r>
          <w:rPr>
            <w:noProof/>
            <w:webHidden/>
          </w:rPr>
          <w:fldChar w:fldCharType="end"/>
        </w:r>
      </w:hyperlink>
    </w:p>
    <w:p w14:paraId="3E363ADA" w14:textId="1854DB14"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5" w:history="1">
        <w:r w:rsidRPr="00E60090">
          <w:rPr>
            <w:rStyle w:val="Lienhypertexte"/>
            <w:noProof/>
          </w:rPr>
          <w:t>1.8</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Droit applicable et tribunaux compétents</w:t>
        </w:r>
        <w:r>
          <w:rPr>
            <w:noProof/>
            <w:webHidden/>
          </w:rPr>
          <w:tab/>
        </w:r>
        <w:r>
          <w:rPr>
            <w:noProof/>
            <w:webHidden/>
          </w:rPr>
          <w:fldChar w:fldCharType="begin"/>
        </w:r>
        <w:r>
          <w:rPr>
            <w:noProof/>
            <w:webHidden/>
          </w:rPr>
          <w:instrText xml:space="preserve"> PAGEREF _Toc150246285 \h </w:instrText>
        </w:r>
        <w:r>
          <w:rPr>
            <w:noProof/>
            <w:webHidden/>
          </w:rPr>
        </w:r>
        <w:r>
          <w:rPr>
            <w:noProof/>
            <w:webHidden/>
          </w:rPr>
          <w:fldChar w:fldCharType="separate"/>
        </w:r>
        <w:r>
          <w:rPr>
            <w:noProof/>
            <w:webHidden/>
          </w:rPr>
          <w:t>10</w:t>
        </w:r>
        <w:r>
          <w:rPr>
            <w:noProof/>
            <w:webHidden/>
          </w:rPr>
          <w:fldChar w:fldCharType="end"/>
        </w:r>
      </w:hyperlink>
    </w:p>
    <w:p w14:paraId="417C99CF" w14:textId="77F8DE74"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286" w:history="1">
        <w:r w:rsidRPr="00E60090">
          <w:rPr>
            <w:rStyle w:val="Lienhypertexte"/>
            <w:noProof/>
          </w:rPr>
          <w:t>et portée</w:t>
        </w:r>
        <w:r>
          <w:rPr>
            <w:noProof/>
            <w:webHidden/>
          </w:rPr>
          <w:tab/>
        </w:r>
        <w:r>
          <w:rPr>
            <w:noProof/>
            <w:webHidden/>
          </w:rPr>
          <w:fldChar w:fldCharType="begin"/>
        </w:r>
        <w:r>
          <w:rPr>
            <w:noProof/>
            <w:webHidden/>
          </w:rPr>
          <w:instrText xml:space="preserve"> PAGEREF _Toc150246286 \h </w:instrText>
        </w:r>
        <w:r>
          <w:rPr>
            <w:noProof/>
            <w:webHidden/>
          </w:rPr>
        </w:r>
        <w:r>
          <w:rPr>
            <w:noProof/>
            <w:webHidden/>
          </w:rPr>
          <w:fldChar w:fldCharType="separate"/>
        </w:r>
        <w:r>
          <w:rPr>
            <w:noProof/>
            <w:webHidden/>
          </w:rPr>
          <w:t>11</w:t>
        </w:r>
        <w:r>
          <w:rPr>
            <w:noProof/>
            <w:webHidden/>
          </w:rPr>
          <w:fldChar w:fldCharType="end"/>
        </w:r>
      </w:hyperlink>
    </w:p>
    <w:p w14:paraId="64256128" w14:textId="74309FB0"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287" w:history="1">
        <w:r w:rsidRPr="00E60090">
          <w:rPr>
            <w:rStyle w:val="Lienhypertexte"/>
            <w:noProof/>
          </w:rPr>
          <w:t>2</w:t>
        </w:r>
        <w:r>
          <w:rPr>
            <w:rFonts w:asciiTheme="minorHAnsi" w:eastAsiaTheme="minorEastAsia" w:hAnsiTheme="minorHAnsi" w:cstheme="minorBidi"/>
            <w:b w:val="0"/>
            <w:noProof/>
            <w:color w:val="auto"/>
            <w:kern w:val="2"/>
            <w:sz w:val="22"/>
            <w:lang w:val="fr-FR" w:eastAsia="fr-FR"/>
            <w14:ligatures w14:val="standardContextual"/>
          </w:rPr>
          <w:tab/>
        </w:r>
        <w:r w:rsidRPr="00E60090">
          <w:rPr>
            <w:rStyle w:val="Lienhypertexte"/>
            <w:noProof/>
          </w:rPr>
          <w:t>Objet et portée du marché</w:t>
        </w:r>
        <w:r>
          <w:rPr>
            <w:noProof/>
            <w:webHidden/>
          </w:rPr>
          <w:tab/>
        </w:r>
        <w:r>
          <w:rPr>
            <w:noProof/>
            <w:webHidden/>
          </w:rPr>
          <w:fldChar w:fldCharType="begin"/>
        </w:r>
        <w:r>
          <w:rPr>
            <w:noProof/>
            <w:webHidden/>
          </w:rPr>
          <w:instrText xml:space="preserve"> PAGEREF _Toc150246287 \h </w:instrText>
        </w:r>
        <w:r>
          <w:rPr>
            <w:noProof/>
            <w:webHidden/>
          </w:rPr>
        </w:r>
        <w:r>
          <w:rPr>
            <w:noProof/>
            <w:webHidden/>
          </w:rPr>
          <w:fldChar w:fldCharType="separate"/>
        </w:r>
        <w:r>
          <w:rPr>
            <w:noProof/>
            <w:webHidden/>
          </w:rPr>
          <w:t>11</w:t>
        </w:r>
        <w:r>
          <w:rPr>
            <w:noProof/>
            <w:webHidden/>
          </w:rPr>
          <w:fldChar w:fldCharType="end"/>
        </w:r>
      </w:hyperlink>
    </w:p>
    <w:p w14:paraId="090D15E6" w14:textId="224EC8EA"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8" w:history="1">
        <w:r w:rsidRPr="00E60090">
          <w:rPr>
            <w:rStyle w:val="Lienhypertexte"/>
            <w:noProof/>
          </w:rPr>
          <w:t>2.1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Nature du marché</w:t>
        </w:r>
        <w:r>
          <w:rPr>
            <w:noProof/>
            <w:webHidden/>
          </w:rPr>
          <w:tab/>
        </w:r>
        <w:r>
          <w:rPr>
            <w:noProof/>
            <w:webHidden/>
          </w:rPr>
          <w:fldChar w:fldCharType="begin"/>
        </w:r>
        <w:r>
          <w:rPr>
            <w:noProof/>
            <w:webHidden/>
          </w:rPr>
          <w:instrText xml:space="preserve"> PAGEREF _Toc150246288 \h </w:instrText>
        </w:r>
        <w:r>
          <w:rPr>
            <w:noProof/>
            <w:webHidden/>
          </w:rPr>
        </w:r>
        <w:r>
          <w:rPr>
            <w:noProof/>
            <w:webHidden/>
          </w:rPr>
          <w:fldChar w:fldCharType="separate"/>
        </w:r>
        <w:r>
          <w:rPr>
            <w:noProof/>
            <w:webHidden/>
          </w:rPr>
          <w:t>11</w:t>
        </w:r>
        <w:r>
          <w:rPr>
            <w:noProof/>
            <w:webHidden/>
          </w:rPr>
          <w:fldChar w:fldCharType="end"/>
        </w:r>
      </w:hyperlink>
    </w:p>
    <w:p w14:paraId="560DCE47" w14:textId="044FEDBF"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89" w:history="1">
        <w:r w:rsidRPr="00E60090">
          <w:rPr>
            <w:rStyle w:val="Lienhypertexte"/>
            <w:noProof/>
          </w:rPr>
          <w:t>2.2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Objet du marché</w:t>
        </w:r>
        <w:r>
          <w:rPr>
            <w:noProof/>
            <w:webHidden/>
          </w:rPr>
          <w:tab/>
        </w:r>
        <w:r>
          <w:rPr>
            <w:noProof/>
            <w:webHidden/>
          </w:rPr>
          <w:fldChar w:fldCharType="begin"/>
        </w:r>
        <w:r>
          <w:rPr>
            <w:noProof/>
            <w:webHidden/>
          </w:rPr>
          <w:instrText xml:space="preserve"> PAGEREF _Toc150246289 \h </w:instrText>
        </w:r>
        <w:r>
          <w:rPr>
            <w:noProof/>
            <w:webHidden/>
          </w:rPr>
        </w:r>
        <w:r>
          <w:rPr>
            <w:noProof/>
            <w:webHidden/>
          </w:rPr>
          <w:fldChar w:fldCharType="separate"/>
        </w:r>
        <w:r>
          <w:rPr>
            <w:noProof/>
            <w:webHidden/>
          </w:rPr>
          <w:t>11</w:t>
        </w:r>
        <w:r>
          <w:rPr>
            <w:noProof/>
            <w:webHidden/>
          </w:rPr>
          <w:fldChar w:fldCharType="end"/>
        </w:r>
      </w:hyperlink>
    </w:p>
    <w:p w14:paraId="6AAF5CB2" w14:textId="42D3FED8"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0" w:history="1">
        <w:r w:rsidRPr="00E60090">
          <w:rPr>
            <w:rStyle w:val="Lienhypertexte"/>
            <w:noProof/>
          </w:rPr>
          <w:t>2.3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Lots</w:t>
        </w:r>
        <w:r>
          <w:rPr>
            <w:noProof/>
            <w:webHidden/>
          </w:rPr>
          <w:tab/>
        </w:r>
        <w:r>
          <w:rPr>
            <w:noProof/>
            <w:webHidden/>
          </w:rPr>
          <w:fldChar w:fldCharType="begin"/>
        </w:r>
        <w:r>
          <w:rPr>
            <w:noProof/>
            <w:webHidden/>
          </w:rPr>
          <w:instrText xml:space="preserve"> PAGEREF _Toc150246290 \h </w:instrText>
        </w:r>
        <w:r>
          <w:rPr>
            <w:noProof/>
            <w:webHidden/>
          </w:rPr>
        </w:r>
        <w:r>
          <w:rPr>
            <w:noProof/>
            <w:webHidden/>
          </w:rPr>
          <w:fldChar w:fldCharType="separate"/>
        </w:r>
        <w:r>
          <w:rPr>
            <w:noProof/>
            <w:webHidden/>
          </w:rPr>
          <w:t>11</w:t>
        </w:r>
        <w:r>
          <w:rPr>
            <w:noProof/>
            <w:webHidden/>
          </w:rPr>
          <w:fldChar w:fldCharType="end"/>
        </w:r>
      </w:hyperlink>
    </w:p>
    <w:p w14:paraId="64840FE0" w14:textId="187AB120"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1" w:history="1">
        <w:r w:rsidRPr="00E60090">
          <w:rPr>
            <w:rStyle w:val="Lienhypertexte"/>
            <w:noProof/>
          </w:rPr>
          <w:t>2.4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Postes</w:t>
        </w:r>
        <w:r>
          <w:rPr>
            <w:noProof/>
            <w:webHidden/>
          </w:rPr>
          <w:tab/>
        </w:r>
        <w:r>
          <w:rPr>
            <w:noProof/>
            <w:webHidden/>
          </w:rPr>
          <w:fldChar w:fldCharType="begin"/>
        </w:r>
        <w:r>
          <w:rPr>
            <w:noProof/>
            <w:webHidden/>
          </w:rPr>
          <w:instrText xml:space="preserve"> PAGEREF _Toc150246291 \h </w:instrText>
        </w:r>
        <w:r>
          <w:rPr>
            <w:noProof/>
            <w:webHidden/>
          </w:rPr>
        </w:r>
        <w:r>
          <w:rPr>
            <w:noProof/>
            <w:webHidden/>
          </w:rPr>
          <w:fldChar w:fldCharType="separate"/>
        </w:r>
        <w:r>
          <w:rPr>
            <w:noProof/>
            <w:webHidden/>
          </w:rPr>
          <w:t>11</w:t>
        </w:r>
        <w:r>
          <w:rPr>
            <w:noProof/>
            <w:webHidden/>
          </w:rPr>
          <w:fldChar w:fldCharType="end"/>
        </w:r>
      </w:hyperlink>
    </w:p>
    <w:p w14:paraId="3961DDD7" w14:textId="541D1C57"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2" w:history="1">
        <w:r w:rsidRPr="00E60090">
          <w:rPr>
            <w:rStyle w:val="Lienhypertexte"/>
            <w:noProof/>
          </w:rPr>
          <w:t>2.5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Durée du marché</w:t>
        </w:r>
        <w:r>
          <w:rPr>
            <w:noProof/>
            <w:webHidden/>
          </w:rPr>
          <w:tab/>
        </w:r>
        <w:r>
          <w:rPr>
            <w:noProof/>
            <w:webHidden/>
          </w:rPr>
          <w:fldChar w:fldCharType="begin"/>
        </w:r>
        <w:r>
          <w:rPr>
            <w:noProof/>
            <w:webHidden/>
          </w:rPr>
          <w:instrText xml:space="preserve"> PAGEREF _Toc150246292 \h </w:instrText>
        </w:r>
        <w:r>
          <w:rPr>
            <w:noProof/>
            <w:webHidden/>
          </w:rPr>
        </w:r>
        <w:r>
          <w:rPr>
            <w:noProof/>
            <w:webHidden/>
          </w:rPr>
          <w:fldChar w:fldCharType="separate"/>
        </w:r>
        <w:r>
          <w:rPr>
            <w:noProof/>
            <w:webHidden/>
          </w:rPr>
          <w:t>11</w:t>
        </w:r>
        <w:r>
          <w:rPr>
            <w:noProof/>
            <w:webHidden/>
          </w:rPr>
          <w:fldChar w:fldCharType="end"/>
        </w:r>
      </w:hyperlink>
    </w:p>
    <w:p w14:paraId="7A88564C" w14:textId="224783BA"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3" w:history="1">
        <w:r w:rsidRPr="00E60090">
          <w:rPr>
            <w:rStyle w:val="Lienhypertexte"/>
            <w:noProof/>
          </w:rPr>
          <w:t>2.6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 xml:space="preserve">Variantes </w:t>
        </w:r>
        <w:r w:rsidRPr="00E60090">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_Toc150246293 \h </w:instrText>
        </w:r>
        <w:r>
          <w:rPr>
            <w:noProof/>
            <w:webHidden/>
          </w:rPr>
        </w:r>
        <w:r>
          <w:rPr>
            <w:noProof/>
            <w:webHidden/>
          </w:rPr>
          <w:fldChar w:fldCharType="separate"/>
        </w:r>
        <w:r>
          <w:rPr>
            <w:noProof/>
            <w:webHidden/>
          </w:rPr>
          <w:t>11</w:t>
        </w:r>
        <w:r>
          <w:rPr>
            <w:noProof/>
            <w:webHidden/>
          </w:rPr>
          <w:fldChar w:fldCharType="end"/>
        </w:r>
      </w:hyperlink>
    </w:p>
    <w:p w14:paraId="5B638F9A" w14:textId="7C2BD3D7"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4" w:history="1">
        <w:r w:rsidRPr="00E60090">
          <w:rPr>
            <w:rStyle w:val="Lienhypertexte"/>
            <w:noProof/>
          </w:rPr>
          <w:t>2.7</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Option</w:t>
        </w:r>
        <w:r>
          <w:rPr>
            <w:noProof/>
            <w:webHidden/>
          </w:rPr>
          <w:tab/>
        </w:r>
        <w:r>
          <w:rPr>
            <w:noProof/>
            <w:webHidden/>
          </w:rPr>
          <w:fldChar w:fldCharType="begin"/>
        </w:r>
        <w:r>
          <w:rPr>
            <w:noProof/>
            <w:webHidden/>
          </w:rPr>
          <w:instrText xml:space="preserve"> PAGEREF _Toc150246294 \h </w:instrText>
        </w:r>
        <w:r>
          <w:rPr>
            <w:noProof/>
            <w:webHidden/>
          </w:rPr>
        </w:r>
        <w:r>
          <w:rPr>
            <w:noProof/>
            <w:webHidden/>
          </w:rPr>
          <w:fldChar w:fldCharType="separate"/>
        </w:r>
        <w:r>
          <w:rPr>
            <w:noProof/>
            <w:webHidden/>
          </w:rPr>
          <w:t>11</w:t>
        </w:r>
        <w:r>
          <w:rPr>
            <w:noProof/>
            <w:webHidden/>
          </w:rPr>
          <w:fldChar w:fldCharType="end"/>
        </w:r>
      </w:hyperlink>
    </w:p>
    <w:p w14:paraId="1588F9AA" w14:textId="7E10FD76"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5" w:history="1">
        <w:r w:rsidRPr="00E60090">
          <w:rPr>
            <w:rStyle w:val="Lienhypertexte"/>
            <w:noProof/>
          </w:rPr>
          <w:t>2.8</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Quantité</w:t>
        </w:r>
        <w:r>
          <w:rPr>
            <w:noProof/>
            <w:webHidden/>
          </w:rPr>
          <w:tab/>
        </w:r>
        <w:r>
          <w:rPr>
            <w:noProof/>
            <w:webHidden/>
          </w:rPr>
          <w:fldChar w:fldCharType="begin"/>
        </w:r>
        <w:r>
          <w:rPr>
            <w:noProof/>
            <w:webHidden/>
          </w:rPr>
          <w:instrText xml:space="preserve"> PAGEREF _Toc150246295 \h </w:instrText>
        </w:r>
        <w:r>
          <w:rPr>
            <w:noProof/>
            <w:webHidden/>
          </w:rPr>
        </w:r>
        <w:r>
          <w:rPr>
            <w:noProof/>
            <w:webHidden/>
          </w:rPr>
          <w:fldChar w:fldCharType="separate"/>
        </w:r>
        <w:r>
          <w:rPr>
            <w:noProof/>
            <w:webHidden/>
          </w:rPr>
          <w:t>12</w:t>
        </w:r>
        <w:r>
          <w:rPr>
            <w:noProof/>
            <w:webHidden/>
          </w:rPr>
          <w:fldChar w:fldCharType="end"/>
        </w:r>
      </w:hyperlink>
    </w:p>
    <w:p w14:paraId="42DEA5C1" w14:textId="6619D723"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296" w:history="1">
        <w:r w:rsidRPr="00E60090">
          <w:rPr>
            <w:rStyle w:val="Lienhypertexte"/>
            <w:noProof/>
          </w:rPr>
          <w:t>3</w:t>
        </w:r>
        <w:r>
          <w:rPr>
            <w:rFonts w:asciiTheme="minorHAnsi" w:eastAsiaTheme="minorEastAsia" w:hAnsiTheme="minorHAnsi" w:cstheme="minorBidi"/>
            <w:b w:val="0"/>
            <w:noProof/>
            <w:color w:val="auto"/>
            <w:kern w:val="2"/>
            <w:sz w:val="22"/>
            <w:lang w:val="fr-FR" w:eastAsia="fr-FR"/>
            <w14:ligatures w14:val="standardContextual"/>
          </w:rPr>
          <w:tab/>
        </w:r>
        <w:r w:rsidRPr="00E60090">
          <w:rPr>
            <w:rStyle w:val="Lienhypertexte"/>
            <w:noProof/>
          </w:rPr>
          <w:t>Procédure</w:t>
        </w:r>
        <w:r>
          <w:rPr>
            <w:noProof/>
            <w:webHidden/>
          </w:rPr>
          <w:tab/>
        </w:r>
        <w:r>
          <w:rPr>
            <w:noProof/>
            <w:webHidden/>
          </w:rPr>
          <w:fldChar w:fldCharType="begin"/>
        </w:r>
        <w:r>
          <w:rPr>
            <w:noProof/>
            <w:webHidden/>
          </w:rPr>
          <w:instrText xml:space="preserve"> PAGEREF _Toc150246296 \h </w:instrText>
        </w:r>
        <w:r>
          <w:rPr>
            <w:noProof/>
            <w:webHidden/>
          </w:rPr>
        </w:r>
        <w:r>
          <w:rPr>
            <w:noProof/>
            <w:webHidden/>
          </w:rPr>
          <w:fldChar w:fldCharType="separate"/>
        </w:r>
        <w:r>
          <w:rPr>
            <w:noProof/>
            <w:webHidden/>
          </w:rPr>
          <w:t>13</w:t>
        </w:r>
        <w:r>
          <w:rPr>
            <w:noProof/>
            <w:webHidden/>
          </w:rPr>
          <w:fldChar w:fldCharType="end"/>
        </w:r>
      </w:hyperlink>
    </w:p>
    <w:p w14:paraId="7289C363" w14:textId="01B9E31E"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7" w:history="1">
        <w:r w:rsidRPr="00E60090">
          <w:rPr>
            <w:rStyle w:val="Lienhypertexte"/>
            <w:noProof/>
          </w:rPr>
          <w:t>3.1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Mode de passation</w:t>
        </w:r>
        <w:r>
          <w:rPr>
            <w:noProof/>
            <w:webHidden/>
          </w:rPr>
          <w:tab/>
        </w:r>
        <w:r>
          <w:rPr>
            <w:noProof/>
            <w:webHidden/>
          </w:rPr>
          <w:fldChar w:fldCharType="begin"/>
        </w:r>
        <w:r>
          <w:rPr>
            <w:noProof/>
            <w:webHidden/>
          </w:rPr>
          <w:instrText xml:space="preserve"> PAGEREF _Toc150246297 \h </w:instrText>
        </w:r>
        <w:r>
          <w:rPr>
            <w:noProof/>
            <w:webHidden/>
          </w:rPr>
        </w:r>
        <w:r>
          <w:rPr>
            <w:noProof/>
            <w:webHidden/>
          </w:rPr>
          <w:fldChar w:fldCharType="separate"/>
        </w:r>
        <w:r>
          <w:rPr>
            <w:noProof/>
            <w:webHidden/>
          </w:rPr>
          <w:t>13</w:t>
        </w:r>
        <w:r>
          <w:rPr>
            <w:noProof/>
            <w:webHidden/>
          </w:rPr>
          <w:fldChar w:fldCharType="end"/>
        </w:r>
      </w:hyperlink>
    </w:p>
    <w:p w14:paraId="2A19AAD9" w14:textId="0DB627DF"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298" w:history="1">
        <w:r w:rsidRPr="00E60090">
          <w:rPr>
            <w:rStyle w:val="Lienhypertexte"/>
            <w:noProof/>
          </w:rPr>
          <w:t>3.2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Publication</w:t>
        </w:r>
        <w:r>
          <w:rPr>
            <w:noProof/>
            <w:webHidden/>
          </w:rPr>
          <w:tab/>
        </w:r>
        <w:r>
          <w:rPr>
            <w:noProof/>
            <w:webHidden/>
          </w:rPr>
          <w:fldChar w:fldCharType="begin"/>
        </w:r>
        <w:r>
          <w:rPr>
            <w:noProof/>
            <w:webHidden/>
          </w:rPr>
          <w:instrText xml:space="preserve"> PAGEREF _Toc150246298 \h </w:instrText>
        </w:r>
        <w:r>
          <w:rPr>
            <w:noProof/>
            <w:webHidden/>
          </w:rPr>
        </w:r>
        <w:r>
          <w:rPr>
            <w:noProof/>
            <w:webHidden/>
          </w:rPr>
          <w:fldChar w:fldCharType="separate"/>
        </w:r>
        <w:r>
          <w:rPr>
            <w:noProof/>
            <w:webHidden/>
          </w:rPr>
          <w:t>13</w:t>
        </w:r>
        <w:r>
          <w:rPr>
            <w:noProof/>
            <w:webHidden/>
          </w:rPr>
          <w:fldChar w:fldCharType="end"/>
        </w:r>
      </w:hyperlink>
    </w:p>
    <w:p w14:paraId="35BC004E" w14:textId="2B58FD57"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299" w:history="1">
        <w:r w:rsidRPr="00E60090">
          <w:rPr>
            <w:rStyle w:val="Lienhypertexte"/>
            <w:noProof/>
          </w:rPr>
          <w:t>3.2.1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Publicité officielle</w:t>
        </w:r>
        <w:r>
          <w:rPr>
            <w:noProof/>
            <w:webHidden/>
          </w:rPr>
          <w:tab/>
        </w:r>
        <w:r>
          <w:rPr>
            <w:noProof/>
            <w:webHidden/>
          </w:rPr>
          <w:fldChar w:fldCharType="begin"/>
        </w:r>
        <w:r>
          <w:rPr>
            <w:noProof/>
            <w:webHidden/>
          </w:rPr>
          <w:instrText xml:space="preserve"> PAGEREF _Toc150246299 \h </w:instrText>
        </w:r>
        <w:r>
          <w:rPr>
            <w:noProof/>
            <w:webHidden/>
          </w:rPr>
        </w:r>
        <w:r>
          <w:rPr>
            <w:noProof/>
            <w:webHidden/>
          </w:rPr>
          <w:fldChar w:fldCharType="separate"/>
        </w:r>
        <w:r>
          <w:rPr>
            <w:noProof/>
            <w:webHidden/>
          </w:rPr>
          <w:t>13</w:t>
        </w:r>
        <w:r>
          <w:rPr>
            <w:noProof/>
            <w:webHidden/>
          </w:rPr>
          <w:fldChar w:fldCharType="end"/>
        </w:r>
      </w:hyperlink>
    </w:p>
    <w:p w14:paraId="08647007" w14:textId="5CC8D4E3"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0" w:history="1">
        <w:r w:rsidRPr="00E60090">
          <w:rPr>
            <w:rStyle w:val="Lienhypertexte"/>
            <w:noProof/>
          </w:rPr>
          <w:t>3.2.2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Publication Enabel</w:t>
        </w:r>
        <w:r>
          <w:rPr>
            <w:noProof/>
            <w:webHidden/>
          </w:rPr>
          <w:tab/>
        </w:r>
        <w:r>
          <w:rPr>
            <w:noProof/>
            <w:webHidden/>
          </w:rPr>
          <w:fldChar w:fldCharType="begin"/>
        </w:r>
        <w:r>
          <w:rPr>
            <w:noProof/>
            <w:webHidden/>
          </w:rPr>
          <w:instrText xml:space="preserve"> PAGEREF _Toc150246300 \h </w:instrText>
        </w:r>
        <w:r>
          <w:rPr>
            <w:noProof/>
            <w:webHidden/>
          </w:rPr>
        </w:r>
        <w:r>
          <w:rPr>
            <w:noProof/>
            <w:webHidden/>
          </w:rPr>
          <w:fldChar w:fldCharType="separate"/>
        </w:r>
        <w:r>
          <w:rPr>
            <w:noProof/>
            <w:webHidden/>
          </w:rPr>
          <w:t>13</w:t>
        </w:r>
        <w:r>
          <w:rPr>
            <w:noProof/>
            <w:webHidden/>
          </w:rPr>
          <w:fldChar w:fldCharType="end"/>
        </w:r>
      </w:hyperlink>
    </w:p>
    <w:p w14:paraId="102A7F28" w14:textId="13A507A6"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01" w:history="1">
        <w:r w:rsidRPr="00E60090">
          <w:rPr>
            <w:rStyle w:val="Lienhypertexte"/>
            <w:noProof/>
          </w:rPr>
          <w:t>3.3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Information</w:t>
        </w:r>
        <w:r>
          <w:rPr>
            <w:noProof/>
            <w:webHidden/>
          </w:rPr>
          <w:tab/>
        </w:r>
        <w:r>
          <w:rPr>
            <w:noProof/>
            <w:webHidden/>
          </w:rPr>
          <w:fldChar w:fldCharType="begin"/>
        </w:r>
        <w:r>
          <w:rPr>
            <w:noProof/>
            <w:webHidden/>
          </w:rPr>
          <w:instrText xml:space="preserve"> PAGEREF _Toc150246301 \h </w:instrText>
        </w:r>
        <w:r>
          <w:rPr>
            <w:noProof/>
            <w:webHidden/>
          </w:rPr>
        </w:r>
        <w:r>
          <w:rPr>
            <w:noProof/>
            <w:webHidden/>
          </w:rPr>
          <w:fldChar w:fldCharType="separate"/>
        </w:r>
        <w:r>
          <w:rPr>
            <w:noProof/>
            <w:webHidden/>
          </w:rPr>
          <w:t>13</w:t>
        </w:r>
        <w:r>
          <w:rPr>
            <w:noProof/>
            <w:webHidden/>
          </w:rPr>
          <w:fldChar w:fldCharType="end"/>
        </w:r>
      </w:hyperlink>
    </w:p>
    <w:p w14:paraId="495CE75D" w14:textId="444A1687"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02" w:history="1">
        <w:r w:rsidRPr="00E60090">
          <w:rPr>
            <w:rStyle w:val="Lienhypertexte"/>
            <w:noProof/>
          </w:rPr>
          <w:t>3.4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Offre</w:t>
        </w:r>
        <w:r>
          <w:rPr>
            <w:noProof/>
            <w:webHidden/>
          </w:rPr>
          <w:tab/>
        </w:r>
        <w:r>
          <w:rPr>
            <w:noProof/>
            <w:webHidden/>
          </w:rPr>
          <w:fldChar w:fldCharType="begin"/>
        </w:r>
        <w:r>
          <w:rPr>
            <w:noProof/>
            <w:webHidden/>
          </w:rPr>
          <w:instrText xml:space="preserve"> PAGEREF _Toc150246302 \h </w:instrText>
        </w:r>
        <w:r>
          <w:rPr>
            <w:noProof/>
            <w:webHidden/>
          </w:rPr>
        </w:r>
        <w:r>
          <w:rPr>
            <w:noProof/>
            <w:webHidden/>
          </w:rPr>
          <w:fldChar w:fldCharType="separate"/>
        </w:r>
        <w:r>
          <w:rPr>
            <w:noProof/>
            <w:webHidden/>
          </w:rPr>
          <w:t>14</w:t>
        </w:r>
        <w:r>
          <w:rPr>
            <w:noProof/>
            <w:webHidden/>
          </w:rPr>
          <w:fldChar w:fldCharType="end"/>
        </w:r>
      </w:hyperlink>
    </w:p>
    <w:p w14:paraId="0C24BFB8" w14:textId="200F5650"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3" w:history="1">
        <w:r w:rsidRPr="00E60090">
          <w:rPr>
            <w:rStyle w:val="Lienhypertexte"/>
            <w:noProof/>
          </w:rPr>
          <w:t>3.4.1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Données à mentionner dans l’offre</w:t>
        </w:r>
        <w:r>
          <w:rPr>
            <w:noProof/>
            <w:webHidden/>
          </w:rPr>
          <w:tab/>
        </w:r>
        <w:r>
          <w:rPr>
            <w:noProof/>
            <w:webHidden/>
          </w:rPr>
          <w:fldChar w:fldCharType="begin"/>
        </w:r>
        <w:r>
          <w:rPr>
            <w:noProof/>
            <w:webHidden/>
          </w:rPr>
          <w:instrText xml:space="preserve"> PAGEREF _Toc150246303 \h </w:instrText>
        </w:r>
        <w:r>
          <w:rPr>
            <w:noProof/>
            <w:webHidden/>
          </w:rPr>
        </w:r>
        <w:r>
          <w:rPr>
            <w:noProof/>
            <w:webHidden/>
          </w:rPr>
          <w:fldChar w:fldCharType="separate"/>
        </w:r>
        <w:r>
          <w:rPr>
            <w:noProof/>
            <w:webHidden/>
          </w:rPr>
          <w:t>14</w:t>
        </w:r>
        <w:r>
          <w:rPr>
            <w:noProof/>
            <w:webHidden/>
          </w:rPr>
          <w:fldChar w:fldCharType="end"/>
        </w:r>
      </w:hyperlink>
    </w:p>
    <w:p w14:paraId="78DB9CA7" w14:textId="3EC7802F"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4" w:history="1">
        <w:r w:rsidRPr="00E60090">
          <w:rPr>
            <w:rStyle w:val="Lienhypertexte"/>
            <w:noProof/>
          </w:rPr>
          <w:t>3.4.2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Durée de validité de l’offre</w:t>
        </w:r>
        <w:r>
          <w:rPr>
            <w:noProof/>
            <w:webHidden/>
          </w:rPr>
          <w:tab/>
        </w:r>
        <w:r>
          <w:rPr>
            <w:noProof/>
            <w:webHidden/>
          </w:rPr>
          <w:fldChar w:fldCharType="begin"/>
        </w:r>
        <w:r>
          <w:rPr>
            <w:noProof/>
            <w:webHidden/>
          </w:rPr>
          <w:instrText xml:space="preserve"> PAGEREF _Toc150246304 \h </w:instrText>
        </w:r>
        <w:r>
          <w:rPr>
            <w:noProof/>
            <w:webHidden/>
          </w:rPr>
        </w:r>
        <w:r>
          <w:rPr>
            <w:noProof/>
            <w:webHidden/>
          </w:rPr>
          <w:fldChar w:fldCharType="separate"/>
        </w:r>
        <w:r>
          <w:rPr>
            <w:noProof/>
            <w:webHidden/>
          </w:rPr>
          <w:t>14</w:t>
        </w:r>
        <w:r>
          <w:rPr>
            <w:noProof/>
            <w:webHidden/>
          </w:rPr>
          <w:fldChar w:fldCharType="end"/>
        </w:r>
      </w:hyperlink>
    </w:p>
    <w:p w14:paraId="1C15B652" w14:textId="7260884F"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5" w:history="1">
        <w:r w:rsidRPr="00E60090">
          <w:rPr>
            <w:rStyle w:val="Lienhypertexte"/>
            <w:noProof/>
          </w:rPr>
          <w:t>3.4.3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Détermination des prix</w:t>
        </w:r>
        <w:r>
          <w:rPr>
            <w:noProof/>
            <w:webHidden/>
          </w:rPr>
          <w:tab/>
        </w:r>
        <w:r>
          <w:rPr>
            <w:noProof/>
            <w:webHidden/>
          </w:rPr>
          <w:fldChar w:fldCharType="begin"/>
        </w:r>
        <w:r>
          <w:rPr>
            <w:noProof/>
            <w:webHidden/>
          </w:rPr>
          <w:instrText xml:space="preserve"> PAGEREF _Toc150246305 \h </w:instrText>
        </w:r>
        <w:r>
          <w:rPr>
            <w:noProof/>
            <w:webHidden/>
          </w:rPr>
        </w:r>
        <w:r>
          <w:rPr>
            <w:noProof/>
            <w:webHidden/>
          </w:rPr>
          <w:fldChar w:fldCharType="separate"/>
        </w:r>
        <w:r>
          <w:rPr>
            <w:noProof/>
            <w:webHidden/>
          </w:rPr>
          <w:t>14</w:t>
        </w:r>
        <w:r>
          <w:rPr>
            <w:noProof/>
            <w:webHidden/>
          </w:rPr>
          <w:fldChar w:fldCharType="end"/>
        </w:r>
      </w:hyperlink>
    </w:p>
    <w:p w14:paraId="080020D0" w14:textId="62FD2CA1"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06" w:history="1">
        <w:r w:rsidRPr="00E60090">
          <w:rPr>
            <w:rStyle w:val="Lienhypertexte"/>
            <w:noProof/>
          </w:rPr>
          <w:t>3.4.3.1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Eléments inclus dans le prix</w:t>
        </w:r>
        <w:r>
          <w:rPr>
            <w:noProof/>
            <w:webHidden/>
          </w:rPr>
          <w:tab/>
        </w:r>
        <w:r>
          <w:rPr>
            <w:noProof/>
            <w:webHidden/>
          </w:rPr>
          <w:fldChar w:fldCharType="begin"/>
        </w:r>
        <w:r>
          <w:rPr>
            <w:noProof/>
            <w:webHidden/>
          </w:rPr>
          <w:instrText xml:space="preserve"> PAGEREF _Toc150246306 \h </w:instrText>
        </w:r>
        <w:r>
          <w:rPr>
            <w:noProof/>
            <w:webHidden/>
          </w:rPr>
        </w:r>
        <w:r>
          <w:rPr>
            <w:noProof/>
            <w:webHidden/>
          </w:rPr>
          <w:fldChar w:fldCharType="separate"/>
        </w:r>
        <w:r>
          <w:rPr>
            <w:noProof/>
            <w:webHidden/>
          </w:rPr>
          <w:t>14</w:t>
        </w:r>
        <w:r>
          <w:rPr>
            <w:noProof/>
            <w:webHidden/>
          </w:rPr>
          <w:fldChar w:fldCharType="end"/>
        </w:r>
      </w:hyperlink>
    </w:p>
    <w:p w14:paraId="07F787CF" w14:textId="2D00AAD2"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7" w:history="1">
        <w:r w:rsidRPr="00E60090">
          <w:rPr>
            <w:rStyle w:val="Lienhypertexte"/>
            <w:noProof/>
          </w:rPr>
          <w:t>3.4.4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Introduction des offres</w:t>
        </w:r>
        <w:r>
          <w:rPr>
            <w:noProof/>
            <w:webHidden/>
          </w:rPr>
          <w:tab/>
        </w:r>
        <w:r>
          <w:rPr>
            <w:noProof/>
            <w:webHidden/>
          </w:rPr>
          <w:fldChar w:fldCharType="begin"/>
        </w:r>
        <w:r>
          <w:rPr>
            <w:noProof/>
            <w:webHidden/>
          </w:rPr>
          <w:instrText xml:space="preserve"> PAGEREF _Toc150246307 \h </w:instrText>
        </w:r>
        <w:r>
          <w:rPr>
            <w:noProof/>
            <w:webHidden/>
          </w:rPr>
        </w:r>
        <w:r>
          <w:rPr>
            <w:noProof/>
            <w:webHidden/>
          </w:rPr>
          <w:fldChar w:fldCharType="separate"/>
        </w:r>
        <w:r>
          <w:rPr>
            <w:noProof/>
            <w:webHidden/>
          </w:rPr>
          <w:t>15</w:t>
        </w:r>
        <w:r>
          <w:rPr>
            <w:noProof/>
            <w:webHidden/>
          </w:rPr>
          <w:fldChar w:fldCharType="end"/>
        </w:r>
      </w:hyperlink>
    </w:p>
    <w:p w14:paraId="3E21C52D" w14:textId="1B1884A7"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8" w:history="1">
        <w:r w:rsidRPr="00E60090">
          <w:rPr>
            <w:rStyle w:val="Lienhypertexte"/>
            <w:noProof/>
          </w:rPr>
          <w:t>3.4.5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_Toc150246308 \h </w:instrText>
        </w:r>
        <w:r>
          <w:rPr>
            <w:noProof/>
            <w:webHidden/>
          </w:rPr>
        </w:r>
        <w:r>
          <w:rPr>
            <w:noProof/>
            <w:webHidden/>
          </w:rPr>
          <w:fldChar w:fldCharType="separate"/>
        </w:r>
        <w:r>
          <w:rPr>
            <w:noProof/>
            <w:webHidden/>
          </w:rPr>
          <w:t>16</w:t>
        </w:r>
        <w:r>
          <w:rPr>
            <w:noProof/>
            <w:webHidden/>
          </w:rPr>
          <w:fldChar w:fldCharType="end"/>
        </w:r>
      </w:hyperlink>
    </w:p>
    <w:p w14:paraId="309612EF" w14:textId="5CDDD441"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09" w:history="1">
        <w:r w:rsidRPr="00E60090">
          <w:rPr>
            <w:rStyle w:val="Lienhypertexte"/>
            <w:noProof/>
          </w:rPr>
          <w:t>3.4.6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Ouverture des offres</w:t>
        </w:r>
        <w:r>
          <w:rPr>
            <w:noProof/>
            <w:webHidden/>
          </w:rPr>
          <w:tab/>
        </w:r>
        <w:r>
          <w:rPr>
            <w:noProof/>
            <w:webHidden/>
          </w:rPr>
          <w:fldChar w:fldCharType="begin"/>
        </w:r>
        <w:r>
          <w:rPr>
            <w:noProof/>
            <w:webHidden/>
          </w:rPr>
          <w:instrText xml:space="preserve"> PAGEREF _Toc150246309 \h </w:instrText>
        </w:r>
        <w:r>
          <w:rPr>
            <w:noProof/>
            <w:webHidden/>
          </w:rPr>
        </w:r>
        <w:r>
          <w:rPr>
            <w:noProof/>
            <w:webHidden/>
          </w:rPr>
          <w:fldChar w:fldCharType="separate"/>
        </w:r>
        <w:r>
          <w:rPr>
            <w:noProof/>
            <w:webHidden/>
          </w:rPr>
          <w:t>16</w:t>
        </w:r>
        <w:r>
          <w:rPr>
            <w:noProof/>
            <w:webHidden/>
          </w:rPr>
          <w:fldChar w:fldCharType="end"/>
        </w:r>
      </w:hyperlink>
    </w:p>
    <w:p w14:paraId="08612E86" w14:textId="5FB21E55"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10" w:history="1">
        <w:r w:rsidRPr="00E60090">
          <w:rPr>
            <w:rStyle w:val="Lienhypertexte"/>
            <w:noProof/>
          </w:rPr>
          <w:t>3.4.7</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Sélection des soumissionnaires</w:t>
        </w:r>
        <w:r>
          <w:rPr>
            <w:noProof/>
            <w:webHidden/>
          </w:rPr>
          <w:tab/>
        </w:r>
        <w:r>
          <w:rPr>
            <w:noProof/>
            <w:webHidden/>
          </w:rPr>
          <w:fldChar w:fldCharType="begin"/>
        </w:r>
        <w:r>
          <w:rPr>
            <w:noProof/>
            <w:webHidden/>
          </w:rPr>
          <w:instrText xml:space="preserve"> PAGEREF _Toc150246310 \h </w:instrText>
        </w:r>
        <w:r>
          <w:rPr>
            <w:noProof/>
            <w:webHidden/>
          </w:rPr>
        </w:r>
        <w:r>
          <w:rPr>
            <w:noProof/>
            <w:webHidden/>
          </w:rPr>
          <w:fldChar w:fldCharType="separate"/>
        </w:r>
        <w:r>
          <w:rPr>
            <w:noProof/>
            <w:webHidden/>
          </w:rPr>
          <w:t>16</w:t>
        </w:r>
        <w:r>
          <w:rPr>
            <w:noProof/>
            <w:webHidden/>
          </w:rPr>
          <w:fldChar w:fldCharType="end"/>
        </w:r>
      </w:hyperlink>
    </w:p>
    <w:p w14:paraId="13427A0A" w14:textId="5BF8C92C"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1" w:history="1">
        <w:r w:rsidRPr="00E60090">
          <w:rPr>
            <w:rStyle w:val="Lienhypertexte"/>
            <w:noProof/>
          </w:rPr>
          <w:t>3.4.7.1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Motifs d’exclusion</w:t>
        </w:r>
        <w:r>
          <w:rPr>
            <w:noProof/>
            <w:webHidden/>
          </w:rPr>
          <w:tab/>
        </w:r>
        <w:r>
          <w:rPr>
            <w:noProof/>
            <w:webHidden/>
          </w:rPr>
          <w:fldChar w:fldCharType="begin"/>
        </w:r>
        <w:r>
          <w:rPr>
            <w:noProof/>
            <w:webHidden/>
          </w:rPr>
          <w:instrText xml:space="preserve"> PAGEREF _Toc150246311 \h </w:instrText>
        </w:r>
        <w:r>
          <w:rPr>
            <w:noProof/>
            <w:webHidden/>
          </w:rPr>
        </w:r>
        <w:r>
          <w:rPr>
            <w:noProof/>
            <w:webHidden/>
          </w:rPr>
          <w:fldChar w:fldCharType="separate"/>
        </w:r>
        <w:r>
          <w:rPr>
            <w:noProof/>
            <w:webHidden/>
          </w:rPr>
          <w:t>16</w:t>
        </w:r>
        <w:r>
          <w:rPr>
            <w:noProof/>
            <w:webHidden/>
          </w:rPr>
          <w:fldChar w:fldCharType="end"/>
        </w:r>
      </w:hyperlink>
    </w:p>
    <w:p w14:paraId="78507D50" w14:textId="5BB6D9A5"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2" w:history="1">
        <w:r w:rsidRPr="00E60090">
          <w:rPr>
            <w:rStyle w:val="Lienhypertexte"/>
            <w:rFonts w:cs="Arial"/>
            <w:i/>
            <w:noProof/>
          </w:rPr>
          <w:t>3.4.7.2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Critères de sélection</w:t>
        </w:r>
        <w:r>
          <w:rPr>
            <w:noProof/>
            <w:webHidden/>
          </w:rPr>
          <w:tab/>
        </w:r>
        <w:r>
          <w:rPr>
            <w:noProof/>
            <w:webHidden/>
          </w:rPr>
          <w:fldChar w:fldCharType="begin"/>
        </w:r>
        <w:r>
          <w:rPr>
            <w:noProof/>
            <w:webHidden/>
          </w:rPr>
          <w:instrText xml:space="preserve"> PAGEREF _Toc150246312 \h </w:instrText>
        </w:r>
        <w:r>
          <w:rPr>
            <w:noProof/>
            <w:webHidden/>
          </w:rPr>
        </w:r>
        <w:r>
          <w:rPr>
            <w:noProof/>
            <w:webHidden/>
          </w:rPr>
          <w:fldChar w:fldCharType="separate"/>
        </w:r>
        <w:r>
          <w:rPr>
            <w:noProof/>
            <w:webHidden/>
          </w:rPr>
          <w:t>17</w:t>
        </w:r>
        <w:r>
          <w:rPr>
            <w:noProof/>
            <w:webHidden/>
          </w:rPr>
          <w:fldChar w:fldCharType="end"/>
        </w:r>
      </w:hyperlink>
    </w:p>
    <w:p w14:paraId="42E4624B" w14:textId="5DCDEF57"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3" w:history="1">
        <w:r w:rsidRPr="00E60090">
          <w:rPr>
            <w:rStyle w:val="Lienhypertexte"/>
            <w:rFonts w:cs="Arial"/>
            <w:i/>
            <w:noProof/>
          </w:rPr>
          <w:t>Article 71 de la Loi et art. 65-74 de l’AR du 18 avril 2017</w:t>
        </w:r>
        <w:r>
          <w:rPr>
            <w:noProof/>
            <w:webHidden/>
          </w:rPr>
          <w:tab/>
        </w:r>
        <w:r>
          <w:rPr>
            <w:noProof/>
            <w:webHidden/>
          </w:rPr>
          <w:fldChar w:fldCharType="begin"/>
        </w:r>
        <w:r>
          <w:rPr>
            <w:noProof/>
            <w:webHidden/>
          </w:rPr>
          <w:instrText xml:space="preserve"> PAGEREF _Toc150246313 \h </w:instrText>
        </w:r>
        <w:r>
          <w:rPr>
            <w:noProof/>
            <w:webHidden/>
          </w:rPr>
        </w:r>
        <w:r>
          <w:rPr>
            <w:noProof/>
            <w:webHidden/>
          </w:rPr>
          <w:fldChar w:fldCharType="separate"/>
        </w:r>
        <w:r>
          <w:rPr>
            <w:noProof/>
            <w:webHidden/>
          </w:rPr>
          <w:t>17</w:t>
        </w:r>
        <w:r>
          <w:rPr>
            <w:noProof/>
            <w:webHidden/>
          </w:rPr>
          <w:fldChar w:fldCharType="end"/>
        </w:r>
      </w:hyperlink>
    </w:p>
    <w:p w14:paraId="4E9BB761" w14:textId="7FFACC72"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4" w:history="1">
        <w:r w:rsidRPr="00E60090">
          <w:rPr>
            <w:rStyle w:val="Lienhypertexte"/>
            <w:noProof/>
          </w:rPr>
          <w:t>3.4.7.3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_Toc150246314 \h </w:instrText>
        </w:r>
        <w:r>
          <w:rPr>
            <w:noProof/>
            <w:webHidden/>
          </w:rPr>
        </w:r>
        <w:r>
          <w:rPr>
            <w:noProof/>
            <w:webHidden/>
          </w:rPr>
          <w:fldChar w:fldCharType="separate"/>
        </w:r>
        <w:r>
          <w:rPr>
            <w:noProof/>
            <w:webHidden/>
          </w:rPr>
          <w:t>17</w:t>
        </w:r>
        <w:r>
          <w:rPr>
            <w:noProof/>
            <w:webHidden/>
          </w:rPr>
          <w:fldChar w:fldCharType="end"/>
        </w:r>
      </w:hyperlink>
    </w:p>
    <w:p w14:paraId="46D6DFCD" w14:textId="08A67134"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5" w:history="1">
        <w:r w:rsidRPr="00E60090">
          <w:rPr>
            <w:rStyle w:val="Lienhypertexte"/>
            <w:noProof/>
          </w:rPr>
          <w:t>3.4.7.4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 xml:space="preserve">Critères d’attribution </w:t>
        </w:r>
        <w:r w:rsidRPr="00E60090">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_Toc150246315 \h </w:instrText>
        </w:r>
        <w:r>
          <w:rPr>
            <w:noProof/>
            <w:webHidden/>
          </w:rPr>
        </w:r>
        <w:r>
          <w:rPr>
            <w:noProof/>
            <w:webHidden/>
          </w:rPr>
          <w:fldChar w:fldCharType="separate"/>
        </w:r>
        <w:r>
          <w:rPr>
            <w:noProof/>
            <w:webHidden/>
          </w:rPr>
          <w:t>18</w:t>
        </w:r>
        <w:r>
          <w:rPr>
            <w:noProof/>
            <w:webHidden/>
          </w:rPr>
          <w:fldChar w:fldCharType="end"/>
        </w:r>
      </w:hyperlink>
    </w:p>
    <w:p w14:paraId="3C5493F7" w14:textId="65D5E8F6"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6" w:history="1">
        <w:r w:rsidRPr="00E60090">
          <w:rPr>
            <w:rStyle w:val="Lienhypertexte"/>
            <w:noProof/>
          </w:rPr>
          <w:t>3.4.7.5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Cotation finale</w:t>
        </w:r>
        <w:r>
          <w:rPr>
            <w:noProof/>
            <w:webHidden/>
          </w:rPr>
          <w:tab/>
        </w:r>
        <w:r>
          <w:rPr>
            <w:noProof/>
            <w:webHidden/>
          </w:rPr>
          <w:fldChar w:fldCharType="begin"/>
        </w:r>
        <w:r>
          <w:rPr>
            <w:noProof/>
            <w:webHidden/>
          </w:rPr>
          <w:instrText xml:space="preserve"> PAGEREF _Toc150246316 \h </w:instrText>
        </w:r>
        <w:r>
          <w:rPr>
            <w:noProof/>
            <w:webHidden/>
          </w:rPr>
        </w:r>
        <w:r>
          <w:rPr>
            <w:noProof/>
            <w:webHidden/>
          </w:rPr>
          <w:fldChar w:fldCharType="separate"/>
        </w:r>
        <w:r>
          <w:rPr>
            <w:noProof/>
            <w:webHidden/>
          </w:rPr>
          <w:t>19</w:t>
        </w:r>
        <w:r>
          <w:rPr>
            <w:noProof/>
            <w:webHidden/>
          </w:rPr>
          <w:fldChar w:fldCharType="end"/>
        </w:r>
      </w:hyperlink>
    </w:p>
    <w:p w14:paraId="13BD3211" w14:textId="2C8309C0" w:rsidR="00EA7CA1" w:rsidRDefault="00EA7CA1">
      <w:pPr>
        <w:pStyle w:val="TM4"/>
        <w:rPr>
          <w:rFonts w:asciiTheme="minorHAnsi" w:eastAsiaTheme="minorEastAsia" w:hAnsiTheme="minorHAnsi" w:cstheme="minorBidi"/>
          <w:noProof/>
          <w:color w:val="auto"/>
          <w:kern w:val="2"/>
          <w:sz w:val="22"/>
          <w:lang w:val="fr-FR" w:eastAsia="fr-FR"/>
          <w14:ligatures w14:val="standardContextual"/>
        </w:rPr>
      </w:pPr>
      <w:hyperlink w:anchor="_Toc150246317" w:history="1">
        <w:r w:rsidRPr="00E60090">
          <w:rPr>
            <w:rStyle w:val="Lienhypertexte"/>
            <w:noProof/>
          </w:rPr>
          <w:t>3.4.7.6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Attribution du marché</w:t>
        </w:r>
        <w:r>
          <w:rPr>
            <w:noProof/>
            <w:webHidden/>
          </w:rPr>
          <w:tab/>
        </w:r>
        <w:r>
          <w:rPr>
            <w:noProof/>
            <w:webHidden/>
          </w:rPr>
          <w:fldChar w:fldCharType="begin"/>
        </w:r>
        <w:r>
          <w:rPr>
            <w:noProof/>
            <w:webHidden/>
          </w:rPr>
          <w:instrText xml:space="preserve"> PAGEREF _Toc150246317 \h </w:instrText>
        </w:r>
        <w:r>
          <w:rPr>
            <w:noProof/>
            <w:webHidden/>
          </w:rPr>
        </w:r>
        <w:r>
          <w:rPr>
            <w:noProof/>
            <w:webHidden/>
          </w:rPr>
          <w:fldChar w:fldCharType="separate"/>
        </w:r>
        <w:r>
          <w:rPr>
            <w:noProof/>
            <w:webHidden/>
          </w:rPr>
          <w:t>19</w:t>
        </w:r>
        <w:r>
          <w:rPr>
            <w:noProof/>
            <w:webHidden/>
          </w:rPr>
          <w:fldChar w:fldCharType="end"/>
        </w:r>
      </w:hyperlink>
    </w:p>
    <w:p w14:paraId="5C3666A7" w14:textId="548EF5A2"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18" w:history="1">
        <w:r w:rsidRPr="00E60090">
          <w:rPr>
            <w:rStyle w:val="Lienhypertexte"/>
            <w:noProof/>
          </w:rPr>
          <w:t>3.4.8</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Conclusion du contrat</w:t>
        </w:r>
        <w:r>
          <w:rPr>
            <w:noProof/>
            <w:webHidden/>
          </w:rPr>
          <w:tab/>
        </w:r>
        <w:r>
          <w:rPr>
            <w:noProof/>
            <w:webHidden/>
          </w:rPr>
          <w:fldChar w:fldCharType="begin"/>
        </w:r>
        <w:r>
          <w:rPr>
            <w:noProof/>
            <w:webHidden/>
          </w:rPr>
          <w:instrText xml:space="preserve"> PAGEREF _Toc150246318 \h </w:instrText>
        </w:r>
        <w:r>
          <w:rPr>
            <w:noProof/>
            <w:webHidden/>
          </w:rPr>
        </w:r>
        <w:r>
          <w:rPr>
            <w:noProof/>
            <w:webHidden/>
          </w:rPr>
          <w:fldChar w:fldCharType="separate"/>
        </w:r>
        <w:r>
          <w:rPr>
            <w:noProof/>
            <w:webHidden/>
          </w:rPr>
          <w:t>19</w:t>
        </w:r>
        <w:r>
          <w:rPr>
            <w:noProof/>
            <w:webHidden/>
          </w:rPr>
          <w:fldChar w:fldCharType="end"/>
        </w:r>
      </w:hyperlink>
    </w:p>
    <w:p w14:paraId="2E0D0284" w14:textId="447098D4"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319" w:history="1">
        <w:r w:rsidRPr="00E60090">
          <w:rPr>
            <w:rStyle w:val="Lienhypertexte"/>
            <w:noProof/>
          </w:rPr>
          <w:t>4</w:t>
        </w:r>
        <w:r>
          <w:rPr>
            <w:rFonts w:asciiTheme="minorHAnsi" w:eastAsiaTheme="minorEastAsia" w:hAnsiTheme="minorHAnsi" w:cstheme="minorBidi"/>
            <w:b w:val="0"/>
            <w:noProof/>
            <w:color w:val="auto"/>
            <w:kern w:val="2"/>
            <w:sz w:val="22"/>
            <w:lang w:val="fr-FR" w:eastAsia="fr-FR"/>
            <w14:ligatures w14:val="standardContextual"/>
          </w:rPr>
          <w:tab/>
        </w:r>
        <w:r w:rsidRPr="00E60090">
          <w:rPr>
            <w:rStyle w:val="Lienhypertexte"/>
            <w:noProof/>
          </w:rPr>
          <w:t>Dispositions contractuelles particulières</w:t>
        </w:r>
        <w:r>
          <w:rPr>
            <w:noProof/>
            <w:webHidden/>
          </w:rPr>
          <w:tab/>
        </w:r>
        <w:r>
          <w:rPr>
            <w:noProof/>
            <w:webHidden/>
          </w:rPr>
          <w:fldChar w:fldCharType="begin"/>
        </w:r>
        <w:r>
          <w:rPr>
            <w:noProof/>
            <w:webHidden/>
          </w:rPr>
          <w:instrText xml:space="preserve"> PAGEREF _Toc150246319 \h </w:instrText>
        </w:r>
        <w:r>
          <w:rPr>
            <w:noProof/>
            <w:webHidden/>
          </w:rPr>
        </w:r>
        <w:r>
          <w:rPr>
            <w:noProof/>
            <w:webHidden/>
          </w:rPr>
          <w:fldChar w:fldCharType="separate"/>
        </w:r>
        <w:r>
          <w:rPr>
            <w:noProof/>
            <w:webHidden/>
          </w:rPr>
          <w:t>20</w:t>
        </w:r>
        <w:r>
          <w:rPr>
            <w:noProof/>
            <w:webHidden/>
          </w:rPr>
          <w:fldChar w:fldCharType="end"/>
        </w:r>
      </w:hyperlink>
    </w:p>
    <w:p w14:paraId="4426405E" w14:textId="06B40F9E"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0" w:history="1">
        <w:r w:rsidRPr="00E60090">
          <w:rPr>
            <w:rStyle w:val="Lienhypertexte"/>
            <w:noProof/>
          </w:rPr>
          <w:t>4.1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Fonctionnaire dirigeant (art. 11)</w:t>
        </w:r>
        <w:r>
          <w:rPr>
            <w:noProof/>
            <w:webHidden/>
          </w:rPr>
          <w:tab/>
        </w:r>
        <w:r>
          <w:rPr>
            <w:noProof/>
            <w:webHidden/>
          </w:rPr>
          <w:fldChar w:fldCharType="begin"/>
        </w:r>
        <w:r>
          <w:rPr>
            <w:noProof/>
            <w:webHidden/>
          </w:rPr>
          <w:instrText xml:space="preserve"> PAGEREF _Toc150246320 \h </w:instrText>
        </w:r>
        <w:r>
          <w:rPr>
            <w:noProof/>
            <w:webHidden/>
          </w:rPr>
        </w:r>
        <w:r>
          <w:rPr>
            <w:noProof/>
            <w:webHidden/>
          </w:rPr>
          <w:fldChar w:fldCharType="separate"/>
        </w:r>
        <w:r>
          <w:rPr>
            <w:noProof/>
            <w:webHidden/>
          </w:rPr>
          <w:t>20</w:t>
        </w:r>
        <w:r>
          <w:rPr>
            <w:noProof/>
            <w:webHidden/>
          </w:rPr>
          <w:fldChar w:fldCharType="end"/>
        </w:r>
      </w:hyperlink>
    </w:p>
    <w:p w14:paraId="0A803BC1" w14:textId="505F63AF"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1" w:history="1">
        <w:r w:rsidRPr="00E60090">
          <w:rPr>
            <w:rStyle w:val="Lienhypertexte"/>
            <w:noProof/>
          </w:rPr>
          <w:t>4.2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Sous-traitants (art. 12 à 15)</w:t>
        </w:r>
        <w:r>
          <w:rPr>
            <w:noProof/>
            <w:webHidden/>
          </w:rPr>
          <w:tab/>
        </w:r>
        <w:r>
          <w:rPr>
            <w:noProof/>
            <w:webHidden/>
          </w:rPr>
          <w:fldChar w:fldCharType="begin"/>
        </w:r>
        <w:r>
          <w:rPr>
            <w:noProof/>
            <w:webHidden/>
          </w:rPr>
          <w:instrText xml:space="preserve"> PAGEREF _Toc150246321 \h </w:instrText>
        </w:r>
        <w:r>
          <w:rPr>
            <w:noProof/>
            <w:webHidden/>
          </w:rPr>
        </w:r>
        <w:r>
          <w:rPr>
            <w:noProof/>
            <w:webHidden/>
          </w:rPr>
          <w:fldChar w:fldCharType="separate"/>
        </w:r>
        <w:r>
          <w:rPr>
            <w:noProof/>
            <w:webHidden/>
          </w:rPr>
          <w:t>20</w:t>
        </w:r>
        <w:r>
          <w:rPr>
            <w:noProof/>
            <w:webHidden/>
          </w:rPr>
          <w:fldChar w:fldCharType="end"/>
        </w:r>
      </w:hyperlink>
    </w:p>
    <w:p w14:paraId="74811A46" w14:textId="7DD232D2"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2" w:history="1">
        <w:r w:rsidRPr="00E60090">
          <w:rPr>
            <w:rStyle w:val="Lienhypertexte"/>
            <w:noProof/>
          </w:rPr>
          <w:t>4.3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Confidentialité (art. 18)</w:t>
        </w:r>
        <w:r>
          <w:rPr>
            <w:noProof/>
            <w:webHidden/>
          </w:rPr>
          <w:tab/>
        </w:r>
        <w:r>
          <w:rPr>
            <w:noProof/>
            <w:webHidden/>
          </w:rPr>
          <w:fldChar w:fldCharType="begin"/>
        </w:r>
        <w:r>
          <w:rPr>
            <w:noProof/>
            <w:webHidden/>
          </w:rPr>
          <w:instrText xml:space="preserve"> PAGEREF _Toc150246322 \h </w:instrText>
        </w:r>
        <w:r>
          <w:rPr>
            <w:noProof/>
            <w:webHidden/>
          </w:rPr>
        </w:r>
        <w:r>
          <w:rPr>
            <w:noProof/>
            <w:webHidden/>
          </w:rPr>
          <w:fldChar w:fldCharType="separate"/>
        </w:r>
        <w:r>
          <w:rPr>
            <w:noProof/>
            <w:webHidden/>
          </w:rPr>
          <w:t>21</w:t>
        </w:r>
        <w:r>
          <w:rPr>
            <w:noProof/>
            <w:webHidden/>
          </w:rPr>
          <w:fldChar w:fldCharType="end"/>
        </w:r>
      </w:hyperlink>
    </w:p>
    <w:p w14:paraId="17D9F45B" w14:textId="299DC386"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3" w:history="1">
        <w:r w:rsidRPr="00E60090">
          <w:rPr>
            <w:rStyle w:val="Lienhypertexte"/>
            <w:noProof/>
            <w:lang w:val="fr-FR"/>
          </w:rPr>
          <w:t>4.4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_Toc150246323 \h </w:instrText>
        </w:r>
        <w:r>
          <w:rPr>
            <w:noProof/>
            <w:webHidden/>
          </w:rPr>
        </w:r>
        <w:r>
          <w:rPr>
            <w:noProof/>
            <w:webHidden/>
          </w:rPr>
          <w:fldChar w:fldCharType="separate"/>
        </w:r>
        <w:r>
          <w:rPr>
            <w:noProof/>
            <w:webHidden/>
          </w:rPr>
          <w:t>22</w:t>
        </w:r>
        <w:r>
          <w:rPr>
            <w:noProof/>
            <w:webHidden/>
          </w:rPr>
          <w:fldChar w:fldCharType="end"/>
        </w:r>
      </w:hyperlink>
    </w:p>
    <w:p w14:paraId="1F800387" w14:textId="52C61232"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4" w:history="1">
        <w:r w:rsidRPr="00E60090">
          <w:rPr>
            <w:rStyle w:val="Lienhypertexte"/>
            <w:noProof/>
          </w:rPr>
          <w:t>4.5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Droits intellectuels (art. 19 à 23)</w:t>
        </w:r>
        <w:r>
          <w:rPr>
            <w:noProof/>
            <w:webHidden/>
          </w:rPr>
          <w:tab/>
        </w:r>
        <w:r>
          <w:rPr>
            <w:noProof/>
            <w:webHidden/>
          </w:rPr>
          <w:fldChar w:fldCharType="begin"/>
        </w:r>
        <w:r>
          <w:rPr>
            <w:noProof/>
            <w:webHidden/>
          </w:rPr>
          <w:instrText xml:space="preserve"> PAGEREF _Toc150246324 \h </w:instrText>
        </w:r>
        <w:r>
          <w:rPr>
            <w:noProof/>
            <w:webHidden/>
          </w:rPr>
        </w:r>
        <w:r>
          <w:rPr>
            <w:noProof/>
            <w:webHidden/>
          </w:rPr>
          <w:fldChar w:fldCharType="separate"/>
        </w:r>
        <w:r>
          <w:rPr>
            <w:noProof/>
            <w:webHidden/>
          </w:rPr>
          <w:t>23</w:t>
        </w:r>
        <w:r>
          <w:rPr>
            <w:noProof/>
            <w:webHidden/>
          </w:rPr>
          <w:fldChar w:fldCharType="end"/>
        </w:r>
      </w:hyperlink>
    </w:p>
    <w:p w14:paraId="0D141BED" w14:textId="77429C09"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5" w:history="1">
        <w:r w:rsidRPr="00E60090">
          <w:rPr>
            <w:rStyle w:val="Lienhypertexte"/>
            <w:noProof/>
          </w:rPr>
          <w:t>4.6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Cautionnement (art.25 à 33)</w:t>
        </w:r>
        <w:r>
          <w:rPr>
            <w:noProof/>
            <w:webHidden/>
          </w:rPr>
          <w:tab/>
        </w:r>
        <w:r>
          <w:rPr>
            <w:noProof/>
            <w:webHidden/>
          </w:rPr>
          <w:fldChar w:fldCharType="begin"/>
        </w:r>
        <w:r>
          <w:rPr>
            <w:noProof/>
            <w:webHidden/>
          </w:rPr>
          <w:instrText xml:space="preserve"> PAGEREF _Toc150246325 \h </w:instrText>
        </w:r>
        <w:r>
          <w:rPr>
            <w:noProof/>
            <w:webHidden/>
          </w:rPr>
        </w:r>
        <w:r>
          <w:rPr>
            <w:noProof/>
            <w:webHidden/>
          </w:rPr>
          <w:fldChar w:fldCharType="separate"/>
        </w:r>
        <w:r>
          <w:rPr>
            <w:noProof/>
            <w:webHidden/>
          </w:rPr>
          <w:t>23</w:t>
        </w:r>
        <w:r>
          <w:rPr>
            <w:noProof/>
            <w:webHidden/>
          </w:rPr>
          <w:fldChar w:fldCharType="end"/>
        </w:r>
      </w:hyperlink>
    </w:p>
    <w:p w14:paraId="57800A52" w14:textId="4C2FA5B6"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6" w:history="1">
        <w:r w:rsidRPr="00E60090">
          <w:rPr>
            <w:rStyle w:val="Lienhypertexte"/>
            <w:noProof/>
          </w:rPr>
          <w:t>4.7</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Conformité de l’exécution (art. 34)</w:t>
        </w:r>
        <w:r>
          <w:rPr>
            <w:noProof/>
            <w:webHidden/>
          </w:rPr>
          <w:tab/>
        </w:r>
        <w:r>
          <w:rPr>
            <w:noProof/>
            <w:webHidden/>
          </w:rPr>
          <w:fldChar w:fldCharType="begin"/>
        </w:r>
        <w:r>
          <w:rPr>
            <w:noProof/>
            <w:webHidden/>
          </w:rPr>
          <w:instrText xml:space="preserve"> PAGEREF _Toc150246326 \h </w:instrText>
        </w:r>
        <w:r>
          <w:rPr>
            <w:noProof/>
            <w:webHidden/>
          </w:rPr>
        </w:r>
        <w:r>
          <w:rPr>
            <w:noProof/>
            <w:webHidden/>
          </w:rPr>
          <w:fldChar w:fldCharType="separate"/>
        </w:r>
        <w:r>
          <w:rPr>
            <w:noProof/>
            <w:webHidden/>
          </w:rPr>
          <w:t>25</w:t>
        </w:r>
        <w:r>
          <w:rPr>
            <w:noProof/>
            <w:webHidden/>
          </w:rPr>
          <w:fldChar w:fldCharType="end"/>
        </w:r>
      </w:hyperlink>
    </w:p>
    <w:p w14:paraId="6618C09B" w14:textId="19FF3053"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27" w:history="1">
        <w:r w:rsidRPr="00E60090">
          <w:rPr>
            <w:rStyle w:val="Lienhypertexte"/>
            <w:noProof/>
          </w:rPr>
          <w:t>4.8</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Modifications du marché (art. 37 à 38/19)</w:t>
        </w:r>
        <w:r>
          <w:rPr>
            <w:noProof/>
            <w:webHidden/>
          </w:rPr>
          <w:tab/>
        </w:r>
        <w:r>
          <w:rPr>
            <w:noProof/>
            <w:webHidden/>
          </w:rPr>
          <w:fldChar w:fldCharType="begin"/>
        </w:r>
        <w:r>
          <w:rPr>
            <w:noProof/>
            <w:webHidden/>
          </w:rPr>
          <w:instrText xml:space="preserve"> PAGEREF _Toc150246327 \h </w:instrText>
        </w:r>
        <w:r>
          <w:rPr>
            <w:noProof/>
            <w:webHidden/>
          </w:rPr>
        </w:r>
        <w:r>
          <w:rPr>
            <w:noProof/>
            <w:webHidden/>
          </w:rPr>
          <w:fldChar w:fldCharType="separate"/>
        </w:r>
        <w:r>
          <w:rPr>
            <w:noProof/>
            <w:webHidden/>
          </w:rPr>
          <w:t>25</w:t>
        </w:r>
        <w:r>
          <w:rPr>
            <w:noProof/>
            <w:webHidden/>
          </w:rPr>
          <w:fldChar w:fldCharType="end"/>
        </w:r>
      </w:hyperlink>
    </w:p>
    <w:p w14:paraId="5EA1EBD3" w14:textId="2585C8CC"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28" w:history="1">
        <w:r w:rsidRPr="00E60090">
          <w:rPr>
            <w:rStyle w:val="Lienhypertexte"/>
            <w:noProof/>
          </w:rPr>
          <w:t>4.8.1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Remplacement de l’adjudicataire (art. 38/3)</w:t>
        </w:r>
        <w:r>
          <w:rPr>
            <w:noProof/>
            <w:webHidden/>
          </w:rPr>
          <w:tab/>
        </w:r>
        <w:r>
          <w:rPr>
            <w:noProof/>
            <w:webHidden/>
          </w:rPr>
          <w:fldChar w:fldCharType="begin"/>
        </w:r>
        <w:r>
          <w:rPr>
            <w:noProof/>
            <w:webHidden/>
          </w:rPr>
          <w:instrText xml:space="preserve"> PAGEREF _Toc150246328 \h </w:instrText>
        </w:r>
        <w:r>
          <w:rPr>
            <w:noProof/>
            <w:webHidden/>
          </w:rPr>
        </w:r>
        <w:r>
          <w:rPr>
            <w:noProof/>
            <w:webHidden/>
          </w:rPr>
          <w:fldChar w:fldCharType="separate"/>
        </w:r>
        <w:r>
          <w:rPr>
            <w:noProof/>
            <w:webHidden/>
          </w:rPr>
          <w:t>25</w:t>
        </w:r>
        <w:r>
          <w:rPr>
            <w:noProof/>
            <w:webHidden/>
          </w:rPr>
          <w:fldChar w:fldCharType="end"/>
        </w:r>
      </w:hyperlink>
    </w:p>
    <w:p w14:paraId="04E0DE9D" w14:textId="42A5238C"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29" w:history="1">
        <w:r w:rsidRPr="00E60090">
          <w:rPr>
            <w:rStyle w:val="Lienhypertexte"/>
            <w:noProof/>
          </w:rPr>
          <w:t>4.8.2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Révision des prix (art. 38/7)</w:t>
        </w:r>
        <w:r>
          <w:rPr>
            <w:noProof/>
            <w:webHidden/>
          </w:rPr>
          <w:tab/>
        </w:r>
        <w:r>
          <w:rPr>
            <w:noProof/>
            <w:webHidden/>
          </w:rPr>
          <w:fldChar w:fldCharType="begin"/>
        </w:r>
        <w:r>
          <w:rPr>
            <w:noProof/>
            <w:webHidden/>
          </w:rPr>
          <w:instrText xml:space="preserve"> PAGEREF _Toc150246329 \h </w:instrText>
        </w:r>
        <w:r>
          <w:rPr>
            <w:noProof/>
            <w:webHidden/>
          </w:rPr>
        </w:r>
        <w:r>
          <w:rPr>
            <w:noProof/>
            <w:webHidden/>
          </w:rPr>
          <w:fldChar w:fldCharType="separate"/>
        </w:r>
        <w:r>
          <w:rPr>
            <w:noProof/>
            <w:webHidden/>
          </w:rPr>
          <w:t>25</w:t>
        </w:r>
        <w:r>
          <w:rPr>
            <w:noProof/>
            <w:webHidden/>
          </w:rPr>
          <w:fldChar w:fldCharType="end"/>
        </w:r>
      </w:hyperlink>
    </w:p>
    <w:p w14:paraId="41C8E229" w14:textId="20B33BD4"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30" w:history="1">
        <w:r w:rsidRPr="00E60090">
          <w:rPr>
            <w:rStyle w:val="Lienhypertexte"/>
            <w:noProof/>
          </w:rPr>
          <w:t>4.8.3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_Toc150246330 \h </w:instrText>
        </w:r>
        <w:r>
          <w:rPr>
            <w:noProof/>
            <w:webHidden/>
          </w:rPr>
        </w:r>
        <w:r>
          <w:rPr>
            <w:noProof/>
            <w:webHidden/>
          </w:rPr>
          <w:fldChar w:fldCharType="separate"/>
        </w:r>
        <w:r>
          <w:rPr>
            <w:noProof/>
            <w:webHidden/>
          </w:rPr>
          <w:t>25</w:t>
        </w:r>
        <w:r>
          <w:rPr>
            <w:noProof/>
            <w:webHidden/>
          </w:rPr>
          <w:fldChar w:fldCharType="end"/>
        </w:r>
      </w:hyperlink>
    </w:p>
    <w:p w14:paraId="5299106A" w14:textId="307371CE"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31" w:history="1">
        <w:r w:rsidRPr="00E60090">
          <w:rPr>
            <w:rStyle w:val="Lienhypertexte"/>
            <w:noProof/>
          </w:rPr>
          <w:t>4.8.4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Circonstances imprévisibles</w:t>
        </w:r>
        <w:r>
          <w:rPr>
            <w:noProof/>
            <w:webHidden/>
          </w:rPr>
          <w:tab/>
        </w:r>
        <w:r>
          <w:rPr>
            <w:noProof/>
            <w:webHidden/>
          </w:rPr>
          <w:fldChar w:fldCharType="begin"/>
        </w:r>
        <w:r>
          <w:rPr>
            <w:noProof/>
            <w:webHidden/>
          </w:rPr>
          <w:instrText xml:space="preserve"> PAGEREF _Toc150246331 \h </w:instrText>
        </w:r>
        <w:r>
          <w:rPr>
            <w:noProof/>
            <w:webHidden/>
          </w:rPr>
        </w:r>
        <w:r>
          <w:rPr>
            <w:noProof/>
            <w:webHidden/>
          </w:rPr>
          <w:fldChar w:fldCharType="separate"/>
        </w:r>
        <w:r>
          <w:rPr>
            <w:noProof/>
            <w:webHidden/>
          </w:rPr>
          <w:t>26</w:t>
        </w:r>
        <w:r>
          <w:rPr>
            <w:noProof/>
            <w:webHidden/>
          </w:rPr>
          <w:fldChar w:fldCharType="end"/>
        </w:r>
      </w:hyperlink>
    </w:p>
    <w:p w14:paraId="5517A453" w14:textId="17E4CE92"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2" w:history="1">
        <w:r w:rsidRPr="00E60090">
          <w:rPr>
            <w:rStyle w:val="Lienhypertexte"/>
            <w:noProof/>
          </w:rPr>
          <w:t>4.9</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Réception technique préalable (art. 42)</w:t>
        </w:r>
        <w:r>
          <w:rPr>
            <w:noProof/>
            <w:webHidden/>
          </w:rPr>
          <w:tab/>
        </w:r>
        <w:r>
          <w:rPr>
            <w:noProof/>
            <w:webHidden/>
          </w:rPr>
          <w:fldChar w:fldCharType="begin"/>
        </w:r>
        <w:r>
          <w:rPr>
            <w:noProof/>
            <w:webHidden/>
          </w:rPr>
          <w:instrText xml:space="preserve"> PAGEREF _Toc150246332 \h </w:instrText>
        </w:r>
        <w:r>
          <w:rPr>
            <w:noProof/>
            <w:webHidden/>
          </w:rPr>
        </w:r>
        <w:r>
          <w:rPr>
            <w:noProof/>
            <w:webHidden/>
          </w:rPr>
          <w:fldChar w:fldCharType="separate"/>
        </w:r>
        <w:r>
          <w:rPr>
            <w:noProof/>
            <w:webHidden/>
          </w:rPr>
          <w:t>26</w:t>
        </w:r>
        <w:r>
          <w:rPr>
            <w:noProof/>
            <w:webHidden/>
          </w:rPr>
          <w:fldChar w:fldCharType="end"/>
        </w:r>
      </w:hyperlink>
    </w:p>
    <w:p w14:paraId="0707DAA0" w14:textId="0C1B48DB"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3" w:history="1">
        <w:r w:rsidRPr="00E60090">
          <w:rPr>
            <w:rStyle w:val="Lienhypertexte"/>
            <w:noProof/>
          </w:rPr>
          <w:t>4.10</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Modalités d’exécution (art. 146 es)</w:t>
        </w:r>
        <w:r>
          <w:rPr>
            <w:noProof/>
            <w:webHidden/>
          </w:rPr>
          <w:tab/>
        </w:r>
        <w:r>
          <w:rPr>
            <w:noProof/>
            <w:webHidden/>
          </w:rPr>
          <w:fldChar w:fldCharType="begin"/>
        </w:r>
        <w:r>
          <w:rPr>
            <w:noProof/>
            <w:webHidden/>
          </w:rPr>
          <w:instrText xml:space="preserve"> PAGEREF _Toc150246333 \h </w:instrText>
        </w:r>
        <w:r>
          <w:rPr>
            <w:noProof/>
            <w:webHidden/>
          </w:rPr>
        </w:r>
        <w:r>
          <w:rPr>
            <w:noProof/>
            <w:webHidden/>
          </w:rPr>
          <w:fldChar w:fldCharType="separate"/>
        </w:r>
        <w:r>
          <w:rPr>
            <w:noProof/>
            <w:webHidden/>
          </w:rPr>
          <w:t>26</w:t>
        </w:r>
        <w:r>
          <w:rPr>
            <w:noProof/>
            <w:webHidden/>
          </w:rPr>
          <w:fldChar w:fldCharType="end"/>
        </w:r>
      </w:hyperlink>
    </w:p>
    <w:p w14:paraId="535AD0C4" w14:textId="037D7453"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34" w:history="1">
        <w:r w:rsidRPr="00E60090">
          <w:rPr>
            <w:rStyle w:val="Lienhypertexte"/>
            <w:noProof/>
          </w:rPr>
          <w:t>4.10.1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Délais et clauses (art. 147)</w:t>
        </w:r>
        <w:r>
          <w:rPr>
            <w:noProof/>
            <w:webHidden/>
          </w:rPr>
          <w:tab/>
        </w:r>
        <w:r>
          <w:rPr>
            <w:noProof/>
            <w:webHidden/>
          </w:rPr>
          <w:fldChar w:fldCharType="begin"/>
        </w:r>
        <w:r>
          <w:rPr>
            <w:noProof/>
            <w:webHidden/>
          </w:rPr>
          <w:instrText xml:space="preserve"> PAGEREF _Toc150246334 \h </w:instrText>
        </w:r>
        <w:r>
          <w:rPr>
            <w:noProof/>
            <w:webHidden/>
          </w:rPr>
        </w:r>
        <w:r>
          <w:rPr>
            <w:noProof/>
            <w:webHidden/>
          </w:rPr>
          <w:fldChar w:fldCharType="separate"/>
        </w:r>
        <w:r>
          <w:rPr>
            <w:noProof/>
            <w:webHidden/>
          </w:rPr>
          <w:t>26</w:t>
        </w:r>
        <w:r>
          <w:rPr>
            <w:noProof/>
            <w:webHidden/>
          </w:rPr>
          <w:fldChar w:fldCharType="end"/>
        </w:r>
      </w:hyperlink>
    </w:p>
    <w:p w14:paraId="5E07C239" w14:textId="4DA1C22E"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35" w:history="1">
        <w:r w:rsidRPr="00E60090">
          <w:rPr>
            <w:rStyle w:val="Lienhypertexte"/>
            <w:noProof/>
          </w:rPr>
          <w:t>4.10.2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_Toc150246335 \h </w:instrText>
        </w:r>
        <w:r>
          <w:rPr>
            <w:noProof/>
            <w:webHidden/>
          </w:rPr>
        </w:r>
        <w:r>
          <w:rPr>
            <w:noProof/>
            <w:webHidden/>
          </w:rPr>
          <w:fldChar w:fldCharType="separate"/>
        </w:r>
        <w:r>
          <w:rPr>
            <w:noProof/>
            <w:webHidden/>
          </w:rPr>
          <w:t>27</w:t>
        </w:r>
        <w:r>
          <w:rPr>
            <w:noProof/>
            <w:webHidden/>
          </w:rPr>
          <w:fldChar w:fldCharType="end"/>
        </w:r>
      </w:hyperlink>
    </w:p>
    <w:p w14:paraId="6AB2E86F" w14:textId="5C597D7F"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6" w:history="1">
        <w:r w:rsidRPr="00E60090">
          <w:rPr>
            <w:rStyle w:val="Lienhypertexte"/>
            <w:noProof/>
          </w:rPr>
          <w:t>4.11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Vérification des services (art. 150)</w:t>
        </w:r>
        <w:r>
          <w:rPr>
            <w:noProof/>
            <w:webHidden/>
          </w:rPr>
          <w:tab/>
        </w:r>
        <w:r>
          <w:rPr>
            <w:noProof/>
            <w:webHidden/>
          </w:rPr>
          <w:fldChar w:fldCharType="begin"/>
        </w:r>
        <w:r>
          <w:rPr>
            <w:noProof/>
            <w:webHidden/>
          </w:rPr>
          <w:instrText xml:space="preserve"> PAGEREF _Toc150246336 \h </w:instrText>
        </w:r>
        <w:r>
          <w:rPr>
            <w:noProof/>
            <w:webHidden/>
          </w:rPr>
        </w:r>
        <w:r>
          <w:rPr>
            <w:noProof/>
            <w:webHidden/>
          </w:rPr>
          <w:fldChar w:fldCharType="separate"/>
        </w:r>
        <w:r>
          <w:rPr>
            <w:noProof/>
            <w:webHidden/>
          </w:rPr>
          <w:t>27</w:t>
        </w:r>
        <w:r>
          <w:rPr>
            <w:noProof/>
            <w:webHidden/>
          </w:rPr>
          <w:fldChar w:fldCharType="end"/>
        </w:r>
      </w:hyperlink>
    </w:p>
    <w:p w14:paraId="6C8BE175" w14:textId="1EB9A4E1"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7" w:history="1">
        <w:r w:rsidRPr="00E60090">
          <w:rPr>
            <w:rStyle w:val="Lienhypertexte"/>
            <w:noProof/>
          </w:rPr>
          <w:t>4.12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_Toc150246337 \h </w:instrText>
        </w:r>
        <w:r>
          <w:rPr>
            <w:noProof/>
            <w:webHidden/>
          </w:rPr>
        </w:r>
        <w:r>
          <w:rPr>
            <w:noProof/>
            <w:webHidden/>
          </w:rPr>
          <w:fldChar w:fldCharType="separate"/>
        </w:r>
        <w:r>
          <w:rPr>
            <w:noProof/>
            <w:webHidden/>
          </w:rPr>
          <w:t>27</w:t>
        </w:r>
        <w:r>
          <w:rPr>
            <w:noProof/>
            <w:webHidden/>
          </w:rPr>
          <w:fldChar w:fldCharType="end"/>
        </w:r>
      </w:hyperlink>
    </w:p>
    <w:p w14:paraId="4D553E5D" w14:textId="493EA27B"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8" w:history="1">
        <w:r w:rsidRPr="00E60090">
          <w:rPr>
            <w:rStyle w:val="Lienhypertexte"/>
            <w:noProof/>
          </w:rPr>
          <w:t>4.13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Tolérance zéro exploitation et abus sexuels</w:t>
        </w:r>
        <w:r>
          <w:rPr>
            <w:noProof/>
            <w:webHidden/>
          </w:rPr>
          <w:tab/>
        </w:r>
        <w:r>
          <w:rPr>
            <w:noProof/>
            <w:webHidden/>
          </w:rPr>
          <w:fldChar w:fldCharType="begin"/>
        </w:r>
        <w:r>
          <w:rPr>
            <w:noProof/>
            <w:webHidden/>
          </w:rPr>
          <w:instrText xml:space="preserve"> PAGEREF _Toc150246338 \h </w:instrText>
        </w:r>
        <w:r>
          <w:rPr>
            <w:noProof/>
            <w:webHidden/>
          </w:rPr>
        </w:r>
        <w:r>
          <w:rPr>
            <w:noProof/>
            <w:webHidden/>
          </w:rPr>
          <w:fldChar w:fldCharType="separate"/>
        </w:r>
        <w:r>
          <w:rPr>
            <w:noProof/>
            <w:webHidden/>
          </w:rPr>
          <w:t>27</w:t>
        </w:r>
        <w:r>
          <w:rPr>
            <w:noProof/>
            <w:webHidden/>
          </w:rPr>
          <w:fldChar w:fldCharType="end"/>
        </w:r>
      </w:hyperlink>
    </w:p>
    <w:p w14:paraId="5A464F2C" w14:textId="6A33F327"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39" w:history="1">
        <w:r w:rsidRPr="00E60090">
          <w:rPr>
            <w:rStyle w:val="Lienhypertexte"/>
            <w:noProof/>
          </w:rPr>
          <w:t>4.14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_Toc150246339 \h </w:instrText>
        </w:r>
        <w:r>
          <w:rPr>
            <w:noProof/>
            <w:webHidden/>
          </w:rPr>
        </w:r>
        <w:r>
          <w:rPr>
            <w:noProof/>
            <w:webHidden/>
          </w:rPr>
          <w:fldChar w:fldCharType="separate"/>
        </w:r>
        <w:r>
          <w:rPr>
            <w:noProof/>
            <w:webHidden/>
          </w:rPr>
          <w:t>27</w:t>
        </w:r>
        <w:r>
          <w:rPr>
            <w:noProof/>
            <w:webHidden/>
          </w:rPr>
          <w:fldChar w:fldCharType="end"/>
        </w:r>
      </w:hyperlink>
    </w:p>
    <w:p w14:paraId="56583F92" w14:textId="7EC97222"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40" w:history="1">
        <w:r w:rsidRPr="00E60090">
          <w:rPr>
            <w:rStyle w:val="Lienhypertexte"/>
            <w:noProof/>
          </w:rPr>
          <w:t>4.14.1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Défaut d’exécution (art. 44)</w:t>
        </w:r>
        <w:r>
          <w:rPr>
            <w:noProof/>
            <w:webHidden/>
          </w:rPr>
          <w:tab/>
        </w:r>
        <w:r>
          <w:rPr>
            <w:noProof/>
            <w:webHidden/>
          </w:rPr>
          <w:fldChar w:fldCharType="begin"/>
        </w:r>
        <w:r>
          <w:rPr>
            <w:noProof/>
            <w:webHidden/>
          </w:rPr>
          <w:instrText xml:space="preserve"> PAGEREF _Toc150246340 \h </w:instrText>
        </w:r>
        <w:r>
          <w:rPr>
            <w:noProof/>
            <w:webHidden/>
          </w:rPr>
        </w:r>
        <w:r>
          <w:rPr>
            <w:noProof/>
            <w:webHidden/>
          </w:rPr>
          <w:fldChar w:fldCharType="separate"/>
        </w:r>
        <w:r>
          <w:rPr>
            <w:noProof/>
            <w:webHidden/>
          </w:rPr>
          <w:t>28</w:t>
        </w:r>
        <w:r>
          <w:rPr>
            <w:noProof/>
            <w:webHidden/>
          </w:rPr>
          <w:fldChar w:fldCharType="end"/>
        </w:r>
      </w:hyperlink>
    </w:p>
    <w:p w14:paraId="128BB628" w14:textId="132F8AC3"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41" w:history="1">
        <w:r w:rsidRPr="00E60090">
          <w:rPr>
            <w:rStyle w:val="Lienhypertexte"/>
            <w:noProof/>
          </w:rPr>
          <w:t>4.14.2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Amendes pour retard (art. 46 et 154)</w:t>
        </w:r>
        <w:r>
          <w:rPr>
            <w:noProof/>
            <w:webHidden/>
          </w:rPr>
          <w:tab/>
        </w:r>
        <w:r>
          <w:rPr>
            <w:noProof/>
            <w:webHidden/>
          </w:rPr>
          <w:fldChar w:fldCharType="begin"/>
        </w:r>
        <w:r>
          <w:rPr>
            <w:noProof/>
            <w:webHidden/>
          </w:rPr>
          <w:instrText xml:space="preserve"> PAGEREF _Toc150246341 \h </w:instrText>
        </w:r>
        <w:r>
          <w:rPr>
            <w:noProof/>
            <w:webHidden/>
          </w:rPr>
        </w:r>
        <w:r>
          <w:rPr>
            <w:noProof/>
            <w:webHidden/>
          </w:rPr>
          <w:fldChar w:fldCharType="separate"/>
        </w:r>
        <w:r>
          <w:rPr>
            <w:noProof/>
            <w:webHidden/>
          </w:rPr>
          <w:t>28</w:t>
        </w:r>
        <w:r>
          <w:rPr>
            <w:noProof/>
            <w:webHidden/>
          </w:rPr>
          <w:fldChar w:fldCharType="end"/>
        </w:r>
      </w:hyperlink>
    </w:p>
    <w:p w14:paraId="14D7E883" w14:textId="6FB08E28"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42" w:history="1">
        <w:r w:rsidRPr="00E60090">
          <w:rPr>
            <w:rStyle w:val="Lienhypertexte"/>
            <w:noProof/>
          </w:rPr>
          <w:t>4.14.3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Mesures d’office (art. 47 et 155)</w:t>
        </w:r>
        <w:r>
          <w:rPr>
            <w:noProof/>
            <w:webHidden/>
          </w:rPr>
          <w:tab/>
        </w:r>
        <w:r>
          <w:rPr>
            <w:noProof/>
            <w:webHidden/>
          </w:rPr>
          <w:fldChar w:fldCharType="begin"/>
        </w:r>
        <w:r>
          <w:rPr>
            <w:noProof/>
            <w:webHidden/>
          </w:rPr>
          <w:instrText xml:space="preserve"> PAGEREF _Toc150246342 \h </w:instrText>
        </w:r>
        <w:r>
          <w:rPr>
            <w:noProof/>
            <w:webHidden/>
          </w:rPr>
        </w:r>
        <w:r>
          <w:rPr>
            <w:noProof/>
            <w:webHidden/>
          </w:rPr>
          <w:fldChar w:fldCharType="separate"/>
        </w:r>
        <w:r>
          <w:rPr>
            <w:noProof/>
            <w:webHidden/>
          </w:rPr>
          <w:t>28</w:t>
        </w:r>
        <w:r>
          <w:rPr>
            <w:noProof/>
            <w:webHidden/>
          </w:rPr>
          <w:fldChar w:fldCharType="end"/>
        </w:r>
      </w:hyperlink>
    </w:p>
    <w:p w14:paraId="39FFA41C" w14:textId="1354D4E0"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43" w:history="1">
        <w:r w:rsidRPr="00E60090">
          <w:rPr>
            <w:rStyle w:val="Lienhypertexte"/>
            <w:noProof/>
          </w:rPr>
          <w:t>4.15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Fin du marché</w:t>
        </w:r>
        <w:r>
          <w:rPr>
            <w:noProof/>
            <w:webHidden/>
          </w:rPr>
          <w:tab/>
        </w:r>
        <w:r>
          <w:rPr>
            <w:noProof/>
            <w:webHidden/>
          </w:rPr>
          <w:fldChar w:fldCharType="begin"/>
        </w:r>
        <w:r>
          <w:rPr>
            <w:noProof/>
            <w:webHidden/>
          </w:rPr>
          <w:instrText xml:space="preserve"> PAGEREF _Toc150246343 \h </w:instrText>
        </w:r>
        <w:r>
          <w:rPr>
            <w:noProof/>
            <w:webHidden/>
          </w:rPr>
        </w:r>
        <w:r>
          <w:rPr>
            <w:noProof/>
            <w:webHidden/>
          </w:rPr>
          <w:fldChar w:fldCharType="separate"/>
        </w:r>
        <w:r>
          <w:rPr>
            <w:noProof/>
            <w:webHidden/>
          </w:rPr>
          <w:t>29</w:t>
        </w:r>
        <w:r>
          <w:rPr>
            <w:noProof/>
            <w:webHidden/>
          </w:rPr>
          <w:fldChar w:fldCharType="end"/>
        </w:r>
      </w:hyperlink>
    </w:p>
    <w:p w14:paraId="1F479AB1" w14:textId="0476E2F2"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44" w:history="1">
        <w:r w:rsidRPr="00E60090">
          <w:rPr>
            <w:rStyle w:val="Lienhypertexte"/>
            <w:noProof/>
          </w:rPr>
          <w:t>4.15.1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_Toc150246344 \h </w:instrText>
        </w:r>
        <w:r>
          <w:rPr>
            <w:noProof/>
            <w:webHidden/>
          </w:rPr>
        </w:r>
        <w:r>
          <w:rPr>
            <w:noProof/>
            <w:webHidden/>
          </w:rPr>
          <w:fldChar w:fldCharType="separate"/>
        </w:r>
        <w:r>
          <w:rPr>
            <w:noProof/>
            <w:webHidden/>
          </w:rPr>
          <w:t>29</w:t>
        </w:r>
        <w:r>
          <w:rPr>
            <w:noProof/>
            <w:webHidden/>
          </w:rPr>
          <w:fldChar w:fldCharType="end"/>
        </w:r>
      </w:hyperlink>
    </w:p>
    <w:p w14:paraId="19064DF2" w14:textId="3C53A7DE"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45" w:history="1">
        <w:r w:rsidRPr="00E60090">
          <w:rPr>
            <w:rStyle w:val="Lienhypertexte"/>
            <w:noProof/>
          </w:rPr>
          <w:t>4.15.2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_Toc150246345 \h </w:instrText>
        </w:r>
        <w:r>
          <w:rPr>
            <w:noProof/>
            <w:webHidden/>
          </w:rPr>
        </w:r>
        <w:r>
          <w:rPr>
            <w:noProof/>
            <w:webHidden/>
          </w:rPr>
          <w:fldChar w:fldCharType="separate"/>
        </w:r>
        <w:r>
          <w:rPr>
            <w:noProof/>
            <w:webHidden/>
          </w:rPr>
          <w:t>29</w:t>
        </w:r>
        <w:r>
          <w:rPr>
            <w:noProof/>
            <w:webHidden/>
          </w:rPr>
          <w:fldChar w:fldCharType="end"/>
        </w:r>
      </w:hyperlink>
    </w:p>
    <w:p w14:paraId="21E907FF" w14:textId="157F9989"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46" w:history="1">
        <w:r w:rsidRPr="00E60090">
          <w:rPr>
            <w:rStyle w:val="Lienhypertexte"/>
            <w:noProof/>
          </w:rPr>
          <w:t>4.16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Litiges (art. 73)</w:t>
        </w:r>
        <w:r>
          <w:rPr>
            <w:noProof/>
            <w:webHidden/>
          </w:rPr>
          <w:tab/>
        </w:r>
        <w:r>
          <w:rPr>
            <w:noProof/>
            <w:webHidden/>
          </w:rPr>
          <w:fldChar w:fldCharType="begin"/>
        </w:r>
        <w:r>
          <w:rPr>
            <w:noProof/>
            <w:webHidden/>
          </w:rPr>
          <w:instrText xml:space="preserve"> PAGEREF _Toc150246346 \h </w:instrText>
        </w:r>
        <w:r>
          <w:rPr>
            <w:noProof/>
            <w:webHidden/>
          </w:rPr>
        </w:r>
        <w:r>
          <w:rPr>
            <w:noProof/>
            <w:webHidden/>
          </w:rPr>
          <w:fldChar w:fldCharType="separate"/>
        </w:r>
        <w:r>
          <w:rPr>
            <w:noProof/>
            <w:webHidden/>
          </w:rPr>
          <w:t>29</w:t>
        </w:r>
        <w:r>
          <w:rPr>
            <w:noProof/>
            <w:webHidden/>
          </w:rPr>
          <w:fldChar w:fldCharType="end"/>
        </w:r>
      </w:hyperlink>
    </w:p>
    <w:p w14:paraId="03E47544" w14:textId="4A9E8DD3"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347" w:history="1">
        <w:r w:rsidRPr="00E60090">
          <w:rPr>
            <w:rStyle w:val="Lienhypertexte"/>
            <w:noProof/>
          </w:rPr>
          <w:t>5</w:t>
        </w:r>
        <w:r>
          <w:rPr>
            <w:rFonts w:asciiTheme="minorHAnsi" w:eastAsiaTheme="minorEastAsia" w:hAnsiTheme="minorHAnsi" w:cstheme="minorBidi"/>
            <w:b w:val="0"/>
            <w:noProof/>
            <w:color w:val="auto"/>
            <w:kern w:val="2"/>
            <w:sz w:val="22"/>
            <w:lang w:val="fr-FR" w:eastAsia="fr-FR"/>
            <w14:ligatures w14:val="standardContextual"/>
          </w:rPr>
          <w:tab/>
        </w:r>
        <w:r w:rsidRPr="00E60090">
          <w:rPr>
            <w:rStyle w:val="Lienhypertexte"/>
            <w:noProof/>
          </w:rPr>
          <w:t>Termes de référence</w:t>
        </w:r>
        <w:r>
          <w:rPr>
            <w:noProof/>
            <w:webHidden/>
          </w:rPr>
          <w:tab/>
        </w:r>
        <w:r>
          <w:rPr>
            <w:noProof/>
            <w:webHidden/>
          </w:rPr>
          <w:fldChar w:fldCharType="begin"/>
        </w:r>
        <w:r>
          <w:rPr>
            <w:noProof/>
            <w:webHidden/>
          </w:rPr>
          <w:instrText xml:space="preserve"> PAGEREF _Toc150246347 \h </w:instrText>
        </w:r>
        <w:r>
          <w:rPr>
            <w:noProof/>
            <w:webHidden/>
          </w:rPr>
        </w:r>
        <w:r>
          <w:rPr>
            <w:noProof/>
            <w:webHidden/>
          </w:rPr>
          <w:fldChar w:fldCharType="separate"/>
        </w:r>
        <w:r>
          <w:rPr>
            <w:noProof/>
            <w:webHidden/>
          </w:rPr>
          <w:t>31</w:t>
        </w:r>
        <w:r>
          <w:rPr>
            <w:noProof/>
            <w:webHidden/>
          </w:rPr>
          <w:fldChar w:fldCharType="end"/>
        </w:r>
      </w:hyperlink>
    </w:p>
    <w:p w14:paraId="6E736AF2" w14:textId="03FAC031" w:rsidR="00EA7CA1" w:rsidRDefault="00EA7CA1">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246348" w:history="1">
        <w:r w:rsidRPr="00E60090">
          <w:rPr>
            <w:rStyle w:val="Lienhypertexte"/>
            <w:noProof/>
          </w:rPr>
          <w:t>6</w:t>
        </w:r>
        <w:r>
          <w:rPr>
            <w:rFonts w:asciiTheme="minorHAnsi" w:eastAsiaTheme="minorEastAsia" w:hAnsiTheme="minorHAnsi" w:cstheme="minorBidi"/>
            <w:b w:val="0"/>
            <w:noProof/>
            <w:color w:val="auto"/>
            <w:kern w:val="2"/>
            <w:sz w:val="22"/>
            <w:lang w:val="fr-FR" w:eastAsia="fr-FR"/>
            <w14:ligatures w14:val="standardContextual"/>
          </w:rPr>
          <w:tab/>
        </w:r>
        <w:r w:rsidRPr="00E60090">
          <w:rPr>
            <w:rStyle w:val="Lienhypertexte"/>
            <w:noProof/>
          </w:rPr>
          <w:t>Formulaires</w:t>
        </w:r>
        <w:r>
          <w:rPr>
            <w:noProof/>
            <w:webHidden/>
          </w:rPr>
          <w:tab/>
        </w:r>
        <w:r>
          <w:rPr>
            <w:noProof/>
            <w:webHidden/>
          </w:rPr>
          <w:fldChar w:fldCharType="begin"/>
        </w:r>
        <w:r>
          <w:rPr>
            <w:noProof/>
            <w:webHidden/>
          </w:rPr>
          <w:instrText xml:space="preserve"> PAGEREF _Toc150246348 \h </w:instrText>
        </w:r>
        <w:r>
          <w:rPr>
            <w:noProof/>
            <w:webHidden/>
          </w:rPr>
        </w:r>
        <w:r>
          <w:rPr>
            <w:noProof/>
            <w:webHidden/>
          </w:rPr>
          <w:fldChar w:fldCharType="separate"/>
        </w:r>
        <w:r>
          <w:rPr>
            <w:noProof/>
            <w:webHidden/>
          </w:rPr>
          <w:t>31</w:t>
        </w:r>
        <w:r>
          <w:rPr>
            <w:noProof/>
            <w:webHidden/>
          </w:rPr>
          <w:fldChar w:fldCharType="end"/>
        </w:r>
      </w:hyperlink>
    </w:p>
    <w:p w14:paraId="5CDABD6C" w14:textId="0CD3665A"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49" w:history="1">
        <w:r w:rsidRPr="00E60090">
          <w:rPr>
            <w:rStyle w:val="Lienhypertexte"/>
            <w:noProof/>
          </w:rPr>
          <w:t>6.1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Fiche d’identification</w:t>
        </w:r>
        <w:r>
          <w:rPr>
            <w:noProof/>
            <w:webHidden/>
          </w:rPr>
          <w:tab/>
        </w:r>
        <w:r>
          <w:rPr>
            <w:noProof/>
            <w:webHidden/>
          </w:rPr>
          <w:fldChar w:fldCharType="begin"/>
        </w:r>
        <w:r>
          <w:rPr>
            <w:noProof/>
            <w:webHidden/>
          </w:rPr>
          <w:instrText xml:space="preserve"> PAGEREF _Toc150246349 \h </w:instrText>
        </w:r>
        <w:r>
          <w:rPr>
            <w:noProof/>
            <w:webHidden/>
          </w:rPr>
        </w:r>
        <w:r>
          <w:rPr>
            <w:noProof/>
            <w:webHidden/>
          </w:rPr>
          <w:fldChar w:fldCharType="separate"/>
        </w:r>
        <w:r>
          <w:rPr>
            <w:noProof/>
            <w:webHidden/>
          </w:rPr>
          <w:t>31</w:t>
        </w:r>
        <w:r>
          <w:rPr>
            <w:noProof/>
            <w:webHidden/>
          </w:rPr>
          <w:fldChar w:fldCharType="end"/>
        </w:r>
      </w:hyperlink>
    </w:p>
    <w:p w14:paraId="4EA1CDA5" w14:textId="6EE5B8DA"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50" w:history="1">
        <w:r w:rsidRPr="00E60090">
          <w:rPr>
            <w:rStyle w:val="Lienhypertexte"/>
            <w:noProof/>
          </w:rPr>
          <w:t>6.1.1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Personne physique</w:t>
        </w:r>
        <w:r>
          <w:rPr>
            <w:noProof/>
            <w:webHidden/>
          </w:rPr>
          <w:tab/>
        </w:r>
        <w:r>
          <w:rPr>
            <w:noProof/>
            <w:webHidden/>
          </w:rPr>
          <w:fldChar w:fldCharType="begin"/>
        </w:r>
        <w:r>
          <w:rPr>
            <w:noProof/>
            <w:webHidden/>
          </w:rPr>
          <w:instrText xml:space="preserve"> PAGEREF _Toc150246350 \h </w:instrText>
        </w:r>
        <w:r>
          <w:rPr>
            <w:noProof/>
            <w:webHidden/>
          </w:rPr>
        </w:r>
        <w:r>
          <w:rPr>
            <w:noProof/>
            <w:webHidden/>
          </w:rPr>
          <w:fldChar w:fldCharType="separate"/>
        </w:r>
        <w:r>
          <w:rPr>
            <w:noProof/>
            <w:webHidden/>
          </w:rPr>
          <w:t>31</w:t>
        </w:r>
        <w:r>
          <w:rPr>
            <w:noProof/>
            <w:webHidden/>
          </w:rPr>
          <w:fldChar w:fldCharType="end"/>
        </w:r>
      </w:hyperlink>
    </w:p>
    <w:p w14:paraId="305B24FC" w14:textId="603E0E2D"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51" w:history="1">
        <w:r w:rsidRPr="00E60090">
          <w:rPr>
            <w:rStyle w:val="Lienhypertexte"/>
            <w:noProof/>
          </w:rPr>
          <w:t>6.1.2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_Toc150246351 \h </w:instrText>
        </w:r>
        <w:r>
          <w:rPr>
            <w:noProof/>
            <w:webHidden/>
          </w:rPr>
        </w:r>
        <w:r>
          <w:rPr>
            <w:noProof/>
            <w:webHidden/>
          </w:rPr>
          <w:fldChar w:fldCharType="separate"/>
        </w:r>
        <w:r>
          <w:rPr>
            <w:noProof/>
            <w:webHidden/>
          </w:rPr>
          <w:t>32</w:t>
        </w:r>
        <w:r>
          <w:rPr>
            <w:noProof/>
            <w:webHidden/>
          </w:rPr>
          <w:fldChar w:fldCharType="end"/>
        </w:r>
      </w:hyperlink>
    </w:p>
    <w:p w14:paraId="33A69C8F" w14:textId="59DC440C"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52" w:history="1">
        <w:r w:rsidRPr="00E60090">
          <w:rPr>
            <w:rStyle w:val="Lienhypertexte"/>
            <w:noProof/>
          </w:rPr>
          <w:t>6.1.3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Entité de droit public</w:t>
        </w:r>
        <w:r>
          <w:rPr>
            <w:noProof/>
            <w:webHidden/>
          </w:rPr>
          <w:tab/>
        </w:r>
        <w:r>
          <w:rPr>
            <w:noProof/>
            <w:webHidden/>
          </w:rPr>
          <w:fldChar w:fldCharType="begin"/>
        </w:r>
        <w:r>
          <w:rPr>
            <w:noProof/>
            <w:webHidden/>
          </w:rPr>
          <w:instrText xml:space="preserve"> PAGEREF _Toc150246352 \h </w:instrText>
        </w:r>
        <w:r>
          <w:rPr>
            <w:noProof/>
            <w:webHidden/>
          </w:rPr>
        </w:r>
        <w:r>
          <w:rPr>
            <w:noProof/>
            <w:webHidden/>
          </w:rPr>
          <w:fldChar w:fldCharType="separate"/>
        </w:r>
        <w:r>
          <w:rPr>
            <w:noProof/>
            <w:webHidden/>
          </w:rPr>
          <w:t>34</w:t>
        </w:r>
        <w:r>
          <w:rPr>
            <w:noProof/>
            <w:webHidden/>
          </w:rPr>
          <w:fldChar w:fldCharType="end"/>
        </w:r>
      </w:hyperlink>
    </w:p>
    <w:p w14:paraId="19D0D898" w14:textId="0B827A72"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53" w:history="1">
        <w:r w:rsidRPr="00E60090">
          <w:rPr>
            <w:rStyle w:val="Lienhypertexte"/>
            <w:noProof/>
          </w:rPr>
          <w:t>6.1.4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Sous-traitants</w:t>
        </w:r>
        <w:r>
          <w:rPr>
            <w:noProof/>
            <w:webHidden/>
          </w:rPr>
          <w:tab/>
        </w:r>
        <w:r>
          <w:rPr>
            <w:noProof/>
            <w:webHidden/>
          </w:rPr>
          <w:fldChar w:fldCharType="begin"/>
        </w:r>
        <w:r>
          <w:rPr>
            <w:noProof/>
            <w:webHidden/>
          </w:rPr>
          <w:instrText xml:space="preserve"> PAGEREF _Toc150246353 \h </w:instrText>
        </w:r>
        <w:r>
          <w:rPr>
            <w:noProof/>
            <w:webHidden/>
          </w:rPr>
        </w:r>
        <w:r>
          <w:rPr>
            <w:noProof/>
            <w:webHidden/>
          </w:rPr>
          <w:fldChar w:fldCharType="separate"/>
        </w:r>
        <w:r>
          <w:rPr>
            <w:noProof/>
            <w:webHidden/>
          </w:rPr>
          <w:t>35</w:t>
        </w:r>
        <w:r>
          <w:rPr>
            <w:noProof/>
            <w:webHidden/>
          </w:rPr>
          <w:fldChar w:fldCharType="end"/>
        </w:r>
      </w:hyperlink>
    </w:p>
    <w:p w14:paraId="7C11ECFF" w14:textId="5E04165E"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4" w:history="1">
        <w:r w:rsidRPr="00E60090">
          <w:rPr>
            <w:rStyle w:val="Lienhypertexte"/>
            <w:noProof/>
          </w:rPr>
          <w:t>6.2</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Formulaire d’offre - Prix</w:t>
        </w:r>
        <w:r>
          <w:rPr>
            <w:noProof/>
            <w:webHidden/>
          </w:rPr>
          <w:tab/>
        </w:r>
        <w:r>
          <w:rPr>
            <w:noProof/>
            <w:webHidden/>
          </w:rPr>
          <w:fldChar w:fldCharType="begin"/>
        </w:r>
        <w:r>
          <w:rPr>
            <w:noProof/>
            <w:webHidden/>
          </w:rPr>
          <w:instrText xml:space="preserve"> PAGEREF _Toc150246354 \h </w:instrText>
        </w:r>
        <w:r>
          <w:rPr>
            <w:noProof/>
            <w:webHidden/>
          </w:rPr>
        </w:r>
        <w:r>
          <w:rPr>
            <w:noProof/>
            <w:webHidden/>
          </w:rPr>
          <w:fldChar w:fldCharType="separate"/>
        </w:r>
        <w:r>
          <w:rPr>
            <w:noProof/>
            <w:webHidden/>
          </w:rPr>
          <w:t>35</w:t>
        </w:r>
        <w:r>
          <w:rPr>
            <w:noProof/>
            <w:webHidden/>
          </w:rPr>
          <w:fldChar w:fldCharType="end"/>
        </w:r>
      </w:hyperlink>
    </w:p>
    <w:p w14:paraId="56BDF22A" w14:textId="7FCA1EE4"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5" w:history="1">
        <w:r w:rsidRPr="00E60090">
          <w:rPr>
            <w:rStyle w:val="Lienhypertexte"/>
            <w:noProof/>
          </w:rPr>
          <w:t>6.3</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Déclaration sur l’honneur – motifs d’exclusion</w:t>
        </w:r>
        <w:r>
          <w:rPr>
            <w:noProof/>
            <w:webHidden/>
          </w:rPr>
          <w:tab/>
        </w:r>
        <w:r>
          <w:rPr>
            <w:noProof/>
            <w:webHidden/>
          </w:rPr>
          <w:fldChar w:fldCharType="begin"/>
        </w:r>
        <w:r>
          <w:rPr>
            <w:noProof/>
            <w:webHidden/>
          </w:rPr>
          <w:instrText xml:space="preserve"> PAGEREF _Toc150246355 \h </w:instrText>
        </w:r>
        <w:r>
          <w:rPr>
            <w:noProof/>
            <w:webHidden/>
          </w:rPr>
        </w:r>
        <w:r>
          <w:rPr>
            <w:noProof/>
            <w:webHidden/>
          </w:rPr>
          <w:fldChar w:fldCharType="separate"/>
        </w:r>
        <w:r>
          <w:rPr>
            <w:noProof/>
            <w:webHidden/>
          </w:rPr>
          <w:t>36</w:t>
        </w:r>
        <w:r>
          <w:rPr>
            <w:noProof/>
            <w:webHidden/>
          </w:rPr>
          <w:fldChar w:fldCharType="end"/>
        </w:r>
      </w:hyperlink>
    </w:p>
    <w:p w14:paraId="50001517" w14:textId="505C59FB"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6" w:history="1">
        <w:r w:rsidRPr="00E60090">
          <w:rPr>
            <w:rStyle w:val="Lienhypertexte"/>
            <w:noProof/>
          </w:rPr>
          <w:t>6.4</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Dossier de sélection – capacité économique</w:t>
        </w:r>
        <w:r>
          <w:rPr>
            <w:noProof/>
            <w:webHidden/>
          </w:rPr>
          <w:tab/>
        </w:r>
        <w:r>
          <w:rPr>
            <w:noProof/>
            <w:webHidden/>
          </w:rPr>
          <w:fldChar w:fldCharType="begin"/>
        </w:r>
        <w:r>
          <w:rPr>
            <w:noProof/>
            <w:webHidden/>
          </w:rPr>
          <w:instrText xml:space="preserve"> PAGEREF _Toc150246356 \h </w:instrText>
        </w:r>
        <w:r>
          <w:rPr>
            <w:noProof/>
            <w:webHidden/>
          </w:rPr>
        </w:r>
        <w:r>
          <w:rPr>
            <w:noProof/>
            <w:webHidden/>
          </w:rPr>
          <w:fldChar w:fldCharType="separate"/>
        </w:r>
        <w:r>
          <w:rPr>
            <w:noProof/>
            <w:webHidden/>
          </w:rPr>
          <w:t>38</w:t>
        </w:r>
        <w:r>
          <w:rPr>
            <w:noProof/>
            <w:webHidden/>
          </w:rPr>
          <w:fldChar w:fldCharType="end"/>
        </w:r>
      </w:hyperlink>
    </w:p>
    <w:p w14:paraId="2E35F969" w14:textId="32BF4778"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7" w:history="1">
        <w:r w:rsidRPr="00E60090">
          <w:rPr>
            <w:rStyle w:val="Lienhypertexte"/>
            <w:noProof/>
          </w:rPr>
          <w:t>6.5</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Dossier de sélection – aptitude technique</w:t>
        </w:r>
        <w:r>
          <w:rPr>
            <w:noProof/>
            <w:webHidden/>
          </w:rPr>
          <w:tab/>
        </w:r>
        <w:r>
          <w:rPr>
            <w:noProof/>
            <w:webHidden/>
          </w:rPr>
          <w:fldChar w:fldCharType="begin"/>
        </w:r>
        <w:r>
          <w:rPr>
            <w:noProof/>
            <w:webHidden/>
          </w:rPr>
          <w:instrText xml:space="preserve"> PAGEREF _Toc150246357 \h </w:instrText>
        </w:r>
        <w:r>
          <w:rPr>
            <w:noProof/>
            <w:webHidden/>
          </w:rPr>
        </w:r>
        <w:r>
          <w:rPr>
            <w:noProof/>
            <w:webHidden/>
          </w:rPr>
          <w:fldChar w:fldCharType="separate"/>
        </w:r>
        <w:r>
          <w:rPr>
            <w:noProof/>
            <w:webHidden/>
          </w:rPr>
          <w:t>40</w:t>
        </w:r>
        <w:r>
          <w:rPr>
            <w:noProof/>
            <w:webHidden/>
          </w:rPr>
          <w:fldChar w:fldCharType="end"/>
        </w:r>
      </w:hyperlink>
    </w:p>
    <w:p w14:paraId="67ADF3C1" w14:textId="6CD651ED"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8" w:history="1">
        <w:r w:rsidRPr="00E60090">
          <w:rPr>
            <w:rStyle w:val="Lienhypertexte"/>
            <w:noProof/>
          </w:rPr>
          <w:t>6.6</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Documents à remettre – liste exhaustive</w:t>
        </w:r>
        <w:r>
          <w:rPr>
            <w:noProof/>
            <w:webHidden/>
          </w:rPr>
          <w:tab/>
        </w:r>
        <w:r>
          <w:rPr>
            <w:noProof/>
            <w:webHidden/>
          </w:rPr>
          <w:fldChar w:fldCharType="begin"/>
        </w:r>
        <w:r>
          <w:rPr>
            <w:noProof/>
            <w:webHidden/>
          </w:rPr>
          <w:instrText xml:space="preserve"> PAGEREF _Toc150246358 \h </w:instrText>
        </w:r>
        <w:r>
          <w:rPr>
            <w:noProof/>
            <w:webHidden/>
          </w:rPr>
        </w:r>
        <w:r>
          <w:rPr>
            <w:noProof/>
            <w:webHidden/>
          </w:rPr>
          <w:fldChar w:fldCharType="separate"/>
        </w:r>
        <w:r>
          <w:rPr>
            <w:noProof/>
            <w:webHidden/>
          </w:rPr>
          <w:t>42</w:t>
        </w:r>
        <w:r>
          <w:rPr>
            <w:noProof/>
            <w:webHidden/>
          </w:rPr>
          <w:fldChar w:fldCharType="end"/>
        </w:r>
      </w:hyperlink>
    </w:p>
    <w:p w14:paraId="176D1F50" w14:textId="393FEB80" w:rsidR="00EA7CA1" w:rsidRDefault="00EA7CA1">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246359" w:history="1">
        <w:r w:rsidRPr="00E60090">
          <w:rPr>
            <w:rStyle w:val="Lienhypertexte"/>
            <w:noProof/>
          </w:rPr>
          <w:t>6.7</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Annexes</w:t>
        </w:r>
        <w:r>
          <w:rPr>
            <w:noProof/>
            <w:webHidden/>
          </w:rPr>
          <w:tab/>
        </w:r>
        <w:r>
          <w:rPr>
            <w:noProof/>
            <w:webHidden/>
          </w:rPr>
          <w:fldChar w:fldCharType="begin"/>
        </w:r>
        <w:r>
          <w:rPr>
            <w:noProof/>
            <w:webHidden/>
          </w:rPr>
          <w:instrText xml:space="preserve"> PAGEREF _Toc150246359 \h </w:instrText>
        </w:r>
        <w:r>
          <w:rPr>
            <w:noProof/>
            <w:webHidden/>
          </w:rPr>
        </w:r>
        <w:r>
          <w:rPr>
            <w:noProof/>
            <w:webHidden/>
          </w:rPr>
          <w:fldChar w:fldCharType="separate"/>
        </w:r>
        <w:r>
          <w:rPr>
            <w:noProof/>
            <w:webHidden/>
          </w:rPr>
          <w:t>43</w:t>
        </w:r>
        <w:r>
          <w:rPr>
            <w:noProof/>
            <w:webHidden/>
          </w:rPr>
          <w:fldChar w:fldCharType="end"/>
        </w:r>
      </w:hyperlink>
    </w:p>
    <w:p w14:paraId="5056FEA1" w14:textId="63CBE7C7" w:rsidR="00EA7CA1" w:rsidRDefault="00EA7CA1">
      <w:pPr>
        <w:pStyle w:val="TM3"/>
        <w:rPr>
          <w:rFonts w:asciiTheme="minorHAnsi" w:eastAsiaTheme="minorEastAsia" w:hAnsiTheme="minorHAnsi" w:cstheme="minorBidi"/>
          <w:noProof/>
          <w:color w:val="auto"/>
          <w:kern w:val="2"/>
          <w:sz w:val="22"/>
          <w:lang w:val="fr-FR" w:eastAsia="fr-FR"/>
          <w14:ligatures w14:val="standardContextual"/>
        </w:rPr>
      </w:pPr>
      <w:hyperlink w:anchor="_Toc150246360" w:history="1">
        <w:r w:rsidRPr="00E60090">
          <w:rPr>
            <w:rStyle w:val="Lienhypertexte"/>
            <w:noProof/>
          </w:rPr>
          <w:t>6.7.1</w:t>
        </w:r>
        <w:r>
          <w:rPr>
            <w:rFonts w:asciiTheme="minorHAnsi" w:eastAsiaTheme="minorEastAsia" w:hAnsiTheme="minorHAnsi" w:cstheme="minorBidi"/>
            <w:noProof/>
            <w:color w:val="auto"/>
            <w:kern w:val="2"/>
            <w:sz w:val="22"/>
            <w:lang w:val="fr-FR" w:eastAsia="fr-FR"/>
            <w14:ligatures w14:val="standardContextual"/>
          </w:rPr>
          <w:tab/>
        </w:r>
        <w:r w:rsidRPr="00E60090">
          <w:rPr>
            <w:rStyle w:val="Lienhypertexte"/>
            <w:noProof/>
          </w:rPr>
          <w:t>&lt;&lt; Clause GDPR (en cas de prestataire de service qui va traiter des données personnelles)</w:t>
        </w:r>
        <w:r>
          <w:rPr>
            <w:noProof/>
            <w:webHidden/>
          </w:rPr>
          <w:tab/>
        </w:r>
        <w:r>
          <w:rPr>
            <w:noProof/>
            <w:webHidden/>
          </w:rPr>
          <w:fldChar w:fldCharType="begin"/>
        </w:r>
        <w:r>
          <w:rPr>
            <w:noProof/>
            <w:webHidden/>
          </w:rPr>
          <w:instrText xml:space="preserve"> PAGEREF _Toc150246360 \h </w:instrText>
        </w:r>
        <w:r>
          <w:rPr>
            <w:noProof/>
            <w:webHidden/>
          </w:rPr>
        </w:r>
        <w:r>
          <w:rPr>
            <w:noProof/>
            <w:webHidden/>
          </w:rPr>
          <w:fldChar w:fldCharType="separate"/>
        </w:r>
        <w:r>
          <w:rPr>
            <w:noProof/>
            <w:webHidden/>
          </w:rPr>
          <w:t>43</w:t>
        </w:r>
        <w:r>
          <w:rPr>
            <w:noProof/>
            <w:webHidden/>
          </w:rPr>
          <w:fldChar w:fldCharType="end"/>
        </w:r>
      </w:hyperlink>
    </w:p>
    <w:p w14:paraId="0043F7F9" w14:textId="347333AA"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2" w:name="_Toc150246275"/>
      <w:r>
        <w:lastRenderedPageBreak/>
        <w:t>Généralités</w:t>
      </w:r>
      <w:bookmarkEnd w:id="2"/>
      <w:r w:rsidR="00557219">
        <w:t xml:space="preserve"> </w:t>
      </w:r>
    </w:p>
    <w:p w14:paraId="5558DFF7" w14:textId="223F1388" w:rsidR="002B7D5A" w:rsidRPr="007749A0" w:rsidRDefault="006C4396" w:rsidP="00413425">
      <w:pPr>
        <w:pStyle w:val="Titre2"/>
      </w:pPr>
      <w:bookmarkStart w:id="3" w:name="_Toc150246276"/>
      <w:r>
        <w:t>Dérogations aux règles générales d’exécution</w:t>
      </w:r>
      <w:bookmarkEnd w:id="3"/>
    </w:p>
    <w:p w14:paraId="5617B48F" w14:textId="6664BA09" w:rsidR="005C33F3" w:rsidRPr="004D16E6"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w:t>
      </w:r>
      <w:r w:rsidR="005C33F3" w:rsidRPr="004D16E6">
        <w:rPr>
          <w:rFonts w:ascii="Georgia" w:eastAsia="Calibri" w:hAnsi="Georgia" w:cs="Times New Roman"/>
          <w:color w:val="585756"/>
          <w:kern w:val="0"/>
          <w:sz w:val="21"/>
          <w:szCs w:val="22"/>
          <w:lang w:val="fr-BE"/>
        </w:rPr>
        <w:t xml:space="preserve">ou précisent celui-ci. </w:t>
      </w:r>
    </w:p>
    <w:p w14:paraId="61E9FA1F" w14:textId="7D55BFAB" w:rsidR="005C33F3" w:rsidRPr="00211A79" w:rsidRDefault="005C33F3" w:rsidP="004D16E6">
      <w:pPr>
        <w:pStyle w:val="Corpsdetexte"/>
        <w:shd w:val="clear" w:color="auto" w:fill="FFFFFF"/>
        <w:rPr>
          <w:i/>
        </w:rPr>
      </w:pPr>
      <w:r w:rsidRPr="004D16E6">
        <w:rPr>
          <w:rFonts w:ascii="Georgia" w:eastAsia="Calibri" w:hAnsi="Georgia" w:cs="Times New Roman"/>
          <w:color w:val="585756"/>
          <w:kern w:val="0"/>
          <w:sz w:val="21"/>
          <w:szCs w:val="22"/>
          <w:lang w:val="fr-BE"/>
        </w:rPr>
        <w:t>Dans le présent CSC, il est dérogé à l’</w:t>
      </w:r>
      <w:proofErr w:type="spellStart"/>
      <w:r w:rsidRPr="004D16E6">
        <w:rPr>
          <w:rFonts w:ascii="Georgia" w:eastAsia="Calibri" w:hAnsi="Georgia" w:cs="Times New Roman"/>
          <w:color w:val="585756"/>
          <w:kern w:val="0"/>
          <w:sz w:val="21"/>
          <w:szCs w:val="22"/>
          <w:lang w:val="fr-BE"/>
        </w:rPr>
        <w:t>articledes</w:t>
      </w:r>
      <w:proofErr w:type="spellEnd"/>
      <w:r w:rsidRPr="004D16E6">
        <w:rPr>
          <w:rFonts w:ascii="Georgia" w:eastAsia="Calibri" w:hAnsi="Georgia" w:cs="Times New Roman"/>
          <w:color w:val="585756"/>
          <w:kern w:val="0"/>
          <w:sz w:val="21"/>
          <w:szCs w:val="22"/>
          <w:lang w:val="fr-BE"/>
        </w:rPr>
        <w:t xml:space="preserve">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150246277"/>
      <w:r>
        <w:t>Pouvoir adjudicateur</w:t>
      </w:r>
      <w:bookmarkEnd w:id="4"/>
      <w:bookmarkEnd w:id="5"/>
      <w:bookmarkEnd w:id="6"/>
      <w:bookmarkEnd w:id="7"/>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AA0D3D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valablement représentée par</w:t>
      </w:r>
      <w:r w:rsidR="004D16E6">
        <w:rPr>
          <w:rFonts w:ascii="Georgia" w:eastAsia="Calibri" w:hAnsi="Georgia" w:cs="Times New Roman"/>
          <w:color w:val="585756"/>
          <w:kern w:val="0"/>
          <w:sz w:val="21"/>
          <w:szCs w:val="22"/>
          <w:lang w:val="fr-BE"/>
        </w:rPr>
        <w:t xml:space="preserve"> Laura JACOBS, </w:t>
      </w:r>
      <w:proofErr w:type="spellStart"/>
      <w:r w:rsidR="004D16E6">
        <w:rPr>
          <w:rFonts w:ascii="Georgia" w:eastAsia="Calibri" w:hAnsi="Georgia" w:cs="Times New Roman"/>
          <w:color w:val="585756"/>
          <w:kern w:val="0"/>
          <w:sz w:val="21"/>
          <w:szCs w:val="22"/>
          <w:lang w:val="fr-BE"/>
        </w:rPr>
        <w:t>Contract</w:t>
      </w:r>
      <w:proofErr w:type="spellEnd"/>
      <w:r w:rsidR="004D16E6">
        <w:rPr>
          <w:rFonts w:ascii="Georgia" w:eastAsia="Calibri" w:hAnsi="Georgia" w:cs="Times New Roman"/>
          <w:color w:val="585756"/>
          <w:kern w:val="0"/>
          <w:sz w:val="21"/>
          <w:szCs w:val="22"/>
          <w:lang w:val="fr-BE"/>
        </w:rPr>
        <w:t xml:space="preserve"> Support Manager d’</w:t>
      </w:r>
      <w:proofErr w:type="spellStart"/>
      <w:r w:rsidR="004D16E6">
        <w:rPr>
          <w:rFonts w:ascii="Georgia" w:eastAsia="Calibri" w:hAnsi="Georgia" w:cs="Times New Roman"/>
          <w:color w:val="585756"/>
          <w:kern w:val="0"/>
          <w:sz w:val="21"/>
          <w:szCs w:val="22"/>
          <w:lang w:val="fr-BE"/>
        </w:rPr>
        <w:t>Enabel</w:t>
      </w:r>
      <w:proofErr w:type="spellEnd"/>
      <w:r w:rsidR="004D16E6">
        <w:rPr>
          <w:rFonts w:ascii="Georgia" w:eastAsia="Calibri" w:hAnsi="Georgia" w:cs="Times New Roman"/>
          <w:color w:val="585756"/>
          <w:kern w:val="0"/>
          <w:sz w:val="21"/>
          <w:szCs w:val="22"/>
          <w:lang w:val="fr-BE"/>
        </w:rPr>
        <w:t xml:space="preserve"> en RDC-RCA</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150246278"/>
      <w:r>
        <w:t>Cadre institutionnel d</w:t>
      </w:r>
      <w:r w:rsidR="00425E03">
        <w:t>’</w:t>
      </w:r>
      <w:proofErr w:type="spellStart"/>
      <w:r w:rsidR="00425E03">
        <w:t>Enabel</w:t>
      </w:r>
      <w:bookmarkEnd w:id="8"/>
      <w:bookmarkEnd w:id="9"/>
      <w:bookmarkEnd w:id="10"/>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3EDCBCF" w14:textId="01E762F5" w:rsidR="0067285B" w:rsidRPr="004D16E6" w:rsidRDefault="0067285B" w:rsidP="0067285B">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1158B4EE" w14:textId="77777777" w:rsidR="0017446A" w:rsidRPr="00211A79" w:rsidRDefault="0017446A" w:rsidP="00C72B94">
      <w:pPr>
        <w:pStyle w:val="BTCbulletsCTB"/>
        <w:numPr>
          <w:ilvl w:val="0"/>
          <w:numId w:val="4"/>
        </w:numPr>
        <w:jc w:val="both"/>
        <w:rPr>
          <w:rFonts w:ascii="Georgia" w:eastAsia="Calibri" w:hAnsi="Georgia"/>
          <w:color w:val="585756"/>
          <w:sz w:val="21"/>
          <w:szCs w:val="21"/>
          <w:lang w:val="fr-BE" w:eastAsia="en-US"/>
        </w:rPr>
      </w:pPr>
      <w:proofErr w:type="gramStart"/>
      <w:r w:rsidRPr="507056D1">
        <w:rPr>
          <w:rFonts w:ascii="Georgia" w:eastAsia="Calibri" w:hAnsi="Georgia"/>
          <w:color w:val="585756"/>
          <w:sz w:val="21"/>
          <w:szCs w:val="21"/>
          <w:lang w:val="fr-BE" w:eastAsia="en-US"/>
        </w:rPr>
        <w:t>le</w:t>
      </w:r>
      <w:proofErr w:type="gramEnd"/>
      <w:r w:rsidRPr="507056D1">
        <w:rPr>
          <w:rFonts w:ascii="Georgia" w:eastAsia="Calibri" w:hAnsi="Georgia"/>
          <w:color w:val="585756"/>
          <w:sz w:val="21"/>
          <w:szCs w:val="21"/>
          <w:lang w:val="fr-BE" w:eastAsia="en-US"/>
        </w:rPr>
        <w:t xml:space="preserve"> premier contrat de gestion entre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pour le compte de l’Etat belge.</w:t>
      </w:r>
    </w:p>
    <w:p w14:paraId="232A5505" w14:textId="53BCD839" w:rsidR="005C33F3" w:rsidRPr="004D16E6" w:rsidRDefault="199EC538" w:rsidP="004D16E6">
      <w:pPr>
        <w:pStyle w:val="BTCbulletsCTB"/>
        <w:numPr>
          <w:ilvl w:val="0"/>
          <w:numId w:val="4"/>
        </w:numPr>
        <w:jc w:val="both"/>
        <w:rPr>
          <w:rFonts w:ascii="Georgia" w:eastAsia="Georgia" w:hAnsi="Georgia" w:cs="Georgia"/>
          <w:color w:val="585756"/>
          <w:sz w:val="21"/>
          <w:szCs w:val="21"/>
          <w:lang w:val="fr-BE" w:eastAsia="en-US"/>
        </w:rPr>
      </w:pPr>
      <w:proofErr w:type="gramStart"/>
      <w:r w:rsidRPr="507056D1">
        <w:rPr>
          <w:rFonts w:ascii="Georgia" w:eastAsia="Calibri" w:hAnsi="Georgia"/>
          <w:color w:val="585756"/>
          <w:sz w:val="21"/>
          <w:szCs w:val="21"/>
          <w:lang w:val="fr-BE" w:eastAsia="en-US"/>
        </w:rPr>
        <w:t>le</w:t>
      </w:r>
      <w:proofErr w:type="gramEnd"/>
      <w:r w:rsidRPr="507056D1">
        <w:rPr>
          <w:rFonts w:ascii="Georgia" w:eastAsia="Calibri" w:hAnsi="Georgia"/>
          <w:color w:val="585756"/>
          <w:sz w:val="21"/>
          <w:szCs w:val="21"/>
          <w:lang w:val="fr-BE" w:eastAsia="en-US"/>
        </w:rPr>
        <w:t xml:space="preserve"> Code éthique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de janvier 2019, ainsi que 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l’exploitation et les abus sexuels – juin 2019  et 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la maîtrise des risques de fraude et de corruption – juin 2019</w:t>
      </w:r>
      <w:r w:rsidR="004D16E6">
        <w:rPr>
          <w:rFonts w:ascii="Georgia" w:eastAsia="Calibri" w:hAnsi="Georgia"/>
          <w:color w:val="585756"/>
          <w:sz w:val="21"/>
          <w:szCs w:val="21"/>
          <w:lang w:val="fr-BE" w:eastAsia="en-US"/>
        </w:rPr>
        <w:t>.</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50246279"/>
      <w:r>
        <w:t>Règles régissant le marché</w:t>
      </w:r>
      <w:bookmarkEnd w:id="11"/>
      <w:bookmarkEnd w:id="12"/>
      <w:bookmarkEnd w:id="13"/>
      <w:bookmarkEnd w:id="14"/>
      <w:bookmarkEnd w:id="15"/>
      <w:bookmarkEnd w:id="16"/>
      <w:bookmarkEnd w:id="17"/>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 xml:space="preserve">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 xml:space="preserve">La Politique de </w:t>
      </w:r>
      <w:proofErr w:type="spellStart"/>
      <w:r>
        <w:t>Enabel</w:t>
      </w:r>
      <w:proofErr w:type="spellEnd"/>
      <w:r>
        <w:t xml:space="preserve"> concernant la maîtrise des risques de fraude et de corruption – juin 2019 ;</w:t>
      </w:r>
    </w:p>
    <w:p w14:paraId="111F19DE" w14:textId="7079ABC8" w:rsidR="5E2A78AC" w:rsidRDefault="5E2A78AC" w:rsidP="507056D1">
      <w:pPr>
        <w:pStyle w:val="Paragraphedeliste"/>
        <w:numPr>
          <w:ilvl w:val="0"/>
          <w:numId w:val="4"/>
        </w:numPr>
        <w:rPr>
          <w:rFonts w:eastAsia="Georgia" w:cs="Georgia"/>
          <w:szCs w:val="21"/>
        </w:rPr>
      </w:pPr>
      <w:r>
        <w:t xml:space="preserve">&lt;&lt; [la législation locale applicable relative </w:t>
      </w:r>
      <w:proofErr w:type="gramStart"/>
      <w:r>
        <w:t xml:space="preserve">à </w:t>
      </w:r>
      <w:r w:rsidR="004D16E6">
        <w:t>le</w:t>
      </w:r>
      <w:proofErr w:type="gramEnd"/>
      <w:r w:rsidR="004D16E6">
        <w:t xml:space="preserve"> harcèlement</w:t>
      </w:r>
      <w:r>
        <w:t xml:space="preserve"> sexuel au travail’ ou similaire]</w:t>
      </w:r>
    </w:p>
    <w:p w14:paraId="1BA98000" w14:textId="520B37F8"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xml:space="preserve">, ou </w:t>
      </w:r>
      <w:proofErr w:type="gramStart"/>
      <w:r>
        <w:t>https://www.enabel.be/fr/content/lethique-enabel .</w:t>
      </w:r>
      <w:proofErr w:type="gramEnd"/>
    </w:p>
    <w:p w14:paraId="482711DB" w14:textId="108B99AD"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DE4DED8" w14:textId="6B4E81D8"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3DD82C29" w:rsidR="002A1F15" w:rsidRPr="004D16E6" w:rsidRDefault="002A1F15" w:rsidP="004D16E6">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5">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50246280"/>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8E994F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4D16E6" w:rsidRPr="00211A79">
        <w:rPr>
          <w:rFonts w:ascii="Georgia" w:eastAsia="Calibri" w:hAnsi="Georgia"/>
          <w:bCs w:val="0"/>
          <w:color w:val="585756"/>
          <w:sz w:val="21"/>
          <w:szCs w:val="22"/>
          <w:u w:val="single"/>
          <w:lang w:val="fr-BE" w:eastAsia="en-US"/>
        </w:rPr>
        <w:t>l’adjudicateur</w:t>
      </w:r>
      <w:r w:rsidR="004D16E6"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en</w:t>
      </w:r>
      <w:r w:rsidR="004D16E6">
        <w:rPr>
          <w:rFonts w:ascii="Georgia" w:eastAsia="Calibri" w:hAnsi="Georgia"/>
          <w:bCs w:val="0"/>
          <w:color w:val="585756"/>
          <w:sz w:val="21"/>
          <w:szCs w:val="22"/>
          <w:lang w:val="fr-BE" w:eastAsia="en-US"/>
        </w:rPr>
        <w:t xml:space="preserve"> RD Congo</w:t>
      </w:r>
      <w:r w:rsidR="004D16E6" w:rsidRPr="00602197">
        <w:rPr>
          <w:rFonts w:ascii="Georgia" w:eastAsia="Calibri" w:hAnsi="Georgia"/>
          <w:bCs w:val="0"/>
          <w:color w:val="585756"/>
          <w:sz w:val="21"/>
          <w:szCs w:val="22"/>
          <w:shd w:val="clear" w:color="auto" w:fill="D0CECE"/>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2B50D8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A7CA1" w:rsidRPr="00211A79">
        <w:rPr>
          <w:rFonts w:ascii="Georgia" w:eastAsia="Calibri" w:hAnsi="Georgia"/>
          <w:bCs w:val="0"/>
          <w:color w:val="585756"/>
          <w:sz w:val="21"/>
          <w:szCs w:val="22"/>
          <w:lang w:val="fr-BE" w:eastAsia="en-US"/>
        </w:rPr>
        <w:t>soumissionnaire ;</w:t>
      </w:r>
    </w:p>
    <w:p w14:paraId="33E92436" w14:textId="326BB0D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EA7CA1" w:rsidRPr="00211A79">
        <w:rPr>
          <w:rFonts w:ascii="Georgia" w:eastAsia="Calibri" w:hAnsi="Georgia"/>
          <w:bCs w:val="0"/>
          <w:color w:val="585756"/>
          <w:sz w:val="21"/>
          <w:szCs w:val="22"/>
          <w:u w:val="single"/>
          <w:lang w:val="fr-BE" w:eastAsia="en-US"/>
        </w:rPr>
        <w:t>soumissionnaire ;</w:t>
      </w:r>
    </w:p>
    <w:p w14:paraId="121F0B74" w14:textId="21ED181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A7CA1" w:rsidRPr="00211A79">
        <w:rPr>
          <w:rFonts w:ascii="Georgia" w:eastAsia="Calibri" w:hAnsi="Georgia"/>
          <w:bCs w:val="0"/>
          <w:color w:val="585756"/>
          <w:sz w:val="21"/>
          <w:szCs w:val="22"/>
          <w:lang w:val="fr-BE" w:eastAsia="en-US"/>
        </w:rPr>
        <w:t>prix ;</w:t>
      </w:r>
    </w:p>
    <w:p w14:paraId="4C0720D4" w14:textId="26C653D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EA7CA1" w:rsidRPr="00211A79">
        <w:rPr>
          <w:rFonts w:ascii="Georgia" w:eastAsia="Calibri" w:hAnsi="Georgia"/>
          <w:bCs w:val="0"/>
          <w:color w:val="585756"/>
          <w:sz w:val="21"/>
          <w:szCs w:val="22"/>
          <w:u w:val="single"/>
          <w:lang w:val="fr-BE" w:eastAsia="en-US"/>
        </w:rPr>
        <w:t>RGE</w:t>
      </w:r>
      <w:r w:rsidR="00EA7CA1"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008E7734" w:rsidR="003775C7" w:rsidRDefault="00EA7CA1"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5E18967D" w14:textId="77777777"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40AF5D6E" w:rsidR="00633898" w:rsidRPr="00211A79" w:rsidRDefault="00633898" w:rsidP="008B1DD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50246281"/>
      <w:r>
        <w:t>Confidentialité</w:t>
      </w:r>
      <w:bookmarkEnd w:id="23"/>
      <w:bookmarkEnd w:id="24"/>
      <w:bookmarkEnd w:id="25"/>
      <w:bookmarkEnd w:id="26"/>
      <w:bookmarkEnd w:id="27"/>
    </w:p>
    <w:p w14:paraId="08D76B2C" w14:textId="77777777" w:rsidR="00B13029" w:rsidRPr="00D14EA3" w:rsidRDefault="00B13029" w:rsidP="00B13029">
      <w:pPr>
        <w:pStyle w:val="Titre3"/>
        <w:rPr>
          <w:lang w:val="fr-FR"/>
        </w:rPr>
      </w:pPr>
      <w:bookmarkStart w:id="28" w:name="_Toc150246282"/>
      <w:r w:rsidRPr="71EBF40D">
        <w:rPr>
          <w:lang w:val="fr-FR"/>
        </w:rPr>
        <w:t>Traitement des données à caractère personnel</w:t>
      </w:r>
      <w:bookmarkEnd w:id="28"/>
    </w:p>
    <w:p w14:paraId="4B372990" w14:textId="77777777" w:rsidR="00B13029" w:rsidRPr="001478F6" w:rsidRDefault="00B13029" w:rsidP="008B1DD6">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8B1DD6">
      <w:pPr>
        <w:pStyle w:val="Titre3"/>
        <w:jc w:val="both"/>
      </w:pPr>
      <w:bookmarkStart w:id="29" w:name="_Toc150246283"/>
      <w:proofErr w:type="spellStart"/>
      <w:r>
        <w:t>Confidentialité</w:t>
      </w:r>
      <w:bookmarkEnd w:id="29"/>
      <w:proofErr w:type="spellEnd"/>
    </w:p>
    <w:p w14:paraId="6F3B0AD5" w14:textId="77777777" w:rsidR="00B13029" w:rsidRPr="001478F6" w:rsidRDefault="00B13029" w:rsidP="008B1DD6">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8B1DD6">
      <w:pPr>
        <w:jc w:val="both"/>
        <w:rPr>
          <w:lang w:val="fr-FR"/>
        </w:rPr>
      </w:pPr>
      <w:r w:rsidRPr="001478F6">
        <w:rPr>
          <w:lang w:val="fr-FR"/>
        </w:rPr>
        <w:lastRenderedPageBreak/>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8B1DD6">
      <w:pPr>
        <w:jc w:val="both"/>
        <w:rPr>
          <w:lang w:val="fr-FR"/>
        </w:rPr>
      </w:pPr>
      <w:r w:rsidRPr="001478F6">
        <w:rPr>
          <w:lang w:val="fr-FR"/>
        </w:rPr>
        <w:t>Voir aussi : https://www.enabel.be/fr/content/declaration-de-confidentialite-denabel</w:t>
      </w:r>
    </w:p>
    <w:p w14:paraId="673DE741" w14:textId="0E5853E6" w:rsidR="002B7D5A" w:rsidRPr="00413425" w:rsidRDefault="00633898" w:rsidP="008B1DD6">
      <w:pPr>
        <w:pStyle w:val="Titre2"/>
        <w:jc w:val="both"/>
      </w:pPr>
      <w:bookmarkStart w:id="30" w:name="_Toc150246284"/>
      <w:r>
        <w:t>Obligations déontologiques</w:t>
      </w:r>
      <w:bookmarkEnd w:id="30"/>
    </w:p>
    <w:p w14:paraId="50F8434C" w14:textId="00E76500" w:rsidR="00633898" w:rsidRPr="00211A79" w:rsidRDefault="3D61FCD5" w:rsidP="008B1DD6">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1"/>
          <w:lang w:val="fr-BE"/>
        </w:rPr>
        <w:t>Enabel</w:t>
      </w:r>
      <w:proofErr w:type="spellEnd"/>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8B1DD6">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2A02878" w:rsidR="00633898" w:rsidRPr="00211A79" w:rsidRDefault="7D24EA3F" w:rsidP="008B1DD6">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1.7.3. Conformément à la Politique concernant l’exploitation et les abus sexuels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l’adjudicataire et son personne</w:t>
      </w:r>
      <w:r w:rsidR="008B1DD6">
        <w:rPr>
          <w:rFonts w:ascii="Georgia" w:eastAsia="Calibri" w:hAnsi="Georgia" w:cs="Times New Roman"/>
          <w:color w:val="585756"/>
          <w:sz w:val="21"/>
          <w:szCs w:val="21"/>
          <w:lang w:val="fr-BE"/>
        </w:rPr>
        <w:t>l</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8B1DD6">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8B1DD6">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8B1DD6">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1.7.7. Conformément à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l’exploitation et les abus sexuels et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la maîtrise des risques de fraude et de corruption, les plaintes liées à des questions d’intégrité (fraude, corruption, exploitation ou abus sexuel </w:t>
      </w:r>
      <w:proofErr w:type="gramStart"/>
      <w:r w:rsidRPr="507056D1">
        <w:rPr>
          <w:rFonts w:ascii="Georgia" w:eastAsia="Calibri" w:hAnsi="Georgia" w:cs="Times New Roman"/>
          <w:color w:val="585756"/>
          <w:sz w:val="21"/>
          <w:szCs w:val="21"/>
          <w:lang w:val="fr-BE"/>
        </w:rPr>
        <w:t>… )</w:t>
      </w:r>
      <w:proofErr w:type="gramEnd"/>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31" w:name="_Ref228951536"/>
      <w:bookmarkStart w:id="32" w:name="_Toc257039818"/>
      <w:bookmarkStart w:id="33" w:name="_Toc366161151"/>
      <w:bookmarkStart w:id="34" w:name="_Toc150246285"/>
      <w:r>
        <w:lastRenderedPageBreak/>
        <w:t>Droit applicable et tribunaux compétents</w:t>
      </w:r>
      <w:bookmarkEnd w:id="31"/>
      <w:bookmarkEnd w:id="32"/>
      <w:bookmarkEnd w:id="33"/>
      <w:bookmarkEnd w:id="34"/>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082258D4"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5" w:name="_Toc364253066"/>
      <w:r>
        <w:lastRenderedPageBreak/>
        <w:t xml:space="preserve"> </w:t>
      </w:r>
      <w:bookmarkStart w:id="36" w:name="_Toc150246286"/>
      <w:proofErr w:type="gramStart"/>
      <w:r>
        <w:t>et</w:t>
      </w:r>
      <w:proofErr w:type="gramEnd"/>
      <w:r>
        <w:t xml:space="preserve"> portée</w:t>
      </w:r>
      <w:bookmarkEnd w:id="36"/>
      <w:r>
        <w:t xml:space="preserve"> </w:t>
      </w:r>
      <w:bookmarkStart w:id="37" w:name="_Toc257380476"/>
      <w:bookmarkStart w:id="38" w:name="_Toc260134193"/>
      <w:bookmarkStart w:id="39" w:name="_Toc364253067"/>
      <w:bookmarkEnd w:id="35"/>
    </w:p>
    <w:p w14:paraId="3E433142" w14:textId="698AF745" w:rsidR="003C0B14" w:rsidRPr="00267BB5" w:rsidRDefault="00FB4DBA" w:rsidP="00267BB5">
      <w:pPr>
        <w:pStyle w:val="Titre1"/>
        <w:numPr>
          <w:ilvl w:val="0"/>
          <w:numId w:val="5"/>
        </w:numPr>
      </w:pPr>
      <w:bookmarkStart w:id="40" w:name="_Toc150246287"/>
      <w:bookmarkEnd w:id="37"/>
      <w:bookmarkEnd w:id="38"/>
      <w:bookmarkEnd w:id="39"/>
      <w:r>
        <w:t>Objet et portée du marché</w:t>
      </w:r>
      <w:bookmarkEnd w:id="40"/>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41" w:name="_Toc150246288"/>
      <w:r>
        <w:t>Nature du marché</w:t>
      </w:r>
      <w:bookmarkEnd w:id="41"/>
    </w:p>
    <w:p w14:paraId="0128A8C0" w14:textId="753D3F75" w:rsidR="002D1EFB" w:rsidRPr="008B1DD6" w:rsidRDefault="00FB4DBA" w:rsidP="008B1DD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2" w:name="_Toc257380471"/>
      <w:bookmarkStart w:id="43" w:name="_Toc260134188"/>
      <w:bookmarkStart w:id="44" w:name="_Toc364253068"/>
      <w:bookmarkStart w:id="45" w:name="_Toc150246289"/>
      <w:r>
        <w:t>Objet du marché</w:t>
      </w:r>
      <w:bookmarkEnd w:id="42"/>
      <w:bookmarkEnd w:id="43"/>
      <w:bookmarkEnd w:id="44"/>
      <w:bookmarkEnd w:id="45"/>
    </w:p>
    <w:p w14:paraId="5C0B67C0" w14:textId="747FB7F1" w:rsidR="00FB4DBA" w:rsidRPr="00EA7CA1"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0E1557">
        <w:rPr>
          <w:rFonts w:ascii="Georgia" w:eastAsia="Calibri" w:hAnsi="Georgia" w:cs="Times New Roman"/>
          <w:color w:val="585756"/>
          <w:kern w:val="0"/>
          <w:sz w:val="21"/>
          <w:szCs w:val="22"/>
          <w:lang w:val="fr-BE"/>
        </w:rPr>
        <w:t xml:space="preserve">en </w:t>
      </w:r>
      <w:r w:rsidR="000E1557" w:rsidRPr="000E1557">
        <w:rPr>
          <w:rFonts w:ascii="Georgia" w:eastAsia="Calibri" w:hAnsi="Georgia" w:cs="Times New Roman"/>
          <w:color w:val="585756"/>
          <w:kern w:val="0"/>
          <w:sz w:val="21"/>
          <w:szCs w:val="22"/>
          <w:lang w:val="fr-BE"/>
        </w:rPr>
        <w:t xml:space="preserve">la mobilisation d’expertise en soutien à l’écosystème entrepreneurial en RDC </w:t>
      </w:r>
      <w:r w:rsidRPr="00211A79">
        <w:rPr>
          <w:rFonts w:ascii="Georgia" w:eastAsia="Calibri" w:hAnsi="Georgia" w:cs="Times New Roman"/>
          <w:color w:val="585756"/>
          <w:kern w:val="0"/>
          <w:sz w:val="21"/>
          <w:szCs w:val="22"/>
          <w:lang w:val="fr-BE"/>
        </w:rPr>
        <w:t>conformément aux conditions du présent CSC.</w:t>
      </w:r>
    </w:p>
    <w:p w14:paraId="3C980BA3" w14:textId="7E2D2BBB" w:rsidR="00FB4DBA" w:rsidRDefault="00FB4DBA" w:rsidP="00FB4DBA">
      <w:pPr>
        <w:pStyle w:val="Titre2"/>
        <w:keepLines w:val="0"/>
        <w:widowControl w:val="0"/>
        <w:tabs>
          <w:tab w:val="num" w:pos="576"/>
        </w:tabs>
        <w:suppressAutoHyphens/>
        <w:spacing w:after="240"/>
        <w:ind w:left="578" w:hanging="578"/>
      </w:pPr>
      <w:bookmarkStart w:id="46" w:name="_Toc150246290"/>
      <w:r>
        <w:t>Lots</w:t>
      </w:r>
      <w:r>
        <w:rPr>
          <w:rStyle w:val="Appelnotedebasdep"/>
        </w:rPr>
        <w:footnoteReference w:id="10"/>
      </w:r>
      <w:bookmarkEnd w:id="46"/>
    </w:p>
    <w:p w14:paraId="6883D5DB" w14:textId="1143CEE1" w:rsidR="00FB4DBA" w:rsidRPr="008B1DD6" w:rsidRDefault="00FB4DBA" w:rsidP="000E155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0E1557">
        <w:rPr>
          <w:rFonts w:ascii="Georgia" w:eastAsia="Calibri" w:hAnsi="Georgia" w:cs="Times New Roman"/>
          <w:color w:val="585756"/>
          <w:kern w:val="0"/>
          <w:sz w:val="21"/>
          <w:szCs w:val="22"/>
          <w:lang w:val="fr-BE"/>
        </w:rPr>
        <w:t>n’est pas divisé en lots. Le non allotissement est justifié par la nécessité de maintenir une cohérence dans l’approche et l’appui aux différentes interventions du portefeuilles</w:t>
      </w:r>
      <w:r w:rsidRPr="00211A79">
        <w:rPr>
          <w:rFonts w:ascii="Georgia" w:eastAsia="Calibri" w:hAnsi="Georgia" w:cs="Times New Roman"/>
          <w:color w:val="585756"/>
          <w:kern w:val="0"/>
          <w:sz w:val="21"/>
          <w:szCs w:val="22"/>
          <w:lang w:val="fr-BE"/>
        </w:rPr>
        <w:t xml:space="preserve">. </w:t>
      </w:r>
    </w:p>
    <w:p w14:paraId="24B0129E" w14:textId="79E45DDC" w:rsidR="00FB4DBA" w:rsidRDefault="00FB4DBA" w:rsidP="00FB4DBA">
      <w:pPr>
        <w:pStyle w:val="Titre2"/>
        <w:keepLines w:val="0"/>
        <w:widowControl w:val="0"/>
        <w:tabs>
          <w:tab w:val="num" w:pos="576"/>
        </w:tabs>
        <w:suppressAutoHyphens/>
        <w:spacing w:after="240"/>
        <w:ind w:left="578" w:hanging="578"/>
      </w:pPr>
      <w:bookmarkStart w:id="47" w:name="_Toc150246291"/>
      <w:r>
        <w:t>Postes</w:t>
      </w:r>
      <w:bookmarkEnd w:id="47"/>
    </w:p>
    <w:p w14:paraId="1C23EBE3" w14:textId="7164487B"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lot de ce marché est composé des postes suivants :(voir également Partie 3 et/ou inventaire)</w:t>
      </w:r>
      <w:r w:rsidR="008B1DD6">
        <w:rPr>
          <w:rFonts w:ascii="Georgia" w:eastAsia="Calibri" w:hAnsi="Georgia" w:cs="Times New Roman"/>
          <w:color w:val="585756"/>
          <w:kern w:val="0"/>
          <w:sz w:val="21"/>
          <w:szCs w:val="22"/>
          <w:lang w:val="fr-BE"/>
        </w:rPr>
        <w:t> :</w:t>
      </w:r>
    </w:p>
    <w:p w14:paraId="63C476FE" w14:textId="159B3DE4" w:rsidR="008B1DD6" w:rsidRDefault="008B1DD6" w:rsidP="008B1DD6">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Prix HJ de la prestation sur le terrain</w:t>
      </w:r>
    </w:p>
    <w:p w14:paraId="09888446" w14:textId="38DBAA9C" w:rsidR="008B1DD6" w:rsidRDefault="008B1DD6" w:rsidP="008B1DD6">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Prix HJ à domicile </w:t>
      </w:r>
    </w:p>
    <w:p w14:paraId="7D47D19F" w14:textId="7E866423" w:rsidR="008B1DD6" w:rsidRPr="008B1DD6" w:rsidRDefault="00EA7CA1" w:rsidP="008B1DD6">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OPTION : </w:t>
      </w:r>
      <w:r w:rsidR="008B1DD6">
        <w:rPr>
          <w:rFonts w:ascii="Georgia" w:eastAsia="Calibri" w:hAnsi="Georgia" w:cs="Times New Roman"/>
          <w:color w:val="585756"/>
          <w:kern w:val="0"/>
          <w:sz w:val="21"/>
          <w:szCs w:val="22"/>
          <w:lang w:val="fr-BE"/>
        </w:rPr>
        <w:t>PU utilisation de la boîte à outils.</w:t>
      </w:r>
    </w:p>
    <w:p w14:paraId="5EF14B99" w14:textId="62C07F47" w:rsidR="00FB4DBA" w:rsidRPr="00EA7CA1"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w:t>
      </w:r>
      <w:r w:rsidR="008B1DD6">
        <w:rPr>
          <w:rFonts w:ascii="Georgia" w:eastAsia="Calibri" w:hAnsi="Georgia" w:cs="Times New Roman"/>
          <w:color w:val="585756"/>
          <w:kern w:val="0"/>
          <w:sz w:val="21"/>
          <w:szCs w:val="22"/>
          <w:lang w:val="fr-BE"/>
        </w:rPr>
        <w:t xml:space="preserve">é </w:t>
      </w:r>
      <w:r w:rsidRPr="00211A79">
        <w:rPr>
          <w:rFonts w:ascii="Georgia" w:eastAsia="Calibri" w:hAnsi="Georgia" w:cs="Times New Roman"/>
          <w:color w:val="585756"/>
          <w:kern w:val="0"/>
          <w:sz w:val="21"/>
          <w:szCs w:val="22"/>
          <w:lang w:val="fr-BE"/>
        </w:rPr>
        <w:t>un seul lot. Il n’est pas possible de soumissionner pour 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8" w:name="_Toc364253069"/>
      <w:bookmarkStart w:id="49" w:name="_Toc150246292"/>
      <w:r>
        <w:t>Durée du marché</w:t>
      </w:r>
      <w:bookmarkEnd w:id="48"/>
      <w:r>
        <w:rPr>
          <w:rStyle w:val="Appelnotedebasdep"/>
        </w:rPr>
        <w:footnoteReference w:id="11"/>
      </w:r>
      <w:bookmarkEnd w:id="49"/>
    </w:p>
    <w:p w14:paraId="0F49BC65" w14:textId="163D19A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pour chacun des lots à la</w:t>
      </w:r>
      <w:r w:rsidR="008B1DD6">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notification de l’attribution</w:t>
      </w:r>
      <w:r w:rsidR="008B1DD6">
        <w:rPr>
          <w:rFonts w:ascii="Georgia" w:eastAsia="Calibri" w:hAnsi="Georgia" w:cs="Times New Roman"/>
          <w:color w:val="585756"/>
          <w:kern w:val="0"/>
          <w:sz w:val="21"/>
          <w:szCs w:val="22"/>
          <w:lang w:val="fr-BE"/>
        </w:rPr>
        <w:t xml:space="preserve"> et </w:t>
      </w:r>
      <w:r w:rsidRPr="00211A79">
        <w:rPr>
          <w:rFonts w:ascii="Georgia" w:eastAsia="Calibri" w:hAnsi="Georgia" w:cs="Times New Roman"/>
          <w:color w:val="585756"/>
          <w:kern w:val="0"/>
          <w:sz w:val="21"/>
          <w:szCs w:val="22"/>
          <w:lang w:val="fr-BE"/>
        </w:rPr>
        <w:t xml:space="preserve">a une durée de </w:t>
      </w:r>
      <w:r w:rsidR="008B1DD6">
        <w:rPr>
          <w:rFonts w:ascii="Georgia" w:eastAsia="Calibri" w:hAnsi="Georgia" w:cs="Times New Roman"/>
          <w:color w:val="585756"/>
          <w:kern w:val="0"/>
          <w:sz w:val="21"/>
          <w:szCs w:val="22"/>
          <w:lang w:val="fr-BE"/>
        </w:rPr>
        <w:t>quatre ans.</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0" w:name="_Toc257039826"/>
      <w:bookmarkStart w:id="51" w:name="_Toc366161158"/>
      <w:bookmarkStart w:id="52" w:name="_Toc150246293"/>
      <w:r>
        <w:t>Variantes ♣</w:t>
      </w:r>
      <w:bookmarkEnd w:id="52"/>
      <w:r>
        <w:t xml:space="preserve"> </w:t>
      </w:r>
      <w:bookmarkEnd w:id="50"/>
      <w:bookmarkEnd w:id="51"/>
    </w:p>
    <w:p w14:paraId="7BEFBB72" w14:textId="4F0933F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Il n’y a pas de possibilité d’introduire des variantes exigées et autorisées.</w:t>
      </w:r>
    </w:p>
    <w:p w14:paraId="08433675" w14:textId="4439817D" w:rsidR="00FB4DBA" w:rsidRDefault="00FB4DBA" w:rsidP="00FB4DBA">
      <w:pPr>
        <w:pStyle w:val="Titre2"/>
        <w:keepLines w:val="0"/>
        <w:widowControl w:val="0"/>
        <w:tabs>
          <w:tab w:val="num" w:pos="576"/>
        </w:tabs>
        <w:suppressAutoHyphens/>
        <w:spacing w:after="240"/>
        <w:ind w:left="578" w:hanging="578"/>
      </w:pPr>
      <w:bookmarkStart w:id="53" w:name="_Ref264270773"/>
      <w:bookmarkStart w:id="54" w:name="_Toc364253071"/>
      <w:bookmarkStart w:id="55" w:name="_Toc150246294"/>
      <w:r>
        <w:t>Option</w:t>
      </w:r>
      <w:bookmarkEnd w:id="53"/>
      <w:bookmarkEnd w:id="54"/>
      <w:bookmarkEnd w:id="55"/>
    </w:p>
    <w:p w14:paraId="70651AFF" w14:textId="59B279FE" w:rsidR="00FB4DBA" w:rsidRDefault="00EA7CA1" w:rsidP="008B1DD6">
      <w:r>
        <w:t>Le soumissionnaire peut (option libre) remettre un prix pour :</w:t>
      </w:r>
    </w:p>
    <w:p w14:paraId="14F37459" w14:textId="107FF5AB" w:rsidR="00DB5165" w:rsidRPr="00DB5165" w:rsidRDefault="00DB5165" w:rsidP="00DB5165">
      <w:pPr>
        <w:numPr>
          <w:ilvl w:val="0"/>
          <w:numId w:val="59"/>
        </w:numPr>
        <w:rPr>
          <w:bCs/>
        </w:rPr>
      </w:pPr>
      <w:r w:rsidRPr="00DB5165">
        <w:rPr>
          <w:bCs/>
        </w:rPr>
        <w:t xml:space="preserve">Possibilité d’activer une option- droit de tirage massifiant le volume - pour donner accès à d’autres bénéficiaires - additionnels aux cibles des résultats </w:t>
      </w:r>
      <w:proofErr w:type="gramStart"/>
      <w:r w:rsidRPr="00DB5165">
        <w:rPr>
          <w:bCs/>
        </w:rPr>
        <w:t>1 ,</w:t>
      </w:r>
      <w:proofErr w:type="gramEnd"/>
      <w:r w:rsidRPr="00DB5165">
        <w:rPr>
          <w:bCs/>
        </w:rPr>
        <w:t xml:space="preserve"> 2 et 3 à une boîte à outils digitale interactive à l’échelle de la RDC et adaptée au contexte </w:t>
      </w:r>
      <w:r w:rsidRPr="00DB5165">
        <w:rPr>
          <w:bCs/>
        </w:rPr>
        <w:lastRenderedPageBreak/>
        <w:t xml:space="preserve">(WhatsApp par exemple). Cet outil visera mettre en connexion les usagers, à mettre à disposition et à vulgariser une boite à outil digitale : comprenant un ensemble de parcours, de méthodes et contenus pratiques dans le cadre d’un dispositif digital en réseau agile.  Cet outil visera la capitalisation des contenus, outils et bonnes pratiques, soft </w:t>
      </w:r>
      <w:proofErr w:type="spellStart"/>
      <w:r w:rsidRPr="00DB5165">
        <w:rPr>
          <w:bCs/>
        </w:rPr>
        <w:t>skills</w:t>
      </w:r>
      <w:proofErr w:type="spellEnd"/>
      <w:r w:rsidRPr="00DB5165">
        <w:rPr>
          <w:bCs/>
        </w:rPr>
        <w:t xml:space="preserve"> pour les coaches, coaches référents, incubateurs et accélérateurs et l’expertise d’appui et d’accompagnement d’</w:t>
      </w:r>
      <w:proofErr w:type="spellStart"/>
      <w:r w:rsidRPr="00DB5165">
        <w:rPr>
          <w:bCs/>
        </w:rPr>
        <w:t>Enabel</w:t>
      </w:r>
      <w:proofErr w:type="spellEnd"/>
      <w:r w:rsidRPr="00DB5165">
        <w:rPr>
          <w:bCs/>
        </w:rPr>
        <w:t xml:space="preserve">. Cette approche comprendra des ateliers pratiques en ligne avec les entrepreneurs, la massification via le digital de leur accompagnement via du e-learning et de la boite à outils pour une standardisation méthodologique dans toute la RDC. </w:t>
      </w:r>
    </w:p>
    <w:p w14:paraId="230E6196" w14:textId="665EEB55" w:rsidR="00DB5165" w:rsidRPr="00DB5165" w:rsidRDefault="00DB5165" w:rsidP="00DB5165">
      <w:pPr>
        <w:rPr>
          <w:bCs/>
        </w:rPr>
      </w:pPr>
      <w:r w:rsidRPr="00DB5165">
        <w:rPr>
          <w:bCs/>
        </w:rPr>
        <w:t>Un coût unitaire à l’usager sera proposé.</w:t>
      </w:r>
    </w:p>
    <w:p w14:paraId="79C27814" w14:textId="77777777" w:rsidR="00DB5165" w:rsidRPr="00DB5165" w:rsidRDefault="00DB5165" w:rsidP="00DB5165">
      <w:r w:rsidRPr="00DB5165">
        <w:rPr>
          <w:bCs/>
        </w:rPr>
        <w:t xml:space="preserve">L’utilisation   l’outil digital sera autorisée pendant toute la durée du contrat cadre </w:t>
      </w:r>
    </w:p>
    <w:p w14:paraId="06C08E56" w14:textId="74D50F9F" w:rsidR="00DB5165" w:rsidRDefault="00DB5165" w:rsidP="008B1DD6">
      <w:r>
        <w:t>L’évaluation de l’option sera analysée sur base de la pertinence et plus-value dans l’atteinte des résultats. Elles seront ensuite comparées entre elle sur base des mêmes critères que l’offre de base.</w:t>
      </w:r>
    </w:p>
    <w:p w14:paraId="6E76121E" w14:textId="03908780" w:rsidR="00DB5165" w:rsidRDefault="00DB5165" w:rsidP="008B1DD6">
      <w:r>
        <w:t>Les soumissionnaires sont libres de remettre ou non un prix pour l’option étant entendu que si elle est retenue, seuls les offres incluant l’option feront l’objet de l’évaluation sur base des critères d’attribution. </w:t>
      </w:r>
    </w:p>
    <w:p w14:paraId="40CD24F1" w14:textId="77777777" w:rsidR="00DB5165" w:rsidRPr="008B1DD6" w:rsidRDefault="00DB5165" w:rsidP="008B1DD6"/>
    <w:p w14:paraId="71C9901C" w14:textId="77777777" w:rsidR="00FB4DBA" w:rsidRDefault="00FB4DBA" w:rsidP="00FB4DBA">
      <w:pPr>
        <w:pStyle w:val="Titre2"/>
        <w:keepLines w:val="0"/>
        <w:widowControl w:val="0"/>
        <w:tabs>
          <w:tab w:val="num" w:pos="576"/>
        </w:tabs>
        <w:suppressAutoHyphens/>
        <w:spacing w:after="240"/>
        <w:ind w:left="578" w:hanging="578"/>
      </w:pPr>
      <w:bookmarkStart w:id="56" w:name="_Toc364253072"/>
      <w:bookmarkStart w:id="57" w:name="_Toc150246295"/>
      <w:r>
        <w:t>Quantité</w:t>
      </w:r>
      <w:bookmarkEnd w:id="56"/>
      <w:bookmarkEnd w:id="57"/>
    </w:p>
    <w:p w14:paraId="3D82C18D" w14:textId="488D40ED" w:rsidR="00D07797" w:rsidRPr="004F311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détermination des quantités se fera au moyen de bons de commande. Les quantités présumées </w:t>
      </w:r>
      <w:r w:rsidR="004F311F">
        <w:rPr>
          <w:rFonts w:ascii="Georgia" w:eastAsia="Calibri" w:hAnsi="Georgia" w:cs="Times New Roman"/>
          <w:color w:val="585756"/>
          <w:kern w:val="0"/>
          <w:sz w:val="21"/>
          <w:szCs w:val="22"/>
          <w:lang w:val="fr-BE"/>
        </w:rPr>
        <w:t>seront contenues entre 100 et 200 HJ par an avec un maximum en termes de dépenses de 1.2 millions d’euros sur les 4 ans.</w:t>
      </w:r>
    </w:p>
    <w:p w14:paraId="5C48107E" w14:textId="380DF874" w:rsidR="00FB4DBA" w:rsidRDefault="00D07797" w:rsidP="00D07797">
      <w:pPr>
        <w:pStyle w:val="Corpsdetexte"/>
      </w:pPr>
      <w:r w:rsidRPr="537B0DC5">
        <w:rPr>
          <w:rFonts w:ascii="Georgia" w:hAnsi="Georgia"/>
          <w:i/>
          <w:iCs/>
          <w:sz w:val="21"/>
          <w:szCs w:val="21"/>
          <w:highlight w:val="lightGray"/>
        </w:rPr>
        <w:br w:type="page"/>
      </w:r>
    </w:p>
    <w:p w14:paraId="7EF0FD18" w14:textId="42A649D1" w:rsidR="4E45D6D1" w:rsidRDefault="4E45D6D1" w:rsidP="537B0DC5">
      <w:pPr>
        <w:pStyle w:val="Titre1"/>
      </w:pPr>
      <w:bookmarkStart w:id="58" w:name="_Toc150246296"/>
      <w:r>
        <w:lastRenderedPageBreak/>
        <w:t>Procédure</w:t>
      </w:r>
      <w:bookmarkEnd w:id="58"/>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9" w:name="_Toc364253074"/>
      <w:bookmarkStart w:id="60" w:name="_Ref224472424"/>
      <w:bookmarkStart w:id="61" w:name="_Ref224472425"/>
      <w:bookmarkStart w:id="62" w:name="_Toc257380481"/>
      <w:bookmarkStart w:id="63" w:name="_Toc260134198"/>
      <w:bookmarkStart w:id="64" w:name="_Toc150246297"/>
      <w:r>
        <w:t>Mode de passation</w:t>
      </w:r>
      <w:bookmarkEnd w:id="59"/>
      <w:bookmarkEnd w:id="64"/>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65"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6" w:name="_Toc150246298"/>
      <w:r>
        <w:t>Publication</w:t>
      </w:r>
      <w:bookmarkEnd w:id="66"/>
      <w:r>
        <w:t xml:space="preserve"> </w:t>
      </w:r>
      <w:bookmarkEnd w:id="65"/>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7" w:name="_Toc257039833"/>
      <w:bookmarkStart w:id="68" w:name="_Toc150246299"/>
      <w:proofErr w:type="spellStart"/>
      <w:r>
        <w:t>Publicité</w:t>
      </w:r>
      <w:proofErr w:type="spellEnd"/>
      <w:r>
        <w:t xml:space="preserve"> </w:t>
      </w:r>
      <w:proofErr w:type="spellStart"/>
      <w:r>
        <w:t>officielle</w:t>
      </w:r>
      <w:bookmarkEnd w:id="67"/>
      <w:bookmarkEnd w:id="68"/>
      <w:proofErr w:type="spellEnd"/>
    </w:p>
    <w:p w14:paraId="71CD4304" w14:textId="6FB74A3E"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9" w:name="_Toc150246300"/>
      <w:r>
        <w:t xml:space="preserve">Publication </w:t>
      </w:r>
      <w:proofErr w:type="spellStart"/>
      <w:r w:rsidR="0021448A">
        <w:t>Enabel</w:t>
      </w:r>
      <w:bookmarkEnd w:id="69"/>
      <w:proofErr w:type="spellEnd"/>
    </w:p>
    <w:p w14:paraId="34DF2B95" w14:textId="23ADC20A"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w:t>
      </w:r>
      <w:proofErr w:type="spellStart"/>
      <w:r w:rsidR="0021448A">
        <w:rPr>
          <w:rFonts w:ascii="Georgia" w:eastAsia="Calibri" w:hAnsi="Georgia" w:cs="Times New Roman"/>
          <w:color w:val="585756"/>
          <w:kern w:val="0"/>
          <w:sz w:val="21"/>
          <w:szCs w:val="22"/>
          <w:lang w:val="fr-BE"/>
        </w:rPr>
        <w:t>Enabel</w:t>
      </w:r>
      <w:proofErr w:type="spellEnd"/>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00DB5165">
        <w:rPr>
          <w:rFonts w:ascii="Georgia" w:hAnsi="Georgia"/>
          <w:sz w:val="21"/>
          <w:szCs w:val="21"/>
        </w:rPr>
        <w:t xml:space="preserve"> 7/11/2023 au 13/12/2023</w:t>
      </w:r>
      <w:r w:rsidRPr="009804F1">
        <w:rPr>
          <w:rFonts w:ascii="Georgia" w:hAnsi="Georgia"/>
          <w:sz w:val="21"/>
          <w:szCs w:val="21"/>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0" w:name="_Toc364253076"/>
      <w:bookmarkStart w:id="71" w:name="_Toc150246301"/>
      <w:r>
        <w:t>Information</w:t>
      </w:r>
      <w:bookmarkEnd w:id="60"/>
      <w:bookmarkEnd w:id="61"/>
      <w:bookmarkEnd w:id="62"/>
      <w:bookmarkEnd w:id="63"/>
      <w:bookmarkEnd w:id="70"/>
      <w:bookmarkEnd w:id="71"/>
    </w:p>
    <w:p w14:paraId="188AB31E" w14:textId="372A3F6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4F311F">
        <w:rPr>
          <w:rFonts w:ascii="Georgia" w:eastAsia="Calibri" w:hAnsi="Georgia"/>
          <w:color w:val="585756"/>
          <w:sz w:val="21"/>
          <w:szCs w:val="22"/>
        </w:rPr>
        <w:t>la Cellule Marchés Publics d’</w:t>
      </w:r>
      <w:proofErr w:type="spellStart"/>
      <w:r w:rsidR="004F311F">
        <w:rPr>
          <w:rFonts w:ascii="Georgia" w:eastAsia="Calibri" w:hAnsi="Georgia"/>
          <w:color w:val="585756"/>
          <w:sz w:val="21"/>
          <w:szCs w:val="22"/>
        </w:rPr>
        <w:t>Enabel</w:t>
      </w:r>
      <w:proofErr w:type="spellEnd"/>
      <w:r w:rsidR="004F311F">
        <w:rPr>
          <w:rFonts w:ascii="Georgia" w:eastAsia="Calibri" w:hAnsi="Georgia"/>
          <w:color w:val="585756"/>
          <w:sz w:val="21"/>
          <w:szCs w:val="22"/>
        </w:rPr>
        <w:t xml:space="preserve"> en RDC (</w:t>
      </w:r>
      <w:hyperlink r:id="rId16" w:history="1">
        <w:r w:rsidR="004F311F" w:rsidRPr="00332B66">
          <w:rPr>
            <w:rStyle w:val="Lienhypertexte"/>
            <w:rFonts w:ascii="Georgia" w:eastAsia="Calibri" w:hAnsi="Georgia"/>
            <w:sz w:val="21"/>
            <w:szCs w:val="22"/>
          </w:rPr>
          <w:t>procurement.cod@enabel.be</w:t>
        </w:r>
      </w:hyperlink>
      <w:r w:rsidR="004F311F">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0C02A649" w:rsidR="009804F1" w:rsidRPr="00DB5165" w:rsidRDefault="009804F1" w:rsidP="00DB5165">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DB5165">
        <w:rPr>
          <w:rFonts w:ascii="Georgia" w:eastAsia="Calibri" w:hAnsi="Georgia"/>
          <w:color w:val="585756"/>
          <w:sz w:val="21"/>
          <w:szCs w:val="22"/>
        </w:rPr>
        <w:t>01/12/2023</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DB5165">
        <w:rPr>
          <w:rFonts w:ascii="Georgia" w:eastAsia="Calibri" w:hAnsi="Georgia"/>
          <w:color w:val="585756"/>
          <w:sz w:val="21"/>
          <w:szCs w:val="22"/>
        </w:rPr>
        <w:t>l’adresse procurement.cod@enabel.be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DB5165">
        <w:rPr>
          <w:rFonts w:ascii="Georgia" w:eastAsia="Calibri" w:hAnsi="Georgia"/>
          <w:color w:val="585756"/>
          <w:sz w:val="21"/>
          <w:szCs w:val="22"/>
        </w:rPr>
        <w:t>02/12/2023</w:t>
      </w:r>
      <w:r w:rsidRPr="00211A79">
        <w:rPr>
          <w:rFonts w:ascii="Georgia" w:eastAsia="Calibri" w:hAnsi="Georgia"/>
          <w:color w:val="585756"/>
          <w:sz w:val="21"/>
          <w:szCs w:val="22"/>
        </w:rPr>
        <w:t xml:space="preserve"> 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25413B6C"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26779AC0" w:rsidR="009804F1" w:rsidRPr="004F311F" w:rsidRDefault="00000000" w:rsidP="00C72B94">
      <w:pPr>
        <w:pStyle w:val="BTCtextCTB"/>
        <w:numPr>
          <w:ilvl w:val="0"/>
          <w:numId w:val="6"/>
        </w:numPr>
        <w:rPr>
          <w:rFonts w:ascii="Georgia" w:eastAsia="Calibri" w:hAnsi="Georgia"/>
          <w:color w:val="585756"/>
          <w:sz w:val="21"/>
          <w:szCs w:val="22"/>
          <w:lang w:val="fr-FR"/>
        </w:rPr>
      </w:pPr>
      <w:hyperlink r:id="rId17" w:history="1">
        <w:r w:rsidR="004F311F" w:rsidRPr="004F311F">
          <w:rPr>
            <w:rStyle w:val="Lienhypertexte"/>
            <w:rFonts w:ascii="Georgia" w:eastAsia="Calibri" w:hAnsi="Georgia"/>
            <w:sz w:val="21"/>
            <w:szCs w:val="22"/>
            <w:lang w:val="fr-FR"/>
          </w:rPr>
          <w:t>www.enabel.be</w:t>
        </w:r>
      </w:hyperlink>
      <w:r w:rsidR="004F311F" w:rsidRPr="004F311F">
        <w:rPr>
          <w:rFonts w:ascii="Georgia" w:eastAsia="Calibri" w:hAnsi="Georgia"/>
          <w:color w:val="585756"/>
          <w:sz w:val="21"/>
          <w:szCs w:val="22"/>
          <w:lang w:val="fr-FR"/>
        </w:rPr>
        <w:t xml:space="preserve"> (suivre </w:t>
      </w:r>
      <w:r w:rsidR="004F311F">
        <w:rPr>
          <w:rFonts w:ascii="Georgia" w:eastAsia="Calibri" w:hAnsi="Georgia"/>
          <w:color w:val="585756"/>
          <w:sz w:val="21"/>
          <w:szCs w:val="22"/>
          <w:lang w:val="fr-FR"/>
        </w:rPr>
        <w:t>« </w:t>
      </w:r>
      <w:r w:rsidR="004F311F" w:rsidRPr="004F311F">
        <w:rPr>
          <w:rFonts w:ascii="Georgia" w:eastAsia="Calibri" w:hAnsi="Georgia"/>
          <w:color w:val="585756"/>
          <w:sz w:val="21"/>
          <w:szCs w:val="22"/>
          <w:lang w:val="fr-FR"/>
        </w:rPr>
        <w:t>T</w:t>
      </w:r>
      <w:r w:rsidR="004F311F">
        <w:rPr>
          <w:rFonts w:ascii="Georgia" w:eastAsia="Calibri" w:hAnsi="Georgia"/>
          <w:color w:val="585756"/>
          <w:sz w:val="21"/>
          <w:szCs w:val="22"/>
          <w:lang w:val="fr-FR"/>
        </w:rPr>
        <w:t>ravailler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2" w:name="_Toc260134199"/>
      <w:bookmarkStart w:id="73" w:name="_Toc364253077"/>
      <w:bookmarkStart w:id="74" w:name="_Toc150246302"/>
      <w:r>
        <w:lastRenderedPageBreak/>
        <w:t>Offre</w:t>
      </w:r>
      <w:bookmarkEnd w:id="72"/>
      <w:bookmarkEnd w:id="73"/>
      <w:bookmarkEnd w:id="74"/>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5" w:name="_Toc257380483"/>
      <w:bookmarkStart w:id="76" w:name="_Toc260134200"/>
      <w:bookmarkStart w:id="77" w:name="_Toc150246303"/>
      <w:proofErr w:type="spellStart"/>
      <w:r>
        <w:t>Données</w:t>
      </w:r>
      <w:proofErr w:type="spellEnd"/>
      <w:r>
        <w:t xml:space="preserve"> à </w:t>
      </w:r>
      <w:proofErr w:type="spellStart"/>
      <w:r>
        <w:t>mentionner</w:t>
      </w:r>
      <w:proofErr w:type="spellEnd"/>
      <w:r>
        <w:t xml:space="preserve"> dans </w:t>
      </w:r>
      <w:proofErr w:type="spellStart"/>
      <w:r>
        <w:t>l’offre</w:t>
      </w:r>
      <w:bookmarkEnd w:id="77"/>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5EB33B1C"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w:t>
      </w:r>
      <w:r w:rsidR="005334BB">
        <w:rPr>
          <w:rFonts w:ascii="Georgia" w:eastAsia="Calibri" w:hAnsi="Georgia" w:cs="Times New Roman"/>
          <w:color w:val="585756"/>
          <w:kern w:val="0"/>
          <w:sz w:val="21"/>
          <w:szCs w:val="22"/>
          <w:lang w:val="fr-BE"/>
        </w:rPr>
        <w:t>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EB63C80" w:rsidR="009804F1" w:rsidRPr="004F311F"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8" w:name="_Toc150246304"/>
      <w:r w:rsidRPr="71EBF40D">
        <w:rPr>
          <w:lang w:val="fr-BE"/>
        </w:rPr>
        <w:t>Durée de validité de l’offre</w:t>
      </w:r>
      <w:bookmarkEnd w:id="78"/>
    </w:p>
    <w:p w14:paraId="4BAB3101" w14:textId="639FF3FE" w:rsidR="009804F1" w:rsidRPr="004F311F"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9" w:name="_Toc257380485"/>
      <w:bookmarkStart w:id="80" w:name="_Toc260134204"/>
      <w:bookmarkStart w:id="81" w:name="_Toc150246305"/>
      <w:bookmarkEnd w:id="75"/>
      <w:bookmarkEnd w:id="76"/>
      <w:proofErr w:type="spellStart"/>
      <w:r>
        <w:t>Détermination</w:t>
      </w:r>
      <w:proofErr w:type="spellEnd"/>
      <w:r>
        <w:t xml:space="preserve"> des prix</w:t>
      </w:r>
      <w:bookmarkEnd w:id="79"/>
      <w:bookmarkEnd w:id="80"/>
      <w:bookmarkEnd w:id="8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BFAAE4F"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2" w:name="_Toc150246306"/>
      <w:r>
        <w:t>Eléments inclus dans le prix</w:t>
      </w:r>
      <w:bookmarkEnd w:id="82"/>
    </w:p>
    <w:p w14:paraId="3262A9CC" w14:textId="77777777" w:rsidR="009804F1" w:rsidRPr="00602197" w:rsidRDefault="009804F1" w:rsidP="009804F1">
      <w:pPr>
        <w:pStyle w:val="BTCtextCTB"/>
        <w:rPr>
          <w:rFonts w:ascii="Arial" w:eastAsia="DejaVu Sans" w:hAnsi="Arial" w:cs="Tahoma"/>
          <w:i/>
          <w:kern w:val="18"/>
          <w:sz w:val="18"/>
          <w:szCs w:val="18"/>
          <w:highlight w:val="lightGray"/>
          <w:lang w:val="fr-FR"/>
        </w:rPr>
      </w:pPr>
      <w:r w:rsidRPr="00602197">
        <w:rPr>
          <w:rFonts w:ascii="Arial" w:eastAsia="DejaVu Sans" w:hAnsi="Arial" w:cs="Tahoma"/>
          <w:i/>
          <w:kern w:val="18"/>
          <w:sz w:val="18"/>
          <w:szCs w:val="18"/>
          <w:highlight w:val="lightGray"/>
          <w:lang w:val="fr-FR"/>
        </w:rPr>
        <w:t>(</w:t>
      </w:r>
      <w:proofErr w:type="gramStart"/>
      <w:r w:rsidRPr="00602197">
        <w:rPr>
          <w:rFonts w:ascii="Arial" w:eastAsia="DejaVu Sans" w:hAnsi="Arial" w:cs="Tahoma"/>
          <w:i/>
          <w:kern w:val="18"/>
          <w:sz w:val="18"/>
          <w:szCs w:val="18"/>
          <w:highlight w:val="lightGray"/>
          <w:lang w:val="fr-FR"/>
        </w:rPr>
        <w:t>art.</w:t>
      </w:r>
      <w:proofErr w:type="gramEnd"/>
      <w:r w:rsidRPr="00602197">
        <w:rPr>
          <w:rFonts w:ascii="Arial" w:eastAsia="DejaVu Sans" w:hAnsi="Arial" w:cs="Tahoma"/>
          <w:i/>
          <w:kern w:val="18"/>
          <w:sz w:val="18"/>
          <w:szCs w:val="18"/>
          <w:highlight w:val="lightGray"/>
          <w:lang w:val="fr-FR"/>
        </w:rPr>
        <w:t xml:space="preserve"> 32 § 3 AR 18.04.2017)</w:t>
      </w:r>
    </w:p>
    <w:p w14:paraId="25D84EFA" w14:textId="77777777" w:rsidR="00764869" w:rsidRDefault="00764869" w:rsidP="00764869">
      <w:pPr>
        <w:pStyle w:val="Default"/>
        <w:rPr>
          <w:rFonts w:cs="Times New Roman"/>
          <w:color w:val="585756"/>
          <w:sz w:val="21"/>
          <w:szCs w:val="22"/>
          <w:lang w:val="fr-BE" w:eastAsia="en-US"/>
        </w:rPr>
      </w:pPr>
      <w:r w:rsidRPr="00764869">
        <w:rPr>
          <w:rFonts w:cs="Times New Roman"/>
          <w:color w:val="585756"/>
          <w:sz w:val="21"/>
          <w:szCs w:val="22"/>
          <w:lang w:val="fr-BE" w:eastAsia="en-US"/>
        </w:rPr>
        <w:t xml:space="preserve">Le soumissionnaire est censé avoir inclus dans ses prix tant unitaires que globaux tous les frais et impositions généralement quelconques grevant les services, à l’exception de la taxe sur la valeur ajoutée. </w:t>
      </w:r>
    </w:p>
    <w:p w14:paraId="31D7721E" w14:textId="77777777" w:rsidR="00764869" w:rsidRPr="00764869" w:rsidRDefault="00764869" w:rsidP="00764869">
      <w:pPr>
        <w:pStyle w:val="Default"/>
        <w:rPr>
          <w:rFonts w:cs="Times New Roman"/>
          <w:color w:val="585756"/>
          <w:sz w:val="21"/>
          <w:szCs w:val="22"/>
          <w:lang w:val="fr-BE" w:eastAsia="en-US"/>
        </w:rPr>
      </w:pPr>
    </w:p>
    <w:p w14:paraId="765A8B62" w14:textId="77777777" w:rsidR="00764869" w:rsidRDefault="00764869" w:rsidP="00764869">
      <w:pPr>
        <w:pStyle w:val="Default"/>
        <w:jc w:val="both"/>
        <w:rPr>
          <w:rFonts w:cs="Times New Roman"/>
          <w:color w:val="585756"/>
          <w:sz w:val="21"/>
          <w:szCs w:val="22"/>
          <w:lang w:val="fr-BE" w:eastAsia="en-US"/>
        </w:rPr>
      </w:pPr>
      <w:r w:rsidRPr="00764869">
        <w:rPr>
          <w:rFonts w:cs="Times New Roman"/>
          <w:color w:val="585756"/>
          <w:sz w:val="21"/>
          <w:szCs w:val="22"/>
          <w:lang w:val="fr-BE" w:eastAsia="en-US"/>
        </w:rPr>
        <w:t xml:space="preserve">Le prestataire de services proposera ses tarifs journaliers en euros, HTVA. </w:t>
      </w:r>
    </w:p>
    <w:p w14:paraId="430C7302" w14:textId="77777777" w:rsidR="00764869" w:rsidRPr="00764869" w:rsidRDefault="00764869" w:rsidP="00764869">
      <w:pPr>
        <w:pStyle w:val="Default"/>
        <w:jc w:val="both"/>
        <w:rPr>
          <w:rFonts w:cs="Times New Roman"/>
          <w:color w:val="585756"/>
          <w:sz w:val="21"/>
          <w:szCs w:val="22"/>
          <w:lang w:val="fr-BE" w:eastAsia="en-US"/>
        </w:rPr>
      </w:pPr>
    </w:p>
    <w:p w14:paraId="04959775" w14:textId="77777777" w:rsidR="00764869" w:rsidRDefault="00764869" w:rsidP="00764869">
      <w:pPr>
        <w:pStyle w:val="Default"/>
        <w:jc w:val="both"/>
        <w:rPr>
          <w:rFonts w:cs="Times New Roman"/>
          <w:color w:val="585756"/>
          <w:sz w:val="21"/>
          <w:szCs w:val="22"/>
          <w:lang w:val="fr-BE" w:eastAsia="en-US"/>
        </w:rPr>
      </w:pPr>
      <w:r w:rsidRPr="00764869">
        <w:rPr>
          <w:rFonts w:cs="Times New Roman"/>
          <w:color w:val="585756"/>
          <w:sz w:val="21"/>
          <w:szCs w:val="22"/>
          <w:lang w:val="fr-BE" w:eastAsia="en-US"/>
        </w:rPr>
        <w:t xml:space="preserve">Sont notamment inclus dans les prix : </w:t>
      </w:r>
    </w:p>
    <w:p w14:paraId="6CF432B7"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honoraires ; </w:t>
      </w:r>
    </w:p>
    <w:p w14:paraId="3FBEBA68" w14:textId="77777777" w:rsidR="00764869" w:rsidRPr="00764869" w:rsidRDefault="00764869" w:rsidP="00764869">
      <w:pPr>
        <w:pStyle w:val="Default"/>
        <w:numPr>
          <w:ilvl w:val="0"/>
          <w:numId w:val="57"/>
        </w:numPr>
        <w:jc w:val="both"/>
        <w:rPr>
          <w:rFonts w:cs="Times New Roman"/>
          <w:b/>
          <w:bCs/>
          <w:color w:val="585756"/>
          <w:sz w:val="21"/>
          <w:szCs w:val="22"/>
          <w:u w:val="single"/>
          <w:lang w:val="fr-BE" w:eastAsia="en-US"/>
        </w:rPr>
      </w:pPr>
      <w:proofErr w:type="gramStart"/>
      <w:r w:rsidRPr="00764869">
        <w:rPr>
          <w:rFonts w:cs="Times New Roman"/>
          <w:b/>
          <w:bCs/>
          <w:color w:val="585756"/>
          <w:sz w:val="21"/>
          <w:szCs w:val="22"/>
          <w:u w:val="single"/>
          <w:lang w:val="fr-BE" w:eastAsia="en-US"/>
        </w:rPr>
        <w:t>les</w:t>
      </w:r>
      <w:proofErr w:type="gramEnd"/>
      <w:r w:rsidRPr="00764869">
        <w:rPr>
          <w:rFonts w:cs="Times New Roman"/>
          <w:b/>
          <w:bCs/>
          <w:color w:val="585756"/>
          <w:sz w:val="21"/>
          <w:szCs w:val="22"/>
          <w:u w:val="single"/>
          <w:lang w:val="fr-BE" w:eastAsia="en-US"/>
        </w:rPr>
        <w:t xml:space="preserve"> per diem (le cas échéant) ; </w:t>
      </w:r>
    </w:p>
    <w:p w14:paraId="4D816FCA" w14:textId="77777777" w:rsidR="00764869" w:rsidRPr="00764869" w:rsidRDefault="00764869" w:rsidP="00764869">
      <w:pPr>
        <w:pStyle w:val="Default"/>
        <w:numPr>
          <w:ilvl w:val="0"/>
          <w:numId w:val="57"/>
        </w:numPr>
        <w:jc w:val="both"/>
        <w:rPr>
          <w:rFonts w:cs="Times New Roman"/>
          <w:b/>
          <w:bCs/>
          <w:color w:val="585756"/>
          <w:sz w:val="21"/>
          <w:szCs w:val="22"/>
          <w:u w:val="single"/>
          <w:lang w:val="fr-BE" w:eastAsia="en-US"/>
        </w:rPr>
      </w:pPr>
      <w:proofErr w:type="gramStart"/>
      <w:r w:rsidRPr="00764869">
        <w:rPr>
          <w:rFonts w:cs="Times New Roman"/>
          <w:b/>
          <w:bCs/>
          <w:color w:val="585756"/>
          <w:sz w:val="21"/>
          <w:szCs w:val="22"/>
          <w:u w:val="single"/>
          <w:lang w:val="fr-BE" w:eastAsia="en-US"/>
        </w:rPr>
        <w:t>les</w:t>
      </w:r>
      <w:proofErr w:type="gramEnd"/>
      <w:r w:rsidRPr="00764869">
        <w:rPr>
          <w:rFonts w:cs="Times New Roman"/>
          <w:b/>
          <w:bCs/>
          <w:color w:val="585756"/>
          <w:sz w:val="21"/>
          <w:szCs w:val="22"/>
          <w:u w:val="single"/>
          <w:lang w:val="fr-BE" w:eastAsia="en-US"/>
        </w:rPr>
        <w:t xml:space="preserve"> frais de logement et d’hébergement ; </w:t>
      </w:r>
    </w:p>
    <w:p w14:paraId="5228BAC3"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gestion administrative et le secrétariat ; </w:t>
      </w:r>
    </w:p>
    <w:p w14:paraId="1B990CFB"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l'assurance;</w:t>
      </w:r>
      <w:proofErr w:type="gramEnd"/>
      <w:r w:rsidRPr="00764869">
        <w:rPr>
          <w:rFonts w:cs="Times New Roman"/>
          <w:color w:val="585756"/>
          <w:sz w:val="21"/>
          <w:szCs w:val="22"/>
          <w:lang w:val="fr-BE" w:eastAsia="en-US"/>
        </w:rPr>
        <w:t xml:space="preserve"> </w:t>
      </w:r>
    </w:p>
    <w:p w14:paraId="2EA574C6"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documentation relative aux services; </w:t>
      </w:r>
    </w:p>
    <w:p w14:paraId="5473788E"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livraison de documents ou de pièces liés à l'exécution; </w:t>
      </w:r>
    </w:p>
    <w:p w14:paraId="2D45DDE4"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emballages; </w:t>
      </w:r>
    </w:p>
    <w:p w14:paraId="4637901C" w14:textId="77777777" w:rsidR="00764869" w:rsidRDefault="00764869" w:rsidP="00764869">
      <w:pPr>
        <w:pStyle w:val="Default"/>
        <w:numPr>
          <w:ilvl w:val="0"/>
          <w:numId w:val="5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lastRenderedPageBreak/>
        <w:t>le</w:t>
      </w:r>
      <w:proofErr w:type="gramEnd"/>
      <w:r w:rsidRPr="00764869">
        <w:rPr>
          <w:rFonts w:cs="Times New Roman"/>
          <w:color w:val="585756"/>
          <w:sz w:val="21"/>
          <w:szCs w:val="22"/>
          <w:lang w:val="fr-BE" w:eastAsia="en-US"/>
        </w:rPr>
        <w:t xml:space="preserve"> cas échéant, les mesures imposées par la législation en matière de sécurité et de santé des travailleurs lors de l'exécution de leur travail</w:t>
      </w:r>
      <w:r>
        <w:rPr>
          <w:rFonts w:cs="Times New Roman"/>
          <w:color w:val="585756"/>
          <w:sz w:val="21"/>
          <w:szCs w:val="22"/>
          <w:lang w:val="fr-BE" w:eastAsia="en-US"/>
        </w:rPr>
        <w:t> ;</w:t>
      </w:r>
    </w:p>
    <w:p w14:paraId="0ED5C485" w14:textId="491859BD" w:rsidR="00764869" w:rsidRPr="00764869" w:rsidRDefault="00764869" w:rsidP="00764869">
      <w:pPr>
        <w:pStyle w:val="Default"/>
        <w:numPr>
          <w:ilvl w:val="0"/>
          <w:numId w:val="57"/>
        </w:numPr>
        <w:jc w:val="both"/>
        <w:rPr>
          <w:rFonts w:cs="Times New Roman"/>
          <w:color w:val="585756"/>
          <w:sz w:val="21"/>
          <w:szCs w:val="22"/>
          <w:lang w:val="fr-BE" w:eastAsia="en-US"/>
        </w:rPr>
      </w:pPr>
      <w:r w:rsidRPr="00764869">
        <w:rPr>
          <w:rFonts w:cs="Times New Roman"/>
          <w:color w:val="585756"/>
          <w:sz w:val="21"/>
          <w:szCs w:val="22"/>
          <w:lang w:val="fr-BE" w:eastAsia="en-US"/>
        </w:rPr>
        <w:t xml:space="preserve">Les droits de douane et d’accise relatifs au matériel et aux produits utilisés ; </w:t>
      </w:r>
    </w:p>
    <w:p w14:paraId="39E0ED8C" w14:textId="77777777" w:rsidR="00764869" w:rsidRPr="00764869" w:rsidRDefault="00764869" w:rsidP="00764869">
      <w:pPr>
        <w:pStyle w:val="Default"/>
        <w:jc w:val="both"/>
        <w:rPr>
          <w:rFonts w:cs="Times New Roman"/>
          <w:color w:val="585756"/>
          <w:sz w:val="21"/>
          <w:szCs w:val="22"/>
          <w:lang w:val="fr-BE" w:eastAsia="en-US"/>
        </w:rPr>
      </w:pPr>
    </w:p>
    <w:p w14:paraId="18895BBC" w14:textId="0505D56D" w:rsidR="009804F1" w:rsidRDefault="00764869" w:rsidP="00764869">
      <w:pPr>
        <w:pStyle w:val="Default"/>
        <w:jc w:val="both"/>
        <w:rPr>
          <w:rFonts w:cs="Times New Roman"/>
          <w:color w:val="585756"/>
          <w:sz w:val="21"/>
          <w:szCs w:val="22"/>
          <w:lang w:val="fr-BE" w:eastAsia="en-US"/>
        </w:rPr>
      </w:pPr>
      <w:r w:rsidRPr="00764869">
        <w:rPr>
          <w:rFonts w:cs="Times New Roman"/>
          <w:color w:val="585756"/>
          <w:sz w:val="21"/>
          <w:szCs w:val="22"/>
          <w:lang w:val="fr-BE" w:eastAsia="en-US"/>
        </w:rPr>
        <w:t>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5FA5DEAE" w14:textId="77777777" w:rsidR="00764869" w:rsidRDefault="00764869" w:rsidP="00764869">
      <w:pPr>
        <w:pStyle w:val="Default"/>
        <w:rPr>
          <w:rFonts w:cs="Times New Roman"/>
          <w:color w:val="585756"/>
          <w:sz w:val="21"/>
          <w:szCs w:val="22"/>
          <w:lang w:val="fr-BE" w:eastAsia="en-US"/>
        </w:rPr>
      </w:pPr>
    </w:p>
    <w:p w14:paraId="0042E410" w14:textId="7B085BFA" w:rsidR="00ED338C" w:rsidRPr="00A05A7D" w:rsidRDefault="00ED338C" w:rsidP="00ED338C">
      <w:pPr>
        <w:pStyle w:val="Corpsdetexte"/>
        <w:rPr>
          <w:rFonts w:ascii="Georgia" w:eastAsia="Calibri" w:hAnsi="Georgia" w:cs="Times New Roman"/>
          <w:b/>
          <w:bCs/>
          <w:color w:val="585756"/>
          <w:kern w:val="0"/>
          <w:sz w:val="21"/>
          <w:szCs w:val="22"/>
          <w:lang w:val="fr-BE"/>
        </w:rPr>
      </w:pPr>
      <w:r w:rsidRPr="00ED338C">
        <w:rPr>
          <w:rFonts w:ascii="Georgia" w:eastAsia="Calibri" w:hAnsi="Georgia" w:cs="Times New Roman"/>
          <w:color w:val="585756"/>
          <w:kern w:val="0"/>
          <w:sz w:val="21"/>
          <w:szCs w:val="22"/>
          <w:lang w:val="fr-BE"/>
        </w:rPr>
        <w:t xml:space="preserve">Pour ce marché, les frais suivants </w:t>
      </w:r>
      <w:r w:rsidRPr="00A05A7D">
        <w:rPr>
          <w:rFonts w:ascii="Georgia" w:eastAsia="Calibri" w:hAnsi="Georgia" w:cs="Times New Roman"/>
          <w:b/>
          <w:bCs/>
          <w:color w:val="585756"/>
          <w:kern w:val="0"/>
          <w:sz w:val="21"/>
          <w:szCs w:val="22"/>
          <w:lang w:val="fr-BE"/>
        </w:rPr>
        <w:t xml:space="preserve">sont pris en charge par </w:t>
      </w:r>
      <w:proofErr w:type="spellStart"/>
      <w:r w:rsidRPr="00A05A7D">
        <w:rPr>
          <w:rFonts w:ascii="Georgia" w:eastAsia="Calibri" w:hAnsi="Georgia" w:cs="Times New Roman"/>
          <w:b/>
          <w:bCs/>
          <w:color w:val="585756"/>
          <w:kern w:val="0"/>
          <w:sz w:val="21"/>
          <w:szCs w:val="22"/>
          <w:lang w:val="fr-BE"/>
        </w:rPr>
        <w:t>Enabel</w:t>
      </w:r>
      <w:proofErr w:type="spellEnd"/>
      <w:r w:rsidRPr="00A05A7D">
        <w:rPr>
          <w:rFonts w:ascii="Georgia" w:eastAsia="Calibri" w:hAnsi="Georgia" w:cs="Times New Roman"/>
          <w:b/>
          <w:bCs/>
          <w:color w:val="585756"/>
          <w:kern w:val="0"/>
          <w:sz w:val="21"/>
          <w:szCs w:val="22"/>
          <w:lang w:val="fr-BE"/>
        </w:rPr>
        <w:t xml:space="preserve"> ou remboursés sur base de pièces justificatives. </w:t>
      </w:r>
      <w:r w:rsidRPr="00A05A7D">
        <w:rPr>
          <w:rFonts w:ascii="Georgia" w:eastAsia="Calibri" w:hAnsi="Georgia" w:cs="Times New Roman"/>
          <w:color w:val="585756"/>
          <w:kern w:val="0"/>
          <w:sz w:val="21"/>
          <w:szCs w:val="22"/>
          <w:lang w:val="fr-BE"/>
        </w:rPr>
        <w:t xml:space="preserve">Pour les frais remboursables sur base de pièces justificatives, l’accord de </w:t>
      </w:r>
      <w:proofErr w:type="spellStart"/>
      <w:r w:rsidRPr="00A05A7D">
        <w:rPr>
          <w:rFonts w:ascii="Georgia" w:eastAsia="Calibri" w:hAnsi="Georgia" w:cs="Times New Roman"/>
          <w:color w:val="585756"/>
          <w:kern w:val="0"/>
          <w:sz w:val="21"/>
          <w:szCs w:val="22"/>
          <w:lang w:val="fr-BE"/>
        </w:rPr>
        <w:t>Enabel</w:t>
      </w:r>
      <w:proofErr w:type="spellEnd"/>
      <w:r w:rsidRPr="00A05A7D">
        <w:rPr>
          <w:rFonts w:ascii="Georgia" w:eastAsia="Calibri" w:hAnsi="Georgia" w:cs="Times New Roman"/>
          <w:color w:val="585756"/>
          <w:kern w:val="0"/>
          <w:sz w:val="21"/>
          <w:szCs w:val="22"/>
          <w:lang w:val="fr-BE"/>
        </w:rPr>
        <w:t xml:space="preserve"> avant l’engagement est toujours </w:t>
      </w:r>
      <w:r w:rsidR="00A05A7D" w:rsidRPr="00A05A7D">
        <w:rPr>
          <w:rFonts w:ascii="Georgia" w:eastAsia="Calibri" w:hAnsi="Georgia" w:cs="Times New Roman"/>
          <w:color w:val="585756"/>
          <w:kern w:val="0"/>
          <w:sz w:val="21"/>
          <w:szCs w:val="22"/>
          <w:lang w:val="fr-BE"/>
        </w:rPr>
        <w:t>nécessaire</w:t>
      </w:r>
      <w:r w:rsidRPr="00A05A7D">
        <w:rPr>
          <w:rFonts w:ascii="Georgia" w:eastAsia="Calibri" w:hAnsi="Georgia" w:cs="Times New Roman"/>
          <w:color w:val="585756"/>
          <w:kern w:val="0"/>
          <w:sz w:val="21"/>
          <w:szCs w:val="22"/>
          <w:lang w:val="fr-BE"/>
        </w:rPr>
        <w:t>,</w:t>
      </w:r>
      <w:r w:rsidRPr="00ED338C">
        <w:rPr>
          <w:rFonts w:ascii="Georgia" w:eastAsia="Calibri" w:hAnsi="Georgia" w:cs="Times New Roman"/>
          <w:color w:val="585756"/>
          <w:kern w:val="0"/>
          <w:sz w:val="21"/>
          <w:szCs w:val="22"/>
          <w:lang w:val="fr-BE"/>
        </w:rPr>
        <w:t xml:space="preserve"> sinon la dépense ne pourra pas être remboursée dans les prix unitaires proposés même sur base de la pièce justificative :</w:t>
      </w:r>
    </w:p>
    <w:p w14:paraId="4FBB41F7" w14:textId="52236B80" w:rsidR="00720D06" w:rsidRPr="00720D06" w:rsidRDefault="00720D06" w:rsidP="00ED338C">
      <w:pPr>
        <w:pStyle w:val="Corpsdetexte"/>
        <w:numPr>
          <w:ilvl w:val="0"/>
          <w:numId w:val="58"/>
        </w:numPr>
        <w:rPr>
          <w:rFonts w:ascii="Georgia" w:eastAsia="Calibri" w:hAnsi="Georgia" w:cs="Times New Roman"/>
          <w:color w:val="585756"/>
          <w:kern w:val="0"/>
          <w:sz w:val="21"/>
          <w:szCs w:val="22"/>
          <w:lang w:val="fr-BE"/>
        </w:rPr>
      </w:pPr>
      <w:r w:rsidRPr="00720D06">
        <w:rPr>
          <w:rFonts w:ascii="Georgia" w:eastAsia="Calibri" w:hAnsi="Georgia" w:cs="Times New Roman"/>
          <w:b/>
          <w:bCs/>
          <w:color w:val="585756"/>
          <w:kern w:val="0"/>
          <w:sz w:val="21"/>
          <w:szCs w:val="22"/>
          <w:lang w:val="fr-BE"/>
        </w:rPr>
        <w:t>Les déplacements sur le terrain</w:t>
      </w:r>
      <w:r>
        <w:rPr>
          <w:rFonts w:ascii="Georgia" w:eastAsia="Calibri" w:hAnsi="Georgia" w:cs="Times New Roman"/>
          <w:color w:val="585756"/>
          <w:kern w:val="0"/>
          <w:sz w:val="21"/>
          <w:szCs w:val="22"/>
          <w:lang w:val="fr-BE"/>
        </w:rPr>
        <w:t xml:space="preserve"> : les déplacements sont assurés et pris en charge par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via son service logistique ;</w:t>
      </w:r>
    </w:p>
    <w:p w14:paraId="2133F89B" w14:textId="21017391" w:rsidR="00ED338C" w:rsidRPr="00ED338C" w:rsidRDefault="00ED338C" w:rsidP="00ED338C">
      <w:pPr>
        <w:pStyle w:val="Corpsdetexte"/>
        <w:numPr>
          <w:ilvl w:val="0"/>
          <w:numId w:val="58"/>
        </w:numPr>
        <w:rPr>
          <w:rFonts w:ascii="Georgia" w:eastAsia="Calibri" w:hAnsi="Georgia" w:cs="Times New Roman"/>
          <w:color w:val="585756"/>
          <w:kern w:val="0"/>
          <w:sz w:val="21"/>
          <w:szCs w:val="22"/>
          <w:lang w:val="fr-BE"/>
        </w:rPr>
      </w:pPr>
      <w:r w:rsidRPr="00ED338C">
        <w:rPr>
          <w:rFonts w:ascii="Georgia" w:eastAsia="Calibri" w:hAnsi="Georgia" w:cs="Times New Roman"/>
          <w:b/>
          <w:bCs/>
          <w:color w:val="585756"/>
          <w:kern w:val="0"/>
          <w:sz w:val="21"/>
          <w:szCs w:val="22"/>
          <w:lang w:val="fr-BE"/>
        </w:rPr>
        <w:t>Transports nationaux par avion</w:t>
      </w:r>
      <w:r w:rsidRPr="00ED338C">
        <w:rPr>
          <w:rFonts w:ascii="Georgia" w:eastAsia="Calibri" w:hAnsi="Georgia" w:cs="Times New Roman"/>
          <w:color w:val="585756"/>
          <w:kern w:val="0"/>
          <w:sz w:val="21"/>
          <w:szCs w:val="22"/>
          <w:lang w:val="fr-BE"/>
        </w:rPr>
        <w:t xml:space="preserve"> : les billets d’avion pour les vols nationaux entre les provinces du domicile du consultant et le lieu de prestation sont organisés et pris en charge par le soumissionnaire (billet en classe économique du trajet le plus avantageux économiquement). </w:t>
      </w:r>
    </w:p>
    <w:p w14:paraId="61D50E07" w14:textId="77777777" w:rsidR="00ED338C" w:rsidRPr="00ED338C" w:rsidRDefault="00ED338C" w:rsidP="00ED338C">
      <w:pPr>
        <w:pStyle w:val="Corpsdetexte"/>
        <w:ind w:left="720"/>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choix de l’itinéraire sera conditionné par la combinaison la plus logique entre :</w:t>
      </w:r>
    </w:p>
    <w:p w14:paraId="458801DA" w14:textId="77777777" w:rsidR="00ED338C" w:rsidRPr="00ED338C" w:rsidRDefault="00ED338C" w:rsidP="00ED338C">
      <w:pPr>
        <w:pStyle w:val="Corpsdetexte"/>
        <w:numPr>
          <w:ilvl w:val="1"/>
          <w:numId w:val="5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meilleur itinéraire acceptable ;</w:t>
      </w:r>
    </w:p>
    <w:p w14:paraId="0DBBE3D6" w14:textId="77777777" w:rsidR="00ED338C" w:rsidRPr="00ED338C" w:rsidRDefault="00ED338C" w:rsidP="00ED338C">
      <w:pPr>
        <w:pStyle w:val="Corpsdetexte"/>
        <w:numPr>
          <w:ilvl w:val="1"/>
          <w:numId w:val="5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Le tarif applicable le meilleur marché (classe Economy) en tenant compte des conditions référentielles définies par les contrats dont </w:t>
      </w:r>
      <w:proofErr w:type="spellStart"/>
      <w:r w:rsidRPr="00ED338C">
        <w:rPr>
          <w:rFonts w:ascii="Georgia" w:eastAsia="Calibri" w:hAnsi="Georgia" w:cs="Times New Roman"/>
          <w:color w:val="585756"/>
          <w:kern w:val="0"/>
          <w:sz w:val="21"/>
          <w:szCs w:val="22"/>
          <w:lang w:val="fr-BE"/>
        </w:rPr>
        <w:t>Enabel</w:t>
      </w:r>
      <w:proofErr w:type="spellEnd"/>
      <w:r w:rsidRPr="00ED338C">
        <w:rPr>
          <w:rFonts w:ascii="Georgia" w:eastAsia="Calibri" w:hAnsi="Georgia" w:cs="Times New Roman"/>
          <w:color w:val="585756"/>
          <w:kern w:val="0"/>
          <w:sz w:val="21"/>
          <w:szCs w:val="22"/>
          <w:lang w:val="fr-BE"/>
        </w:rPr>
        <w:t xml:space="preserve"> dispose avec les compagnies aériennes ;</w:t>
      </w:r>
    </w:p>
    <w:p w14:paraId="0329CEA1" w14:textId="6844586E" w:rsidR="00720D06" w:rsidRPr="00720D06" w:rsidRDefault="00ED338C" w:rsidP="00720D06">
      <w:pPr>
        <w:pStyle w:val="Corpsdetexte"/>
        <w:numPr>
          <w:ilvl w:val="1"/>
          <w:numId w:val="5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Les dates de voyage demandées.</w:t>
      </w:r>
    </w:p>
    <w:p w14:paraId="6C0232B7" w14:textId="77777777" w:rsidR="00ED338C" w:rsidRPr="00ED338C" w:rsidRDefault="00ED338C" w:rsidP="00ED338C">
      <w:pPr>
        <w:pStyle w:val="Corpsdetexte"/>
        <w:rPr>
          <w:rFonts w:ascii="Georgia" w:eastAsia="Calibri" w:hAnsi="Georgia" w:cs="Times New Roman"/>
          <w:b/>
          <w:bCs/>
          <w:color w:val="585756"/>
          <w:kern w:val="0"/>
          <w:sz w:val="21"/>
          <w:szCs w:val="22"/>
          <w:lang w:val="fr-BE"/>
        </w:rPr>
      </w:pPr>
      <w:r w:rsidRPr="00ED338C">
        <w:rPr>
          <w:rFonts w:ascii="Georgia" w:eastAsia="Calibri" w:hAnsi="Georgia" w:cs="Times New Roman"/>
          <w:b/>
          <w:bCs/>
          <w:color w:val="585756"/>
          <w:kern w:val="0"/>
          <w:sz w:val="21"/>
          <w:szCs w:val="22"/>
          <w:lang w:val="fr-BE"/>
        </w:rPr>
        <w:t>Attention :</w:t>
      </w:r>
    </w:p>
    <w:p w14:paraId="6890FC1C" w14:textId="1B4F10CB" w:rsidR="009804F1" w:rsidRPr="00ED338C" w:rsidRDefault="00ED338C" w:rsidP="009804F1">
      <w:pPr>
        <w:pStyle w:val="Corpsdetexte"/>
        <w:numPr>
          <w:ilvl w:val="0"/>
          <w:numId w:val="58"/>
        </w:numPr>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Le tarif journalier est payé pour tous les jours de travail effectif, même s’il s’agit d’un jour de week-end ou d’un jour férié, selon le planning de travail accepté joint à la facture. </w:t>
      </w: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83" w:name="_Toc257380488"/>
      <w:bookmarkStart w:id="84" w:name="_Toc260134207"/>
      <w:bookmarkStart w:id="85" w:name="_Toc150246307"/>
      <w:r>
        <w:t xml:space="preserve">Introduction des </w:t>
      </w:r>
      <w:proofErr w:type="spellStart"/>
      <w:r>
        <w:t>offres</w:t>
      </w:r>
      <w:bookmarkEnd w:id="83"/>
      <w:bookmarkEnd w:id="84"/>
      <w:bookmarkEnd w:id="85"/>
      <w:proofErr w:type="spellEnd"/>
    </w:p>
    <w:p w14:paraId="03954E17"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Article 54 et suivants et art. 83-84 de l’AR du 14 avril 2017 </w:t>
      </w:r>
    </w:p>
    <w:p w14:paraId="11E1704C" w14:textId="0ABD7CA9"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321D74E9" w:rsidR="002E6840" w:rsidRPr="002E6840" w:rsidRDefault="002E6840" w:rsidP="002E6840">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w:t>
      </w:r>
      <w:r w:rsidR="00A05A7D">
        <w:rPr>
          <w:rFonts w:ascii="Georgia" w:eastAsia="Calibri" w:hAnsi="Georgia"/>
          <w:color w:val="585756"/>
          <w:sz w:val="21"/>
          <w:szCs w:val="22"/>
        </w:rPr>
        <w:t xml:space="preserve">e. Le </w:t>
      </w:r>
      <w:r w:rsidRPr="002E6840">
        <w:rPr>
          <w:rFonts w:ascii="Georgia" w:eastAsia="Calibri" w:hAnsi="Georgia"/>
          <w:color w:val="585756"/>
          <w:sz w:val="21"/>
          <w:szCs w:val="22"/>
        </w:rPr>
        <w:t xml:space="preserve">cas échéant, ces copies peuvent être introduites sous forme </w:t>
      </w:r>
      <w:proofErr w:type="gramStart"/>
      <w:r w:rsidRPr="002E6840">
        <w:rPr>
          <w:rFonts w:ascii="Georgia" w:eastAsia="Calibri" w:hAnsi="Georgia"/>
          <w:color w:val="585756"/>
          <w:sz w:val="21"/>
          <w:szCs w:val="22"/>
        </w:rPr>
        <w:t>de un</w:t>
      </w:r>
      <w:proofErr w:type="gramEnd"/>
      <w:r w:rsidRPr="002E6840">
        <w:rPr>
          <w:rFonts w:ascii="Georgia" w:eastAsia="Calibri" w:hAnsi="Georgia"/>
          <w:color w:val="585756"/>
          <w:sz w:val="21"/>
          <w:szCs w:val="22"/>
        </w:rPr>
        <w:t xml:space="preserve">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8F9CF88" w14:textId="26C9FCCB"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est introduite sous pli définitivement scellé, portant la mention : Offre /</w:t>
      </w:r>
      <w:r w:rsidR="00A05A7D">
        <w:rPr>
          <w:rFonts w:ascii="Georgia" w:eastAsia="Calibri" w:hAnsi="Georgia"/>
          <w:color w:val="585756"/>
          <w:sz w:val="21"/>
          <w:szCs w:val="22"/>
        </w:rPr>
        <w:t>COD2299611SH6-10012</w:t>
      </w:r>
      <w:r w:rsidRPr="002E6840">
        <w:rPr>
          <w:rFonts w:ascii="Georgia" w:eastAsia="Calibri" w:hAnsi="Georgia"/>
          <w:color w:val="585756"/>
          <w:sz w:val="21"/>
          <w:szCs w:val="22"/>
        </w:rPr>
        <w:t xml:space="preserve"> – Ouverture des offres le </w:t>
      </w:r>
      <w:r w:rsidR="00DB5165">
        <w:rPr>
          <w:rFonts w:ascii="Georgia" w:eastAsia="Calibri" w:hAnsi="Georgia"/>
          <w:color w:val="585756"/>
          <w:sz w:val="21"/>
          <w:szCs w:val="22"/>
        </w:rPr>
        <w:t>13/12/2023 – C/o Léa LECOMTE »</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lastRenderedPageBreak/>
        <w:t>a)</w:t>
      </w:r>
      <w:r w:rsidRPr="002E6840">
        <w:rPr>
          <w:rFonts w:ascii="Georgia" w:eastAsia="Calibri" w:hAnsi="Georgia"/>
          <w:color w:val="585756"/>
          <w:sz w:val="21"/>
          <w:szCs w:val="22"/>
        </w:rPr>
        <w:tab/>
        <w:t>par la poste (envoi normal ou recommandé)</w:t>
      </w:r>
    </w:p>
    <w:p w14:paraId="26A29843"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46B80AB8" w14:textId="28818FC4" w:rsidR="002E6840" w:rsidRPr="002E6840" w:rsidRDefault="001E5E1C" w:rsidP="00A05A7D">
      <w:pPr>
        <w:pStyle w:val="BTCtextCTB"/>
        <w:ind w:left="1416"/>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 Agence bel</w:t>
      </w:r>
      <w:r w:rsidR="007A3711">
        <w:rPr>
          <w:rFonts w:ascii="Georgia" w:eastAsia="Calibri" w:hAnsi="Georgia"/>
          <w:color w:val="585756"/>
          <w:sz w:val="21"/>
          <w:szCs w:val="22"/>
        </w:rPr>
        <w:t>g</w:t>
      </w:r>
      <w:r>
        <w:rPr>
          <w:rFonts w:ascii="Georgia" w:eastAsia="Calibri" w:hAnsi="Georgia"/>
          <w:color w:val="585756"/>
          <w:sz w:val="21"/>
          <w:szCs w:val="22"/>
        </w:rPr>
        <w:t>e de développement</w:t>
      </w:r>
    </w:p>
    <w:p w14:paraId="1D802085" w14:textId="0E53C576" w:rsidR="002E6840" w:rsidRDefault="00A05A7D" w:rsidP="00A05A7D">
      <w:pPr>
        <w:pStyle w:val="BTCtextCTB"/>
        <w:ind w:left="1416"/>
        <w:rPr>
          <w:rFonts w:ascii="Georgia" w:eastAsia="Calibri" w:hAnsi="Georgia"/>
          <w:color w:val="585756"/>
          <w:sz w:val="21"/>
          <w:szCs w:val="22"/>
        </w:rPr>
      </w:pPr>
      <w:r>
        <w:rPr>
          <w:rFonts w:ascii="Georgia" w:eastAsia="Calibri" w:hAnsi="Georgia"/>
          <w:color w:val="585756"/>
          <w:sz w:val="21"/>
          <w:szCs w:val="22"/>
        </w:rPr>
        <w:t>Représentation au sein de l’Ambassade de Belgique</w:t>
      </w:r>
    </w:p>
    <w:p w14:paraId="23EBE67B" w14:textId="04120827" w:rsidR="00A05A7D" w:rsidRDefault="00A05A7D" w:rsidP="00A05A7D">
      <w:pPr>
        <w:pStyle w:val="BTCtextCTB"/>
        <w:ind w:left="1416"/>
        <w:rPr>
          <w:rFonts w:ascii="Georgia" w:eastAsia="Calibri" w:hAnsi="Georgia"/>
          <w:color w:val="585756"/>
          <w:sz w:val="21"/>
          <w:szCs w:val="22"/>
        </w:rPr>
      </w:pPr>
      <w:r>
        <w:rPr>
          <w:rFonts w:ascii="Georgia" w:eastAsia="Calibri" w:hAnsi="Georgia"/>
          <w:color w:val="585756"/>
          <w:sz w:val="21"/>
          <w:szCs w:val="22"/>
        </w:rPr>
        <w:t xml:space="preserve">Boulevard du 30 juin, 133 </w:t>
      </w:r>
    </w:p>
    <w:p w14:paraId="28AEB3FB" w14:textId="37AD4B64" w:rsidR="00A05A7D" w:rsidRDefault="00A05A7D" w:rsidP="00A05A7D">
      <w:pPr>
        <w:pStyle w:val="BTCtextCTB"/>
        <w:ind w:left="1416"/>
        <w:rPr>
          <w:rFonts w:ascii="Georgia" w:eastAsia="Calibri" w:hAnsi="Georgia"/>
          <w:color w:val="585756"/>
          <w:sz w:val="21"/>
          <w:szCs w:val="22"/>
        </w:rPr>
      </w:pPr>
      <w:r>
        <w:rPr>
          <w:rFonts w:ascii="Georgia" w:eastAsia="Calibri" w:hAnsi="Georgia"/>
          <w:color w:val="585756"/>
          <w:sz w:val="21"/>
          <w:szCs w:val="22"/>
        </w:rPr>
        <w:t>Gombe – Kinshasa</w:t>
      </w:r>
    </w:p>
    <w:p w14:paraId="42B4264A" w14:textId="77777777" w:rsidR="00A05A7D" w:rsidRPr="002E6840" w:rsidRDefault="00A05A7D" w:rsidP="002E6840">
      <w:pPr>
        <w:pStyle w:val="BTCtextCTB"/>
        <w:ind w:left="720"/>
        <w:rPr>
          <w:rFonts w:ascii="Georgia" w:eastAsia="Calibri" w:hAnsi="Georgia"/>
          <w:color w:val="585756"/>
          <w:sz w:val="21"/>
          <w:szCs w:val="22"/>
        </w:rPr>
      </w:pP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1FF20A9B" w:rsidR="00FD0EDC" w:rsidRPr="008C4A21" w:rsidRDefault="002E6840" w:rsidP="00A05A7D">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Le service est accessible, tous les jours ouvrables, pendant les heures de bureau : de 9h. à 12h. et de 13 h. à 17 h. (voir </w:t>
      </w:r>
      <w:r w:rsidR="00DB5165" w:rsidRPr="002E6840">
        <w:rPr>
          <w:rFonts w:ascii="Georgia" w:eastAsia="Calibri" w:hAnsi="Georgia"/>
          <w:color w:val="585756"/>
          <w:sz w:val="21"/>
          <w:szCs w:val="22"/>
        </w:rPr>
        <w:t>adresse mentionnée</w:t>
      </w:r>
      <w:r w:rsidRPr="002E6840">
        <w:rPr>
          <w:rFonts w:ascii="Georgia" w:eastAsia="Calibri" w:hAnsi="Georgia"/>
          <w:color w:val="585756"/>
          <w:sz w:val="21"/>
          <w:szCs w:val="22"/>
        </w:rPr>
        <w:t xml:space="preserve"> au point Ouverture des offres).</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6" w:name="_Toc150246308"/>
      <w:r w:rsidRPr="71EBF40D">
        <w:rPr>
          <w:lang w:val="fr-BE"/>
        </w:rPr>
        <w:t>Modification ou retrait d’une offre déjà introduite</w:t>
      </w:r>
      <w:bookmarkEnd w:id="8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69ED4EDF"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FF7A26B" w:rsidR="009804F1" w:rsidRPr="00A05A7D" w:rsidRDefault="009804F1" w:rsidP="00A05A7D">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7" w:name="_Toc150246309"/>
      <w:r w:rsidRPr="71EBF40D">
        <w:rPr>
          <w:lang w:val="fr-BE"/>
        </w:rPr>
        <w:t>Ouverture des offres</w:t>
      </w:r>
      <w:bookmarkEnd w:id="87"/>
    </w:p>
    <w:p w14:paraId="770A3685"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Article 83-84 de l’AR du 14 avril 2017 </w:t>
      </w:r>
    </w:p>
    <w:p w14:paraId="5DDA81CD" w14:textId="12216A06"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w:t>
      </w:r>
      <w:r w:rsidRPr="00DB5165">
        <w:rPr>
          <w:rFonts w:ascii="Georgia" w:eastAsia="Calibri" w:hAnsi="Georgia"/>
          <w:color w:val="585756"/>
          <w:sz w:val="21"/>
          <w:szCs w:val="22"/>
        </w:rPr>
        <w:t xml:space="preserve">adjudicateur avant le </w:t>
      </w:r>
      <w:r w:rsidR="00DB5165" w:rsidRPr="00DB5165">
        <w:rPr>
          <w:rFonts w:ascii="Georgia" w:eastAsia="Calibri" w:hAnsi="Georgia"/>
          <w:color w:val="585756"/>
          <w:sz w:val="21"/>
          <w:szCs w:val="22"/>
        </w:rPr>
        <w:t>13</w:t>
      </w:r>
      <w:r w:rsidR="00DB5165">
        <w:rPr>
          <w:rFonts w:ascii="Georgia" w:eastAsia="Calibri" w:hAnsi="Georgia"/>
          <w:color w:val="585756"/>
          <w:sz w:val="21"/>
          <w:szCs w:val="22"/>
        </w:rPr>
        <w:t xml:space="preserve">/12/2023 à </w:t>
      </w:r>
      <w:proofErr w:type="gramStart"/>
      <w:r w:rsidR="00DB5165">
        <w:rPr>
          <w:rFonts w:ascii="Georgia" w:eastAsia="Calibri" w:hAnsi="Georgia"/>
          <w:color w:val="585756"/>
          <w:sz w:val="21"/>
          <w:szCs w:val="22"/>
        </w:rPr>
        <w:t>10</w:t>
      </w:r>
      <w:r w:rsidRPr="00A05A7D">
        <w:rPr>
          <w:rFonts w:ascii="Georgia" w:eastAsia="Calibri" w:hAnsi="Georgia"/>
          <w:color w:val="585756"/>
          <w:sz w:val="21"/>
          <w:szCs w:val="22"/>
        </w:rPr>
        <w:t xml:space="preserve">  heures</w:t>
      </w:r>
      <w:proofErr w:type="gramEnd"/>
      <w:r w:rsidRPr="00A05A7D">
        <w:rPr>
          <w:rFonts w:ascii="Georgia" w:eastAsia="Calibri" w:hAnsi="Georgia"/>
          <w:color w:val="585756"/>
          <w:sz w:val="21"/>
          <w:szCs w:val="22"/>
        </w:rPr>
        <w:t>. L’ouverture des offres est publique.</w:t>
      </w:r>
    </w:p>
    <w:p w14:paraId="00C94D58" w14:textId="1B1280BC" w:rsidR="002E6840" w:rsidRPr="00A05A7D" w:rsidRDefault="002E6840" w:rsidP="00A05A7D">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8" w:name="_Ref233177124"/>
      <w:bookmarkStart w:id="89" w:name="_Ref233177126"/>
      <w:bookmarkStart w:id="90" w:name="_Toc257380489"/>
      <w:bookmarkStart w:id="91" w:name="_Toc260134208"/>
      <w:bookmarkStart w:id="92" w:name="_Toc364253078"/>
      <w:bookmarkStart w:id="93" w:name="_Toc150246310"/>
      <w:proofErr w:type="spellStart"/>
      <w:r>
        <w:t>Sélection</w:t>
      </w:r>
      <w:proofErr w:type="spellEnd"/>
      <w:r>
        <w:t xml:space="preserve"> des </w:t>
      </w:r>
      <w:proofErr w:type="spellStart"/>
      <w:r>
        <w:t>soumissionnaires</w:t>
      </w:r>
      <w:bookmarkEnd w:id="93"/>
      <w:proofErr w:type="spellEnd"/>
    </w:p>
    <w:p w14:paraId="76EF576F"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 Articles 66 – 80 de la Loi </w:t>
      </w:r>
      <w:proofErr w:type="gramStart"/>
      <w:r w:rsidRPr="00602197">
        <w:rPr>
          <w:rFonts w:cs="Arial"/>
          <w:i/>
          <w:sz w:val="18"/>
          <w:szCs w:val="18"/>
          <w:highlight w:val="lightGray"/>
        </w:rPr>
        <w:t>;  Articles</w:t>
      </w:r>
      <w:proofErr w:type="gramEnd"/>
      <w:r w:rsidRPr="00602197">
        <w:rPr>
          <w:rFonts w:cs="Arial"/>
          <w:i/>
          <w:sz w:val="18"/>
          <w:szCs w:val="18"/>
          <w:highlight w:val="lightGray"/>
        </w:rPr>
        <w:t xml:space="preserve"> 59 à 74 AR 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4" w:name="_Toc150246311"/>
      <w:r>
        <w:t>Motifs d’exclusion</w:t>
      </w:r>
      <w:bookmarkEnd w:id="94"/>
    </w:p>
    <w:p w14:paraId="5A19EA26"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Articles 52 et 69 de la Loi ; Article </w:t>
      </w:r>
      <w:proofErr w:type="gramStart"/>
      <w:r w:rsidRPr="00602197">
        <w:rPr>
          <w:rFonts w:cs="Arial"/>
          <w:i/>
          <w:sz w:val="18"/>
          <w:szCs w:val="18"/>
          <w:highlight w:val="lightGray"/>
        </w:rPr>
        <w:t>51  de</w:t>
      </w:r>
      <w:proofErr w:type="gramEnd"/>
      <w:r w:rsidRPr="00602197">
        <w:rPr>
          <w:rFonts w:cs="Arial"/>
          <w:i/>
          <w:sz w:val="18"/>
          <w:szCs w:val="18"/>
          <w:highlight w:val="lightGray"/>
        </w:rPr>
        <w:t xml:space="preserve"> l’AR du 18.04.2017</w:t>
      </w:r>
    </w:p>
    <w:p w14:paraId="2A818361"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1D8A584A"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lastRenderedPageBreak/>
        <w:t xml:space="preserve">Par le dépôt de son offre </w:t>
      </w:r>
      <w:r w:rsidRPr="00A05A7D">
        <w:rPr>
          <w:rFonts w:ascii="Georgia" w:eastAsia="Calibri" w:hAnsi="Georgia"/>
          <w:b/>
          <w:bCs/>
          <w:color w:val="FF0000"/>
          <w:sz w:val="21"/>
          <w:szCs w:val="22"/>
          <w:u w:val="single"/>
        </w:rPr>
        <w:t>accompagné du document unique de marché européen (DUME)</w:t>
      </w:r>
      <w:r w:rsidRPr="00CC3AB9">
        <w:rPr>
          <w:rFonts w:ascii="Georgia" w:eastAsia="Calibri" w:hAnsi="Georgia"/>
          <w:color w:val="585756"/>
          <w:sz w:val="21"/>
          <w:szCs w:val="22"/>
        </w:rPr>
        <w:t>, le soumissionnaire déclare officiellement sur l’honneur :</w:t>
      </w:r>
    </w:p>
    <w:p w14:paraId="2A9DE0E0" w14:textId="77777777"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CC3AB9">
        <w:rPr>
          <w:rFonts w:ascii="Georgia" w:eastAsia="Calibri" w:hAnsi="Georgia"/>
          <w:color w:val="585756"/>
          <w:sz w:val="21"/>
          <w:szCs w:val="22"/>
        </w:rPr>
        <w:t>exclusion;</w:t>
      </w:r>
      <w:proofErr w:type="gramEnd"/>
    </w:p>
    <w:p w14:paraId="05C8CDCB" w14:textId="77777777"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CC3AB9">
        <w:rPr>
          <w:rFonts w:ascii="Georgia" w:eastAsia="Calibri" w:hAnsi="Georgia"/>
          <w:color w:val="585756"/>
          <w:sz w:val="21"/>
          <w:szCs w:val="22"/>
        </w:rPr>
        <w:t>marché;</w:t>
      </w:r>
      <w:proofErr w:type="gramEnd"/>
    </w:p>
    <w:p w14:paraId="038B9E38" w14:textId="77777777" w:rsidR="003775C7" w:rsidRDefault="003775C7" w:rsidP="003775C7">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8" w:history="1">
        <w:r w:rsidRPr="001149CE">
          <w:rPr>
            <w:rStyle w:val="Lienhypertexte"/>
            <w:kern w:val="18"/>
            <w:sz w:val="20"/>
          </w:rPr>
          <w:t>https://ec.europa.eu/tools/espd/filter</w:t>
        </w:r>
      </w:hyperlink>
    </w:p>
    <w:p w14:paraId="53593DE1" w14:textId="5F69DE15"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proofErr w:type="gramStart"/>
      <w:r w:rsidRPr="00CC3AB9">
        <w:rPr>
          <w:rFonts w:ascii="Georgia" w:eastAsia="Calibri" w:hAnsi="Georgia"/>
          <w:color w:val="585756"/>
          <w:sz w:val="21"/>
          <w:szCs w:val="22"/>
        </w:rPr>
        <w:t>demandera  au</w:t>
      </w:r>
      <w:proofErr w:type="gramEnd"/>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6060D20F" w:rsidR="009804F1" w:rsidRPr="00A05A7D" w:rsidRDefault="003775C7" w:rsidP="009804F1">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49AC413" w14:textId="77777777" w:rsidR="00A05A7D" w:rsidRPr="00A05A7D" w:rsidRDefault="002E6840" w:rsidP="00273DDF">
      <w:pPr>
        <w:pStyle w:val="Titre4"/>
        <w:keepLines w:val="0"/>
        <w:widowControl w:val="0"/>
        <w:tabs>
          <w:tab w:val="num" w:pos="864"/>
        </w:tabs>
        <w:suppressAutoHyphens/>
        <w:spacing w:before="120" w:after="120" w:line="240" w:lineRule="auto"/>
        <w:rPr>
          <w:rFonts w:cs="Arial"/>
          <w:i/>
          <w:sz w:val="18"/>
          <w:szCs w:val="18"/>
        </w:rPr>
      </w:pPr>
      <w:bookmarkStart w:id="95" w:name="_Toc150246312"/>
      <w:r>
        <w:t>Critères de sélection</w:t>
      </w:r>
      <w:bookmarkEnd w:id="95"/>
      <w:r>
        <w:t xml:space="preserve"> </w:t>
      </w:r>
    </w:p>
    <w:p w14:paraId="2108520F" w14:textId="0A66CB88" w:rsidR="002E6840" w:rsidRPr="00A05A7D" w:rsidRDefault="002E6840" w:rsidP="00A05A7D">
      <w:pPr>
        <w:pStyle w:val="Titre4"/>
        <w:keepLines w:val="0"/>
        <w:widowControl w:val="0"/>
        <w:numPr>
          <w:ilvl w:val="0"/>
          <w:numId w:val="0"/>
        </w:numPr>
        <w:suppressAutoHyphens/>
        <w:spacing w:before="120" w:after="120" w:line="240" w:lineRule="auto"/>
        <w:rPr>
          <w:rFonts w:cs="Arial"/>
          <w:i/>
          <w:sz w:val="18"/>
          <w:szCs w:val="18"/>
        </w:rPr>
      </w:pPr>
      <w:bookmarkStart w:id="96" w:name="_Toc150246313"/>
      <w:r w:rsidRPr="00A05A7D">
        <w:rPr>
          <w:rFonts w:cs="Arial"/>
          <w:i/>
          <w:sz w:val="18"/>
          <w:szCs w:val="18"/>
        </w:rPr>
        <w:t>Article 71 de la Loi et art. 65-74 de l’AR du 18 avril 2017</w:t>
      </w:r>
      <w:bookmarkEnd w:id="96"/>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36F0DAC9" w14:textId="77777777"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48A4CE2" w14:textId="07506DE8" w:rsidR="002E6840" w:rsidRPr="00720D06" w:rsidRDefault="00720D06" w:rsidP="002E6840">
      <w:pPr>
        <w:autoSpaceDE w:val="0"/>
        <w:autoSpaceDN w:val="0"/>
        <w:adjustRightInd w:val="0"/>
        <w:jc w:val="both"/>
        <w:rPr>
          <w:b/>
          <w:bCs/>
          <w:kern w:val="18"/>
          <w:sz w:val="20"/>
        </w:rPr>
      </w:pPr>
      <w:r w:rsidRPr="00720D06">
        <w:rPr>
          <w:b/>
          <w:bCs/>
          <w:kern w:val="18"/>
          <w:sz w:val="20"/>
        </w:rPr>
        <w:t>Critère de capacité financière</w:t>
      </w:r>
    </w:p>
    <w:p w14:paraId="79A7E906" w14:textId="289CA9C1" w:rsidR="00720D06" w:rsidRDefault="00720D06" w:rsidP="002E6840">
      <w:pPr>
        <w:autoSpaceDE w:val="0"/>
        <w:autoSpaceDN w:val="0"/>
        <w:adjustRightInd w:val="0"/>
        <w:jc w:val="both"/>
        <w:rPr>
          <w:kern w:val="18"/>
          <w:sz w:val="20"/>
        </w:rPr>
      </w:pPr>
      <w:r>
        <w:rPr>
          <w:kern w:val="18"/>
          <w:sz w:val="20"/>
        </w:rPr>
        <w:t>Le soumissionnaire doit justifier d’un chiffre d’affaires moyen minimum sur les trois dernières années de 200.000 €. Afin de démontrer son chiffre d’affaires, le soumissionnaire remet :</w:t>
      </w:r>
    </w:p>
    <w:p w14:paraId="52A1C618" w14:textId="398279D3" w:rsidR="00720D06" w:rsidRDefault="00720D06" w:rsidP="00720D06">
      <w:pPr>
        <w:pStyle w:val="Paragraphedeliste"/>
        <w:numPr>
          <w:ilvl w:val="1"/>
          <w:numId w:val="58"/>
        </w:numPr>
        <w:autoSpaceDE w:val="0"/>
        <w:autoSpaceDN w:val="0"/>
        <w:adjustRightInd w:val="0"/>
        <w:jc w:val="both"/>
        <w:rPr>
          <w:kern w:val="18"/>
          <w:sz w:val="20"/>
        </w:rPr>
      </w:pPr>
      <w:r>
        <w:rPr>
          <w:kern w:val="18"/>
          <w:sz w:val="20"/>
        </w:rPr>
        <w:t>Une déclaration sur le chiffre d’affaires de trois dernières années ;</w:t>
      </w:r>
    </w:p>
    <w:p w14:paraId="56F14007" w14:textId="2BF71EBD" w:rsidR="00720D06" w:rsidRDefault="00720D06" w:rsidP="00720D06">
      <w:pPr>
        <w:pStyle w:val="Paragraphedeliste"/>
        <w:numPr>
          <w:ilvl w:val="1"/>
          <w:numId w:val="58"/>
        </w:numPr>
        <w:autoSpaceDE w:val="0"/>
        <w:autoSpaceDN w:val="0"/>
        <w:adjustRightInd w:val="0"/>
        <w:jc w:val="both"/>
        <w:rPr>
          <w:kern w:val="18"/>
          <w:sz w:val="20"/>
        </w:rPr>
      </w:pPr>
      <w:r>
        <w:rPr>
          <w:kern w:val="18"/>
          <w:sz w:val="20"/>
        </w:rPr>
        <w:t>Les comptes annuels approuvés (en ce compris le compte de résultats) des 3 dernières années.</w:t>
      </w:r>
    </w:p>
    <w:p w14:paraId="68C15ECC" w14:textId="6A5A4F04" w:rsidR="00720D06" w:rsidRPr="00FD1272" w:rsidRDefault="00720D06" w:rsidP="00720D06">
      <w:pPr>
        <w:autoSpaceDE w:val="0"/>
        <w:autoSpaceDN w:val="0"/>
        <w:adjustRightInd w:val="0"/>
        <w:jc w:val="both"/>
        <w:rPr>
          <w:b/>
          <w:bCs/>
          <w:kern w:val="18"/>
          <w:sz w:val="20"/>
        </w:rPr>
      </w:pPr>
      <w:r w:rsidRPr="00FD1272">
        <w:rPr>
          <w:b/>
          <w:bCs/>
          <w:kern w:val="18"/>
          <w:sz w:val="20"/>
        </w:rPr>
        <w:t>Critère de capacité technique</w:t>
      </w:r>
    </w:p>
    <w:p w14:paraId="413CFE20" w14:textId="514B6B75" w:rsidR="00720D06" w:rsidRPr="00720D06" w:rsidRDefault="00720D06" w:rsidP="00720D06">
      <w:pPr>
        <w:autoSpaceDE w:val="0"/>
        <w:autoSpaceDN w:val="0"/>
        <w:adjustRightInd w:val="0"/>
        <w:jc w:val="both"/>
        <w:rPr>
          <w:kern w:val="18"/>
          <w:sz w:val="20"/>
        </w:rPr>
      </w:pPr>
      <w:r>
        <w:rPr>
          <w:kern w:val="18"/>
          <w:sz w:val="20"/>
        </w:rPr>
        <w:t xml:space="preserve">L’écosystème </w:t>
      </w:r>
      <w:r w:rsidR="00FD1272">
        <w:rPr>
          <w:kern w:val="18"/>
          <w:sz w:val="20"/>
        </w:rPr>
        <w:t>entrepreneurial</w:t>
      </w:r>
      <w:r>
        <w:rPr>
          <w:kern w:val="18"/>
          <w:sz w:val="20"/>
        </w:rPr>
        <w:t xml:space="preserve"> en RDC étant constamment en pleine évolution, il est difficile de fixer des critères de sélection qualitative technique avec suffisamment de pertinence.</w:t>
      </w:r>
      <w:r>
        <w:rPr>
          <w:kern w:val="18"/>
          <w:sz w:val="20"/>
        </w:rPr>
        <w:br/>
        <w:t>Le pouvoir adjudicateur décide donc de ne pas en prévoir mais de plutôt prévoir un seuil minimum sur l’offre technique qui reposera sur l’expertise du bureau en tant que bureau mais aussi sur sa c</w:t>
      </w:r>
      <w:r w:rsidR="00FD1272">
        <w:rPr>
          <w:kern w:val="18"/>
          <w:sz w:val="20"/>
        </w:rPr>
        <w:t>apacité à mobiliser des experts de qualité.</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97" w:name="_Toc150246314"/>
      <w:r>
        <w:t>Modalités d'examen des offres et régularité des offres</w:t>
      </w:r>
      <w:bookmarkEnd w:id="97"/>
    </w:p>
    <w:p w14:paraId="3F20CFF2"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Art.75-76. </w:t>
      </w:r>
      <w:proofErr w:type="gramStart"/>
      <w:r w:rsidRPr="00602197">
        <w:rPr>
          <w:rFonts w:cs="Arial"/>
          <w:i/>
          <w:sz w:val="18"/>
          <w:szCs w:val="18"/>
          <w:highlight w:val="lightGray"/>
        </w:rPr>
        <w:t>de</w:t>
      </w:r>
      <w:proofErr w:type="gramEnd"/>
      <w:r w:rsidRPr="00602197">
        <w:rPr>
          <w:rFonts w:cs="Arial"/>
          <w:i/>
          <w:sz w:val="18"/>
          <w:szCs w:val="18"/>
          <w:highlight w:val="lightGray"/>
        </w:rPr>
        <w:t xml:space="preserve"> l’AR du 18 avril 2017</w:t>
      </w:r>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2E5984F6"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FD1272" w:rsidRPr="002E6840">
        <w:rPr>
          <w:kern w:val="18"/>
          <w:szCs w:val="21"/>
        </w:rPr>
        <w:t>suivantes :</w:t>
      </w:r>
    </w:p>
    <w:p w14:paraId="12638A5C" w14:textId="07ECE75B"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FD1272"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19" w:history="1">
        <w:r w:rsidRPr="002E6840">
          <w:rPr>
            <w:kern w:val="18"/>
            <w:szCs w:val="21"/>
          </w:rPr>
          <w:t>articles 38</w:t>
        </w:r>
      </w:hyperlink>
      <w:r w:rsidRPr="002E6840">
        <w:rPr>
          <w:kern w:val="18"/>
          <w:szCs w:val="21"/>
        </w:rPr>
        <w:t xml:space="preserve">, </w:t>
      </w:r>
      <w:hyperlink r:id="rId20" w:history="1">
        <w:r w:rsidRPr="002E6840">
          <w:rPr>
            <w:kern w:val="18"/>
            <w:szCs w:val="21"/>
          </w:rPr>
          <w:t>42</w:t>
        </w:r>
      </w:hyperlink>
      <w:r w:rsidRPr="002E6840">
        <w:rPr>
          <w:kern w:val="18"/>
          <w:szCs w:val="21"/>
        </w:rPr>
        <w:t xml:space="preserve">, </w:t>
      </w:r>
      <w:hyperlink r:id="rId21" w:history="1">
        <w:r w:rsidRPr="002E6840">
          <w:rPr>
            <w:kern w:val="18"/>
            <w:szCs w:val="21"/>
          </w:rPr>
          <w:t>43</w:t>
        </w:r>
      </w:hyperlink>
      <w:r w:rsidRPr="002E6840">
        <w:rPr>
          <w:kern w:val="18"/>
          <w:szCs w:val="21"/>
        </w:rPr>
        <w:t xml:space="preserve">, § 1er, </w:t>
      </w:r>
      <w:hyperlink r:id="rId22" w:history="1">
        <w:r w:rsidRPr="002E6840">
          <w:rPr>
            <w:kern w:val="18"/>
            <w:szCs w:val="21"/>
          </w:rPr>
          <w:t>44</w:t>
        </w:r>
      </w:hyperlink>
      <w:r w:rsidRPr="002E6840">
        <w:rPr>
          <w:kern w:val="18"/>
          <w:szCs w:val="21"/>
        </w:rPr>
        <w:t xml:space="preserve">, </w:t>
      </w:r>
      <w:hyperlink r:id="rId23" w:history="1">
        <w:r w:rsidRPr="002E6840">
          <w:rPr>
            <w:kern w:val="18"/>
            <w:szCs w:val="21"/>
          </w:rPr>
          <w:t>48</w:t>
        </w:r>
      </w:hyperlink>
      <w:r w:rsidRPr="002E6840">
        <w:rPr>
          <w:kern w:val="18"/>
          <w:szCs w:val="21"/>
        </w:rPr>
        <w:t xml:space="preserve">, § 2, alinéa 1er, </w:t>
      </w:r>
      <w:hyperlink r:id="rId24" w:history="1">
        <w:r w:rsidRPr="002E6840">
          <w:rPr>
            <w:kern w:val="18"/>
            <w:szCs w:val="21"/>
          </w:rPr>
          <w:t>54</w:t>
        </w:r>
      </w:hyperlink>
      <w:r w:rsidRPr="002E6840">
        <w:rPr>
          <w:kern w:val="18"/>
          <w:szCs w:val="21"/>
        </w:rPr>
        <w:t xml:space="preserve">, § 2, </w:t>
      </w:r>
      <w:hyperlink r:id="rId25" w:history="1">
        <w:r w:rsidRPr="002E6840">
          <w:rPr>
            <w:kern w:val="18"/>
            <w:szCs w:val="21"/>
          </w:rPr>
          <w:t>55</w:t>
        </w:r>
      </w:hyperlink>
      <w:r w:rsidRPr="002E6840">
        <w:rPr>
          <w:kern w:val="18"/>
          <w:szCs w:val="21"/>
        </w:rPr>
        <w:t xml:space="preserve">, </w:t>
      </w:r>
      <w:hyperlink r:id="rId26" w:history="1">
        <w:r w:rsidRPr="002E6840">
          <w:rPr>
            <w:kern w:val="18"/>
            <w:szCs w:val="21"/>
          </w:rPr>
          <w:t>83</w:t>
        </w:r>
      </w:hyperlink>
      <w:r w:rsidRPr="002E6840">
        <w:rPr>
          <w:kern w:val="18"/>
          <w:szCs w:val="21"/>
        </w:rPr>
        <w:t xml:space="preserve"> et </w:t>
      </w:r>
      <w:hyperlink r:id="rId27" w:history="1">
        <w:r w:rsidRPr="002E6840">
          <w:rPr>
            <w:kern w:val="18"/>
            <w:szCs w:val="21"/>
          </w:rPr>
          <w:t>92</w:t>
        </w:r>
      </w:hyperlink>
      <w:r w:rsidRPr="002E6840">
        <w:rPr>
          <w:kern w:val="18"/>
          <w:szCs w:val="21"/>
        </w:rPr>
        <w:t xml:space="preserve"> de l’AR du 18 avril 2017 et par l'</w:t>
      </w:r>
      <w:hyperlink r:id="rId28"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8" w:name="Art.51"/>
      <w:r>
        <w:rPr>
          <w:b/>
          <w:kern w:val="18"/>
          <w:sz w:val="20"/>
        </w:rPr>
        <w:t>-Tourniquet</w:t>
      </w:r>
      <w:r>
        <w:rPr>
          <w:kern w:val="18"/>
          <w:sz w:val="20"/>
        </w:rPr>
        <w:t xml:space="preserve"> (</w:t>
      </w:r>
      <w:hyperlink r:id="rId29" w:anchor="Art.50" w:history="1">
        <w:r>
          <w:rPr>
            <w:kern w:val="18"/>
            <w:sz w:val="20"/>
          </w:rPr>
          <w:t>Art.</w:t>
        </w:r>
      </w:hyperlink>
      <w:r>
        <w:rPr>
          <w:kern w:val="18"/>
          <w:sz w:val="20"/>
        </w:rPr>
        <w:t xml:space="preserve"> </w:t>
      </w:r>
      <w:hyperlink r:id="rId30" w:anchor="LNK0024" w:history="1">
        <w:r>
          <w:rPr>
            <w:kern w:val="18"/>
            <w:sz w:val="20"/>
          </w:rPr>
          <w:t>51</w:t>
        </w:r>
      </w:hyperlink>
      <w:r>
        <w:rPr>
          <w:kern w:val="18"/>
          <w:sz w:val="20"/>
        </w:rPr>
        <w:t xml:space="preserve"> A.R. 18/04/2017)</w:t>
      </w:r>
      <w:bookmarkEnd w:id="98"/>
      <w:r>
        <w:rPr>
          <w:kern w:val="18"/>
          <w:sz w:val="20"/>
        </w:rPr>
        <w:t xml:space="preserve">. </w:t>
      </w:r>
    </w:p>
    <w:p w14:paraId="3BF84104" w14:textId="7D677C63" w:rsidR="008B3346" w:rsidRDefault="008B3346" w:rsidP="008B3346">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061BD43C" w:rsidR="002E6840" w:rsidRPr="00A05A7D" w:rsidRDefault="008B3346" w:rsidP="00A05A7D">
      <w:r>
        <w:rPr>
          <w:kern w:val="18"/>
          <w:sz w:val="20"/>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2E6840" w:rsidRDefault="002E6840" w:rsidP="002E6840">
      <w:pPr>
        <w:pStyle w:val="Titre4"/>
        <w:keepLines w:val="0"/>
        <w:widowControl w:val="0"/>
        <w:numPr>
          <w:ilvl w:val="3"/>
          <w:numId w:val="5"/>
        </w:numPr>
        <w:tabs>
          <w:tab w:val="num" w:pos="864"/>
        </w:tabs>
        <w:suppressAutoHyphens/>
        <w:spacing w:before="120" w:after="120" w:line="240" w:lineRule="auto"/>
      </w:pPr>
      <w:bookmarkStart w:id="99" w:name="_Toc150246315"/>
      <w:r>
        <w:t>Critères d’attribution ♣</w:t>
      </w:r>
      <w:bookmarkEnd w:id="99"/>
    </w:p>
    <w:p w14:paraId="0C2D8B17" w14:textId="77777777" w:rsidR="002E6840" w:rsidRPr="00602197" w:rsidRDefault="002E6840" w:rsidP="002E6840">
      <w:pPr>
        <w:pStyle w:val="Corpsdetexte"/>
        <w:rPr>
          <w:rFonts w:ascii="Georgia" w:hAnsi="Georgia" w:cs="Arial"/>
          <w:i/>
          <w:sz w:val="21"/>
          <w:szCs w:val="21"/>
          <w:highlight w:val="lightGray"/>
        </w:rPr>
      </w:pPr>
      <w:r w:rsidRPr="00602197">
        <w:rPr>
          <w:rFonts w:ascii="Georgia" w:hAnsi="Georgia" w:cs="Arial"/>
          <w:i/>
          <w:sz w:val="21"/>
          <w:szCs w:val="21"/>
          <w:highlight w:val="lightGray"/>
        </w:rPr>
        <w:t>Article 81-82 de la loi du 17 juin 2016</w:t>
      </w:r>
    </w:p>
    <w:p w14:paraId="4A3DA79A" w14:textId="22BFA7A6" w:rsidR="002E6840" w:rsidRPr="00602197" w:rsidRDefault="002E6840" w:rsidP="002E6840">
      <w:pPr>
        <w:pStyle w:val="Corpsdetexte"/>
        <w:rPr>
          <w:rFonts w:ascii="Georgia" w:hAnsi="Georgia"/>
          <w:color w:val="404040"/>
          <w:sz w:val="21"/>
          <w:szCs w:val="21"/>
        </w:rPr>
      </w:pPr>
      <w:r w:rsidRPr="00602197">
        <w:rPr>
          <w:rFonts w:ascii="Georgia" w:hAnsi="Georgia"/>
          <w:color w:val="404040"/>
          <w:sz w:val="21"/>
          <w:szCs w:val="21"/>
        </w:rPr>
        <w:t xml:space="preserve">Le pouvoir adjudicateur choisira l’offre régulière qu’il juge économiquement la plus avantageuse en tenant compte des critères </w:t>
      </w:r>
      <w:proofErr w:type="gramStart"/>
      <w:r w:rsidRPr="00602197">
        <w:rPr>
          <w:rFonts w:ascii="Georgia" w:hAnsi="Georgia"/>
          <w:color w:val="404040"/>
          <w:sz w:val="21"/>
          <w:szCs w:val="21"/>
        </w:rPr>
        <w:t>suivants:</w:t>
      </w:r>
      <w:proofErr w:type="gramEnd"/>
    </w:p>
    <w:p w14:paraId="6B992E21" w14:textId="08DB75E4" w:rsidR="00FD1272" w:rsidRDefault="00FD1272" w:rsidP="002E6840">
      <w:pPr>
        <w:pStyle w:val="Corpsdetexte"/>
        <w:numPr>
          <w:ilvl w:val="1"/>
          <w:numId w:val="7"/>
        </w:numPr>
        <w:rPr>
          <w:rFonts w:ascii="Georgia" w:hAnsi="Georgia"/>
          <w:color w:val="404040"/>
          <w:sz w:val="21"/>
          <w:szCs w:val="21"/>
        </w:rPr>
      </w:pPr>
      <w:r>
        <w:rPr>
          <w:rFonts w:ascii="Georgia" w:hAnsi="Georgia"/>
          <w:color w:val="404040"/>
          <w:sz w:val="21"/>
          <w:szCs w:val="21"/>
        </w:rPr>
        <w:t>Méthodologie /70</w:t>
      </w:r>
    </w:p>
    <w:p w14:paraId="57007B3C" w14:textId="5267AC9A" w:rsidR="00FD1272" w:rsidRDefault="00FD1272" w:rsidP="00FD1272">
      <w:pPr>
        <w:pStyle w:val="Corpsdetexte"/>
        <w:numPr>
          <w:ilvl w:val="2"/>
          <w:numId w:val="7"/>
        </w:numPr>
        <w:rPr>
          <w:rFonts w:ascii="Georgia" w:hAnsi="Georgia"/>
          <w:color w:val="404040"/>
          <w:sz w:val="21"/>
          <w:szCs w:val="21"/>
        </w:rPr>
      </w:pPr>
      <w:r>
        <w:rPr>
          <w:rFonts w:ascii="Georgia" w:hAnsi="Georgia"/>
          <w:color w:val="404040"/>
          <w:sz w:val="21"/>
          <w:szCs w:val="21"/>
        </w:rPr>
        <w:t>Compréhension de la mission /20</w:t>
      </w:r>
    </w:p>
    <w:p w14:paraId="20037769" w14:textId="10BAF113" w:rsidR="00FD1272" w:rsidRDefault="00FD1272" w:rsidP="00FD1272">
      <w:pPr>
        <w:pStyle w:val="Corpsdetexte"/>
        <w:numPr>
          <w:ilvl w:val="2"/>
          <w:numId w:val="7"/>
        </w:numPr>
        <w:rPr>
          <w:rFonts w:ascii="Georgia" w:hAnsi="Georgia"/>
          <w:color w:val="404040"/>
          <w:sz w:val="21"/>
          <w:szCs w:val="21"/>
        </w:rPr>
      </w:pPr>
      <w:r>
        <w:rPr>
          <w:rFonts w:ascii="Georgia" w:hAnsi="Georgia"/>
          <w:color w:val="404040"/>
          <w:sz w:val="21"/>
          <w:szCs w:val="21"/>
        </w:rPr>
        <w:t>Stratégie de mise en œuvre /30</w:t>
      </w:r>
    </w:p>
    <w:p w14:paraId="3482B0A9" w14:textId="260699C8" w:rsidR="00FD1272" w:rsidRDefault="00FD1272" w:rsidP="00FD1272">
      <w:pPr>
        <w:pStyle w:val="Corpsdetexte"/>
        <w:numPr>
          <w:ilvl w:val="2"/>
          <w:numId w:val="7"/>
        </w:numPr>
        <w:rPr>
          <w:rFonts w:ascii="Georgia" w:hAnsi="Georgia"/>
          <w:color w:val="404040"/>
          <w:sz w:val="21"/>
          <w:szCs w:val="21"/>
        </w:rPr>
      </w:pPr>
      <w:r>
        <w:rPr>
          <w:rFonts w:ascii="Georgia" w:hAnsi="Georgia"/>
          <w:color w:val="404040"/>
          <w:sz w:val="21"/>
          <w:szCs w:val="21"/>
        </w:rPr>
        <w:t>Profil des experts principaux et e</w:t>
      </w:r>
      <w:r w:rsidRPr="00FD1272">
        <w:rPr>
          <w:rFonts w:ascii="Georgia" w:hAnsi="Georgia"/>
          <w:color w:val="404040"/>
          <w:sz w:val="21"/>
          <w:szCs w:val="21"/>
        </w:rPr>
        <w:t>xpertise mobilisable</w:t>
      </w:r>
      <w:r>
        <w:rPr>
          <w:rFonts w:ascii="Georgia" w:hAnsi="Georgia"/>
          <w:color w:val="404040"/>
          <w:sz w:val="21"/>
          <w:szCs w:val="21"/>
        </w:rPr>
        <w:t>/</w:t>
      </w:r>
      <w:r w:rsidRPr="00FD1272">
        <w:rPr>
          <w:rFonts w:ascii="Georgia" w:hAnsi="Georgia"/>
          <w:color w:val="404040"/>
          <w:sz w:val="21"/>
          <w:szCs w:val="21"/>
        </w:rPr>
        <w:t>réseau</w:t>
      </w:r>
      <w:r>
        <w:rPr>
          <w:rFonts w:ascii="Georgia" w:hAnsi="Georgia"/>
          <w:color w:val="404040"/>
          <w:sz w:val="21"/>
          <w:szCs w:val="21"/>
        </w:rPr>
        <w:t xml:space="preserve"> /20</w:t>
      </w:r>
    </w:p>
    <w:p w14:paraId="2F5F5970" w14:textId="6636400E" w:rsidR="005334BB" w:rsidRPr="00FD1272" w:rsidRDefault="005334BB" w:rsidP="005334BB">
      <w:pPr>
        <w:pStyle w:val="Corpsdetexte"/>
        <w:ind w:left="2160"/>
        <w:rPr>
          <w:rFonts w:ascii="Georgia" w:hAnsi="Georgia"/>
          <w:color w:val="404040"/>
          <w:sz w:val="21"/>
          <w:szCs w:val="21"/>
        </w:rPr>
      </w:pPr>
      <w:r>
        <w:rPr>
          <w:rFonts w:ascii="Georgia" w:hAnsi="Georgia"/>
          <w:color w:val="404040"/>
          <w:sz w:val="21"/>
          <w:szCs w:val="21"/>
        </w:rPr>
        <w:lastRenderedPageBreak/>
        <w:t>Le profil des experts principaux de référence est : Master, « Bac + 5 », expérience générale de 2 ans, 1 an d’expérience spécifique.</w:t>
      </w:r>
    </w:p>
    <w:p w14:paraId="43BE7343" w14:textId="0CB2DFBE" w:rsidR="002E6840" w:rsidRPr="00602197" w:rsidRDefault="002E6840" w:rsidP="002E6840">
      <w:pPr>
        <w:pStyle w:val="Corpsdetexte"/>
        <w:numPr>
          <w:ilvl w:val="1"/>
          <w:numId w:val="7"/>
        </w:numPr>
        <w:rPr>
          <w:rFonts w:ascii="Georgia" w:hAnsi="Georgia"/>
          <w:color w:val="404040"/>
          <w:sz w:val="21"/>
          <w:szCs w:val="21"/>
        </w:rPr>
      </w:pPr>
      <w:r w:rsidRPr="00602197">
        <w:rPr>
          <w:rFonts w:ascii="Georgia" w:hAnsi="Georgia"/>
          <w:color w:val="404040"/>
          <w:sz w:val="21"/>
          <w:szCs w:val="21"/>
        </w:rPr>
        <w:t xml:space="preserve">Prix </w:t>
      </w:r>
      <w:r w:rsidR="00FD1272">
        <w:rPr>
          <w:rFonts w:ascii="Georgia" w:hAnsi="Georgia"/>
          <w:color w:val="404040"/>
          <w:sz w:val="21"/>
          <w:szCs w:val="21"/>
        </w:rPr>
        <w:t>/30</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100" w:name="_Toc150246316"/>
      <w:r>
        <w:t>Cotation finale</w:t>
      </w:r>
      <w:bookmarkEnd w:id="100"/>
    </w:p>
    <w:p w14:paraId="6808039E" w14:textId="2A966684" w:rsidR="00FD1272"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5CD4CD1A" w:rsidR="002E6840"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L’évaluation des critères d’attribution se fera comme sui</w:t>
      </w:r>
      <w:r w:rsidR="008E7327">
        <w:rPr>
          <w:rFonts w:ascii="Georgia" w:eastAsia="DejaVu Sans" w:hAnsi="Georgia" w:cs="Tahoma"/>
          <w:color w:val="404040"/>
          <w:kern w:val="18"/>
          <w:sz w:val="21"/>
          <w:szCs w:val="21"/>
          <w:lang w:val="fr-FR"/>
        </w:rPr>
        <w:t>t :</w:t>
      </w:r>
    </w:p>
    <w:p w14:paraId="2135A0F3" w14:textId="03E4CE11" w:rsidR="0045170C" w:rsidRDefault="0045170C" w:rsidP="0045170C">
      <w:pPr>
        <w:pStyle w:val="BTCtextCTB"/>
        <w:numPr>
          <w:ilvl w:val="1"/>
          <w:numId w:val="58"/>
        </w:numPr>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Méthodologie ; Chaque sous critère est coté sur 20. </w:t>
      </w:r>
      <w:proofErr w:type="gramStart"/>
      <w:r w:rsidRPr="0045170C">
        <w:rPr>
          <w:rFonts w:ascii="Georgia" w:eastAsia="DejaVu Sans" w:hAnsi="Georgia" w:cs="Tahoma"/>
          <w:color w:val="404040"/>
          <w:kern w:val="18"/>
          <w:sz w:val="21"/>
          <w:szCs w:val="21"/>
          <w:lang w:val="fr-FR"/>
        </w:rPr>
        <w:t>les</w:t>
      </w:r>
      <w:proofErr w:type="gramEnd"/>
      <w:r w:rsidRPr="0045170C">
        <w:rPr>
          <w:rFonts w:ascii="Georgia" w:eastAsia="DejaVu Sans" w:hAnsi="Georgia" w:cs="Tahoma"/>
          <w:color w:val="404040"/>
          <w:kern w:val="18"/>
          <w:sz w:val="21"/>
          <w:szCs w:val="21"/>
          <w:lang w:val="fr-FR"/>
        </w:rPr>
        <w:t xml:space="preserve"> offres qui satisfont au critère demandé, sans plus, reçoivent 10/20. Celles qui apportent plus ou moins recevront, à hauteur </w:t>
      </w:r>
      <w:r>
        <w:rPr>
          <w:rFonts w:ascii="Georgia" w:eastAsia="DejaVu Sans" w:hAnsi="Georgia" w:cs="Tahoma"/>
          <w:color w:val="404040"/>
          <w:kern w:val="18"/>
          <w:sz w:val="21"/>
          <w:szCs w:val="21"/>
          <w:lang w:val="fr-FR"/>
        </w:rPr>
        <w:t xml:space="preserve">de 2 points par plus-value ou </w:t>
      </w:r>
      <w:proofErr w:type="spellStart"/>
      <w:r>
        <w:rPr>
          <w:rFonts w:ascii="Georgia" w:eastAsia="DejaVu Sans" w:hAnsi="Georgia" w:cs="Tahoma"/>
          <w:color w:val="404040"/>
          <w:kern w:val="18"/>
          <w:sz w:val="21"/>
          <w:szCs w:val="21"/>
          <w:lang w:val="fr-FR"/>
        </w:rPr>
        <w:t>moins value</w:t>
      </w:r>
      <w:proofErr w:type="spellEnd"/>
      <w:r>
        <w:rPr>
          <w:rFonts w:ascii="Georgia" w:eastAsia="DejaVu Sans" w:hAnsi="Georgia" w:cs="Tahoma"/>
          <w:color w:val="404040"/>
          <w:kern w:val="18"/>
          <w:sz w:val="21"/>
          <w:szCs w:val="21"/>
          <w:lang w:val="fr-FR"/>
        </w:rPr>
        <w:t>.</w:t>
      </w:r>
    </w:p>
    <w:p w14:paraId="61B10339" w14:textId="0A345539" w:rsidR="0045170C" w:rsidRDefault="0045170C" w:rsidP="0045170C">
      <w:pPr>
        <w:pStyle w:val="BTCtextCTB"/>
        <w:numPr>
          <w:ilvl w:val="1"/>
          <w:numId w:val="58"/>
        </w:numPr>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L’offre qui n’attendra pas 64/80 sera rejetée.</w:t>
      </w:r>
    </w:p>
    <w:p w14:paraId="2AEB2A53" w14:textId="56013D3F" w:rsidR="0045170C" w:rsidRDefault="0045170C" w:rsidP="0045170C">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critère prix sera évalué comme suit :</w:t>
      </w:r>
    </w:p>
    <w:p w14:paraId="10CB3C25" w14:textId="5CA21A4A" w:rsidR="008E7327" w:rsidRPr="0045170C" w:rsidRDefault="0045170C" w:rsidP="002E6840">
      <w:pPr>
        <w:pStyle w:val="BTCtextCTB"/>
        <w:numPr>
          <w:ilvl w:val="1"/>
          <w:numId w:val="58"/>
        </w:numPr>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Offre la moins </w:t>
      </w:r>
      <w:proofErr w:type="spellStart"/>
      <w:r>
        <w:rPr>
          <w:rFonts w:ascii="Georgia" w:eastAsia="DejaVu Sans" w:hAnsi="Georgia" w:cs="Tahoma"/>
          <w:color w:val="404040"/>
          <w:kern w:val="18"/>
          <w:sz w:val="21"/>
          <w:szCs w:val="21"/>
          <w:lang w:val="fr-FR"/>
        </w:rPr>
        <w:t>disante</w:t>
      </w:r>
      <w:proofErr w:type="spellEnd"/>
      <w:r>
        <w:rPr>
          <w:rFonts w:ascii="Georgia" w:eastAsia="DejaVu Sans" w:hAnsi="Georgia" w:cs="Tahoma"/>
          <w:color w:val="404040"/>
          <w:kern w:val="18"/>
          <w:sz w:val="21"/>
          <w:szCs w:val="21"/>
          <w:lang w:val="fr-FR"/>
        </w:rPr>
        <w:t xml:space="preserve"> /offre considérée*30 points.</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101" w:name="_Toc150246317"/>
      <w:r>
        <w:t>Attribution du marché</w:t>
      </w:r>
      <w:bookmarkEnd w:id="101"/>
    </w:p>
    <w:p w14:paraId="0398C9E9" w14:textId="77777777" w:rsidR="002E6840" w:rsidRPr="00602197" w:rsidRDefault="002E6840" w:rsidP="002E6840">
      <w:pPr>
        <w:pStyle w:val="Corpsdetexte"/>
        <w:rPr>
          <w:rFonts w:cs="Arial"/>
          <w:i/>
          <w:sz w:val="18"/>
          <w:szCs w:val="18"/>
          <w:highlight w:val="lightGray"/>
        </w:rPr>
      </w:pPr>
      <w:proofErr w:type="gramStart"/>
      <w:r w:rsidRPr="00602197">
        <w:rPr>
          <w:rFonts w:cs="Arial"/>
          <w:i/>
          <w:sz w:val="18"/>
          <w:szCs w:val="18"/>
          <w:highlight w:val="lightGray"/>
        </w:rPr>
        <w:t>Article  36</w:t>
      </w:r>
      <w:proofErr w:type="gramEnd"/>
      <w:r w:rsidRPr="00602197">
        <w:rPr>
          <w:rFonts w:cs="Arial"/>
          <w:i/>
          <w:sz w:val="18"/>
          <w:szCs w:val="18"/>
          <w:highlight w:val="lightGray"/>
        </w:rPr>
        <w:t xml:space="preserve"> et 81-82 de la Loi du 17.06.2016  </w:t>
      </w:r>
    </w:p>
    <w:p w14:paraId="1786938A" w14:textId="4EF9B6EE" w:rsidR="002E6840" w:rsidRPr="00602197" w:rsidRDefault="00FD1272" w:rsidP="002E6840">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w:t>
      </w:r>
      <w:r w:rsidR="002E6840" w:rsidRPr="00602197">
        <w:rPr>
          <w:rFonts w:ascii="Georgia" w:eastAsia="DejaVu Sans" w:hAnsi="Georgia" w:cs="Tahoma"/>
          <w:color w:val="404040"/>
          <w:kern w:val="18"/>
          <w:sz w:val="21"/>
          <w:szCs w:val="21"/>
          <w:lang w:val="fr-FR"/>
        </w:rPr>
        <w:t xml:space="preserve"> marché</w:t>
      </w:r>
      <w:r>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sera</w:t>
      </w:r>
      <w:r>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attribué</w:t>
      </w:r>
      <w:r>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au</w:t>
      </w:r>
      <w:r w:rsidR="0045170C">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soumissionnaire</w:t>
      </w:r>
      <w:r w:rsidR="0045170C">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qui a</w:t>
      </w:r>
      <w:r w:rsidR="0045170C">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rem</w:t>
      </w:r>
      <w:r>
        <w:rPr>
          <w:rFonts w:ascii="Georgia" w:eastAsia="DejaVu Sans" w:hAnsi="Georgia" w:cs="Tahoma"/>
          <w:color w:val="404040"/>
          <w:kern w:val="18"/>
          <w:sz w:val="21"/>
          <w:szCs w:val="21"/>
          <w:lang w:val="fr-FR"/>
        </w:rPr>
        <w:t>i</w:t>
      </w:r>
      <w:r w:rsidR="002E6840" w:rsidRPr="00602197">
        <w:rPr>
          <w:rFonts w:ascii="Georgia" w:eastAsia="DejaVu Sans" w:hAnsi="Georgia" w:cs="Tahoma"/>
          <w:color w:val="404040"/>
          <w:kern w:val="18"/>
          <w:sz w:val="21"/>
          <w:szCs w:val="21"/>
          <w:lang w:val="fr-FR"/>
        </w:rPr>
        <w:t>s l’offre régulière économiquement la plus avantageuse</w:t>
      </w:r>
      <w:r w:rsidR="0045170C">
        <w:rPr>
          <w:rFonts w:ascii="Georgia" w:eastAsia="DejaVu Sans" w:hAnsi="Georgia" w:cs="Tahoma"/>
          <w:color w:val="404040"/>
          <w:kern w:val="18"/>
          <w:sz w:val="21"/>
          <w:szCs w:val="21"/>
          <w:lang w:val="fr-FR"/>
        </w:rPr>
        <w:t>.</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678461BC" w:rsidR="009804F1" w:rsidRPr="0045170C" w:rsidRDefault="002E6840" w:rsidP="0045170C">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102" w:name="_Toc257039854"/>
      <w:bookmarkStart w:id="103" w:name="_Toc366161168"/>
      <w:bookmarkStart w:id="104" w:name="_Toc150246318"/>
      <w:r>
        <w:t xml:space="preserve">Conclusion du </w:t>
      </w:r>
      <w:proofErr w:type="spellStart"/>
      <w:r>
        <w:t>contrat</w:t>
      </w:r>
      <w:bookmarkEnd w:id="102"/>
      <w:bookmarkEnd w:id="103"/>
      <w:bookmarkEnd w:id="104"/>
      <w:proofErr w:type="spellEnd"/>
    </w:p>
    <w:p w14:paraId="342233F4" w14:textId="77777777" w:rsidR="009804F1" w:rsidRPr="00CA054E" w:rsidRDefault="009804F1" w:rsidP="009804F1">
      <w:pPr>
        <w:pStyle w:val="Corpsdetexte"/>
        <w:rPr>
          <w:i/>
          <w:sz w:val="18"/>
        </w:rPr>
      </w:pPr>
      <w:r w:rsidRPr="00602197">
        <w:rPr>
          <w:i/>
          <w:sz w:val="18"/>
          <w:highlight w:val="lightGray"/>
        </w:rPr>
        <w:t xml:space="preserve">Article </w:t>
      </w:r>
      <w:r w:rsidRPr="00602197">
        <w:rPr>
          <w:rFonts w:cs="Arial"/>
          <w:i/>
          <w:sz w:val="18"/>
          <w:highlight w:val="lightGray"/>
        </w:rPr>
        <w:t>88 de l’AR Passation</w:t>
      </w:r>
      <w:r w:rsidRPr="00CA054E">
        <w:rPr>
          <w:i/>
          <w:sz w:val="18"/>
        </w:rPr>
        <w:t> </w:t>
      </w:r>
    </w:p>
    <w:p w14:paraId="1F2FE771"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proofErr w:type="gramStart"/>
      <w:r w:rsidRPr="00602197">
        <w:rPr>
          <w:rFonts w:ascii="Georgia" w:eastAsia="DejaVu Sans" w:hAnsi="Georgia" w:cs="Tahoma"/>
          <w:color w:val="404040"/>
          <w:kern w:val="18"/>
          <w:sz w:val="21"/>
          <w:szCs w:val="21"/>
          <w:lang w:val="fr-FR"/>
        </w:rPr>
        <w:t>88  de</w:t>
      </w:r>
      <w:proofErr w:type="gramEnd"/>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5CC109BB"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w:t>
      </w:r>
      <w:proofErr w:type="spellStart"/>
      <w:r w:rsidRPr="00854F04">
        <w:rPr>
          <w:rFonts w:ascii="Georgia" w:hAnsi="Georgia"/>
          <w:color w:val="404040"/>
          <w:sz w:val="21"/>
          <w:szCs w:val="21"/>
          <w:lang w:val="fr-FR"/>
        </w:rPr>
        <w:t>Enabel</w:t>
      </w:r>
      <w:proofErr w:type="spellEnd"/>
      <w:r w:rsidRPr="00854F04">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proofErr w:type="gramStart"/>
      <w:r w:rsidRPr="00854F04">
        <w:rPr>
          <w:rFonts w:ascii="Georgia" w:hAnsi="Georgia"/>
          <w:color w:val="404040"/>
          <w:sz w:val="21"/>
          <w:szCs w:val="21"/>
          <w:lang w:val="fr-FR"/>
        </w:rPr>
        <w:t>contrat,  la</w:t>
      </w:r>
      <w:proofErr w:type="gramEnd"/>
      <w:r w:rsidRPr="00854F04">
        <w:rPr>
          <w:rFonts w:ascii="Georgia" w:hAnsi="Georgia"/>
          <w:color w:val="404040"/>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62610D3A" w:rsidR="005F2003" w:rsidRDefault="005F2003" w:rsidP="00C72B94">
      <w:pPr>
        <w:pStyle w:val="Titre1"/>
        <w:numPr>
          <w:ilvl w:val="0"/>
          <w:numId w:val="5"/>
        </w:numPr>
      </w:pPr>
      <w:bookmarkStart w:id="105" w:name="_Toc150246319"/>
      <w:bookmarkEnd w:id="88"/>
      <w:bookmarkEnd w:id="89"/>
      <w:bookmarkEnd w:id="90"/>
      <w:bookmarkEnd w:id="91"/>
      <w:bookmarkEnd w:id="92"/>
      <w:r>
        <w:lastRenderedPageBreak/>
        <w:t>Dispositions contractuelles particul</w:t>
      </w:r>
      <w:r w:rsidR="006F0F35">
        <w:t>i</w:t>
      </w:r>
      <w:r>
        <w:t>ères</w:t>
      </w:r>
      <w:bookmarkEnd w:id="105"/>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013C02A"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Dans ce CSC, il est dérogé </w:t>
      </w:r>
      <w:r w:rsidR="005334BB">
        <w:rPr>
          <w:rFonts w:ascii="Georgia" w:eastAsia="DejaVu Sans" w:hAnsi="Georgia" w:cs="Tahoma"/>
          <w:color w:val="404040"/>
          <w:kern w:val="18"/>
          <w:sz w:val="21"/>
          <w:szCs w:val="21"/>
          <w:lang w:val="fr-FR"/>
        </w:rPr>
        <w:t>à l’article 26</w:t>
      </w:r>
      <w:r w:rsidRPr="00602197">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106" w:name="_Ref223946633"/>
      <w:bookmarkStart w:id="107" w:name="_Ref223946647"/>
      <w:bookmarkStart w:id="108" w:name="_Toc257380496"/>
      <w:bookmarkStart w:id="109" w:name="_Toc260134215"/>
      <w:bookmarkStart w:id="110" w:name="_Toc364253083"/>
      <w:bookmarkStart w:id="111" w:name="_Toc150246320"/>
      <w:r>
        <w:t>Fonctionnaire dirigeant (art. 11)</w:t>
      </w:r>
      <w:bookmarkEnd w:id="106"/>
      <w:bookmarkEnd w:id="107"/>
      <w:bookmarkEnd w:id="108"/>
      <w:bookmarkEnd w:id="109"/>
      <w:bookmarkEnd w:id="110"/>
      <w:bookmarkEnd w:id="111"/>
    </w:p>
    <w:p w14:paraId="63FDC236" w14:textId="45B714C4" w:rsidR="005F2003" w:rsidRDefault="005F2003" w:rsidP="005F2003">
      <w:pPr>
        <w:pStyle w:val="Corpsdetexte"/>
        <w:rPr>
          <w:color w:val="000000"/>
        </w:rPr>
      </w:pPr>
      <w:r w:rsidRPr="00602197">
        <w:rPr>
          <w:rFonts w:ascii="Georgia" w:hAnsi="Georgia"/>
          <w:color w:val="404040"/>
          <w:sz w:val="21"/>
          <w:szCs w:val="21"/>
        </w:rPr>
        <w:t>Le fonctionnaire dirigeant est</w:t>
      </w:r>
      <w:r>
        <w:t xml:space="preserve"> </w:t>
      </w:r>
      <w:r w:rsidR="007004D7" w:rsidRPr="007004D7">
        <w:rPr>
          <w:rFonts w:ascii="Georgia" w:hAnsi="Georgia"/>
          <w:color w:val="404040"/>
          <w:sz w:val="21"/>
          <w:szCs w:val="21"/>
        </w:rPr>
        <w:t>Mr Luc DESMEESTER, Expert en Stratégie et Politique - Formation, Entreprenariat,</w:t>
      </w:r>
      <w:r w:rsidRPr="00602197">
        <w:rPr>
          <w:rFonts w:ascii="Georgia" w:hAnsi="Georgia"/>
          <w:color w:val="404040"/>
          <w:sz w:val="21"/>
          <w:szCs w:val="21"/>
        </w:rPr>
        <w:t xml:space="preserve"> courriel</w:t>
      </w:r>
      <w:r w:rsidR="007004D7">
        <w:rPr>
          <w:rFonts w:ascii="Georgia" w:hAnsi="Georgia"/>
          <w:color w:val="404040"/>
          <w:sz w:val="21"/>
          <w:szCs w:val="21"/>
        </w:rPr>
        <w:t xml:space="preserve"> : </w:t>
      </w:r>
      <w:hyperlink r:id="rId31" w:history="1">
        <w:r w:rsidR="007004D7" w:rsidRPr="00332B66">
          <w:rPr>
            <w:rStyle w:val="Lienhypertexte"/>
            <w:rFonts w:ascii="Georgia" w:hAnsi="Georgia"/>
            <w:sz w:val="21"/>
            <w:szCs w:val="21"/>
          </w:rPr>
          <w:t>luc.demeester@enabel.be</w:t>
        </w:r>
      </w:hyperlink>
      <w:r w:rsidR="007004D7">
        <w:rPr>
          <w:rFonts w:ascii="Georgia" w:hAnsi="Georgia"/>
          <w:color w:val="404040"/>
          <w:sz w:val="21"/>
          <w:szCs w:val="21"/>
        </w:rPr>
        <w:t xml:space="preserve"> </w:t>
      </w:r>
      <w:r>
        <w:rPr>
          <w:color w:val="000000"/>
        </w:rPr>
        <w:t>.</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0A2DD91"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7004D7"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E3DACB0"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2" w:name="_Toc361408323"/>
      <w:bookmarkStart w:id="113" w:name="_Toc361408324"/>
      <w:bookmarkStart w:id="114" w:name="_Toc150246321"/>
      <w:r>
        <w:t>Sous-traitants (art. 12 à 15)</w:t>
      </w:r>
      <w:bookmarkEnd w:id="112"/>
      <w:bookmarkEnd w:id="114"/>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1E1A0E8" w14:textId="10ECFBEC" w:rsidR="002B61D5" w:rsidRPr="00D14EA3" w:rsidRDefault="002B61D5" w:rsidP="002B61D5">
      <w:pPr>
        <w:pStyle w:val="Corpsdetexte"/>
        <w:rPr>
          <w:rFonts w:ascii="Georgia" w:hAnsi="Georgia"/>
          <w:color w:val="404040"/>
          <w:sz w:val="21"/>
          <w:szCs w:val="21"/>
        </w:rPr>
      </w:pPr>
      <w:bookmarkStart w:id="115" w:name="_Toc361408325"/>
      <w:bookmarkEnd w:id="113"/>
      <w:r w:rsidRPr="71EBF40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16" w:name="_Toc52503024"/>
      <w:bookmarkStart w:id="117" w:name="_Toc150246322"/>
      <w:r>
        <w:t>Confidentialité (art. 18)</w:t>
      </w:r>
      <w:bookmarkEnd w:id="116"/>
      <w:bookmarkEnd w:id="117"/>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16400EF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328AFCF0" w14:textId="77777777" w:rsidR="002B61D5" w:rsidRPr="00D14EA3" w:rsidRDefault="002B61D5" w:rsidP="002B61D5">
      <w:pPr>
        <w:pStyle w:val="Corpsdetexte"/>
        <w:rPr>
          <w:rFonts w:ascii="Georgia" w:hAnsi="Georgia"/>
          <w:color w:val="404040"/>
          <w:sz w:val="21"/>
          <w:szCs w:val="21"/>
        </w:rPr>
      </w:pP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8" w:name="_Toc150246323"/>
      <w:r w:rsidRPr="71EBF40D">
        <w:rPr>
          <w:lang w:val="fr-FR"/>
        </w:rPr>
        <w:lastRenderedPageBreak/>
        <w:t>Protection des données personnelles</w:t>
      </w:r>
      <w:bookmarkEnd w:id="118"/>
    </w:p>
    <w:p w14:paraId="2455C204" w14:textId="77777777" w:rsidR="002B61D5" w:rsidRPr="001478F6" w:rsidRDefault="002B61D5" w:rsidP="007004D7">
      <w:pPr>
        <w:jc w:val="both"/>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7004D7">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7004D7">
      <w:pPr>
        <w:jc w:val="both"/>
        <w:rPr>
          <w:lang w:val="fr-FR"/>
        </w:rPr>
      </w:pPr>
      <w:r w:rsidRPr="001478F6">
        <w:rPr>
          <w:lang w:val="fr-FR"/>
        </w:rPr>
        <w:t>4.4.2</w:t>
      </w:r>
      <w:r w:rsidRPr="001478F6">
        <w:rPr>
          <w:lang w:val="fr-FR"/>
        </w:rPr>
        <w:tab/>
        <w:t xml:space="preserve">Traitement des données personnelles par l’adjudicataire </w:t>
      </w:r>
    </w:p>
    <w:p w14:paraId="1D1D956D" w14:textId="7E47A6EA" w:rsidR="002B61D5" w:rsidRPr="001478F6" w:rsidRDefault="002B61D5" w:rsidP="007004D7">
      <w:pPr>
        <w:jc w:val="both"/>
        <w:rPr>
          <w:caps/>
          <w:lang w:val="fr-FR"/>
        </w:rPr>
      </w:pPr>
      <w:r w:rsidRPr="001478F6">
        <w:rPr>
          <w:caps/>
          <w:lang w:val="fr-FR"/>
        </w:rPr>
        <w:t>OPTION 1 : Traitement des données à caractère personnel par un sous-traitant =</w:t>
      </w:r>
    </w:p>
    <w:p w14:paraId="12FA32C5" w14:textId="77777777" w:rsidR="002B61D5" w:rsidRPr="001478F6" w:rsidRDefault="002B61D5" w:rsidP="007004D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7004D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7004D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7004D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7004D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77777777" w:rsidR="002B61D5" w:rsidRPr="001478F6" w:rsidRDefault="002B61D5" w:rsidP="007004D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77093417" w14:textId="77777777" w:rsidR="002B61D5" w:rsidRPr="001478F6" w:rsidRDefault="002B61D5" w:rsidP="007004D7">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2045B3" w14:textId="1EFC9E1E" w:rsidR="002B61D5" w:rsidRPr="001478F6" w:rsidRDefault="002B61D5" w:rsidP="007004D7">
      <w:pPr>
        <w:jc w:val="both"/>
        <w:rPr>
          <w:lang w:val="fr-FR"/>
        </w:rPr>
      </w:pPr>
      <w:r w:rsidRPr="001478F6">
        <w:rPr>
          <w:lang w:val="fr-FR"/>
        </w:rPr>
        <w:t>OPTION 2 : TRAITEMENT DES DONNÉES À CARACTÈRE PERSONNEL PAR UN RESPONSABLE DE TRAITEMENT (DESTINATAIRE)</w:t>
      </w:r>
    </w:p>
    <w:p w14:paraId="6C1EBADE" w14:textId="77777777" w:rsidR="002B61D5" w:rsidRPr="001478F6" w:rsidRDefault="002B61D5" w:rsidP="007004D7">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7004D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7004D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7004D7">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9" w:name="_Toc150246324"/>
      <w:r>
        <w:t>Droits intellectuels (art. 19 à 23)</w:t>
      </w:r>
      <w:bookmarkEnd w:id="115"/>
      <w:bookmarkEnd w:id="119"/>
    </w:p>
    <w:p w14:paraId="3976BDB0" w14:textId="349C39DC"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20" w:name="_Ref233108956"/>
      <w:bookmarkStart w:id="121" w:name="_Ref233108960"/>
      <w:bookmarkStart w:id="122" w:name="_Toc257380497"/>
      <w:bookmarkStart w:id="123" w:name="_Toc260134216"/>
      <w:bookmarkStart w:id="124" w:name="_Toc364253084"/>
      <w:bookmarkStart w:id="125" w:name="_Toc150246325"/>
      <w:r>
        <w:t>Cautionnement (art.25 à 33)</w:t>
      </w:r>
      <w:bookmarkEnd w:id="120"/>
      <w:bookmarkEnd w:id="121"/>
      <w:bookmarkEnd w:id="122"/>
      <w:bookmarkEnd w:id="123"/>
      <w:bookmarkEnd w:id="124"/>
      <w:bookmarkEnd w:id="125"/>
    </w:p>
    <w:p w14:paraId="51DF07AD" w14:textId="77777777" w:rsidR="007004D7" w:rsidRDefault="007004D7" w:rsidP="0017001A">
      <w:pPr>
        <w:jc w:val="both"/>
        <w:rPr>
          <w:rFonts w:eastAsia="DejaVu Sans" w:cs="Tahoma"/>
          <w:color w:val="404040"/>
          <w:kern w:val="18"/>
          <w:szCs w:val="21"/>
          <w:lang w:val="fr-FR"/>
        </w:rPr>
      </w:pPr>
      <w:r>
        <w:rPr>
          <w:rFonts w:eastAsia="DejaVu Sans" w:cs="Tahoma"/>
          <w:color w:val="404040"/>
          <w:kern w:val="18"/>
          <w:szCs w:val="21"/>
          <w:lang w:val="fr-FR"/>
        </w:rPr>
        <w:t>Pour toutes les commandes excédant 50.000 €, un cautionnement sera requis.</w:t>
      </w:r>
    </w:p>
    <w:p w14:paraId="7E3C791A" w14:textId="4D33A8C9"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Le cautionnement est fixé </w:t>
      </w:r>
      <w:proofErr w:type="gramStart"/>
      <w:r w:rsidRPr="00602197">
        <w:rPr>
          <w:rFonts w:eastAsia="DejaVu Sans" w:cs="Tahoma"/>
          <w:color w:val="404040"/>
          <w:kern w:val="18"/>
          <w:szCs w:val="21"/>
          <w:lang w:val="fr-FR"/>
        </w:rPr>
        <w:t>à  5</w:t>
      </w:r>
      <w:proofErr w:type="gramEnd"/>
      <w:r w:rsidRPr="00602197">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59A8A259"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B119B75"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602197">
        <w:rPr>
          <w:rFonts w:eastAsia="DejaVu Sans" w:cs="Tahoma"/>
          <w:color w:val="404040"/>
          <w:kern w:val="18"/>
          <w:szCs w:val="21"/>
          <w:lang w:val="fr-FR"/>
        </w:rPr>
        <w:t>suivantes:</w:t>
      </w:r>
      <w:proofErr w:type="gramEnd"/>
    </w:p>
    <w:p w14:paraId="46A7D508" w14:textId="459BA57F"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w:t>
      </w:r>
      <w:r w:rsidR="00A732CE" w:rsidRPr="00DE68C6">
        <w:rPr>
          <w:color w:val="404040"/>
          <w:szCs w:val="21"/>
        </w:rPr>
        <w:lastRenderedPageBreak/>
        <w:t xml:space="preserve">formulaire suivant : </w:t>
      </w:r>
      <w:hyperlink r:id="rId32" w:history="1">
        <w:r w:rsidR="00A732CE" w:rsidRPr="00A10247">
          <w:rPr>
            <w:rStyle w:val="Lienhypertexte"/>
            <w:szCs w:val="21"/>
          </w:rPr>
          <w:t>https://finances.belgium.be/sites/default/files/01_marche_public.pdf</w:t>
        </w:r>
      </w:hyperlink>
      <w:proofErr w:type="gramStart"/>
      <w:r w:rsidR="00A732CE">
        <w:rPr>
          <w:color w:val="404040"/>
          <w:szCs w:val="21"/>
        </w:rPr>
        <w:t xml:space="preserve"> </w:t>
      </w:r>
      <w:r w:rsidR="00A732CE" w:rsidRPr="00DE68C6">
        <w:rPr>
          <w:color w:val="404040"/>
          <w:szCs w:val="21"/>
        </w:rPr>
        <w:t xml:space="preserve">  (</w:t>
      </w:r>
      <w:proofErr w:type="gramEnd"/>
      <w:r w:rsidR="00A732CE" w:rsidRPr="00DE68C6">
        <w:rPr>
          <w:color w:val="404040"/>
          <w:szCs w:val="21"/>
        </w:rPr>
        <w:t xml:space="preserve">PDF, 1.34 Mo), et renvoyez-le à l’adresse e-mail </w:t>
      </w:r>
      <w:hyperlink r:id="rId33"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7004D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 xml:space="preserve">Le délai de trente jours calendrier visé ci-avant est suspendu pendant la période de fermeture de l’entreprise de l’adjudicataire pour les jours de vacances annuelles payés et les jours de repos </w:t>
      </w:r>
      <w:r w:rsidRPr="007004D7">
        <w:rPr>
          <w:rFonts w:cs="Arial"/>
          <w:kern w:val="18"/>
          <w:sz w:val="20"/>
        </w:rPr>
        <w:t>compensatoires prévus par voie réglementaire ou dans une convention collective</w:t>
      </w:r>
      <w:r w:rsidR="0017001A" w:rsidRPr="007004D7">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7004D7">
        <w:rPr>
          <w:rFonts w:cs="Arial"/>
          <w:kern w:val="18"/>
          <w:sz w:val="20"/>
        </w:rPr>
        <w:t>La preuve de la constitution du cautionnement doit être envoyée à l’adresse qui sera mentionnée dans la notificat</w:t>
      </w:r>
      <w:r w:rsidR="0017001A" w:rsidRPr="007004D7">
        <w:rPr>
          <w:rFonts w:cs="Arial"/>
          <w:kern w:val="18"/>
          <w:sz w:val="20"/>
        </w:rPr>
        <w:t>ion de la conclusion du marché.</w:t>
      </w:r>
    </w:p>
    <w:p w14:paraId="5242BF03" w14:textId="35F6FED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proofErr w:type="gramStart"/>
      <w:r w:rsidR="0017001A">
        <w:rPr>
          <w:rFonts w:cs="Arial"/>
          <w:b/>
          <w:kern w:val="18"/>
          <w:sz w:val="20"/>
        </w:rPr>
        <w:t>réception:</w:t>
      </w:r>
      <w:proofErr w:type="gramEnd"/>
    </w:p>
    <w:p w14:paraId="4941B1E8" w14:textId="565E3F4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proofErr w:type="gramStart"/>
      <w:r w:rsidRPr="00514647">
        <w:rPr>
          <w:rFonts w:cs="Arial"/>
          <w:kern w:val="18"/>
          <w:sz w:val="20"/>
        </w:rPr>
        <w:t>provisoire:</w:t>
      </w:r>
      <w:proofErr w:type="gramEnd"/>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1E696914" w14:textId="66703CA1" w:rsidR="005F2003" w:rsidRDefault="005F2003" w:rsidP="000534B9">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proofErr w:type="gramStart"/>
      <w:r w:rsidRPr="00514647">
        <w:rPr>
          <w:rFonts w:cs="Arial"/>
          <w:kern w:val="18"/>
          <w:sz w:val="20"/>
        </w:rPr>
        <w:t>définitive:</w:t>
      </w:r>
      <w:proofErr w:type="gramEnd"/>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26" w:name="_Toc361393825"/>
      <w:bookmarkStart w:id="127" w:name="_Toc361408327"/>
      <w:bookmarkStart w:id="128" w:name="_Toc150246326"/>
      <w:r>
        <w:lastRenderedPageBreak/>
        <w:t>Conformité de l’exécution (art. 34)</w:t>
      </w:r>
      <w:bookmarkEnd w:id="128"/>
      <w:r>
        <w:t xml:space="preserve"> </w:t>
      </w:r>
      <w:bookmarkEnd w:id="126"/>
      <w:bookmarkEnd w:id="127"/>
    </w:p>
    <w:p w14:paraId="1B900D2E" w14:textId="154CF1FD" w:rsidR="005F2003" w:rsidRPr="007004D7" w:rsidRDefault="005F2003" w:rsidP="007004D7">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9" w:name="_Toc150246327"/>
      <w:r>
        <w:t>Modifications du marché (art. 37 à 38/19)</w:t>
      </w:r>
      <w:bookmarkEnd w:id="129"/>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0" w:name="_Toc150246328"/>
      <w:proofErr w:type="spellStart"/>
      <w:r>
        <w:t>Remplacement</w:t>
      </w:r>
      <w:proofErr w:type="spellEnd"/>
      <w:r>
        <w:t xml:space="preserve"> de </w:t>
      </w:r>
      <w:proofErr w:type="spellStart"/>
      <w:r>
        <w:t>l’adjudicataire</w:t>
      </w:r>
      <w:proofErr w:type="spellEnd"/>
      <w:r>
        <w:t xml:space="preserve"> (art. 38/3)</w:t>
      </w:r>
      <w:bookmarkEnd w:id="13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66C941" w:rsidR="005F2003" w:rsidRPr="000451D3"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1" w:name="_Toc150246329"/>
      <w:proofErr w:type="spellStart"/>
      <w:r>
        <w:t>Révision</w:t>
      </w:r>
      <w:proofErr w:type="spellEnd"/>
      <w:r>
        <w:t xml:space="preserve"> des prix (art. 38/7)</w:t>
      </w:r>
      <w:bookmarkEnd w:id="131"/>
    </w:p>
    <w:p w14:paraId="570BE057" w14:textId="2843B1A9" w:rsidR="005F2003" w:rsidRPr="000451D3" w:rsidRDefault="005F2003" w:rsidP="000451D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50246330"/>
      <w:r w:rsidRPr="71EBF40D">
        <w:rPr>
          <w:lang w:val="fr-BE"/>
        </w:rPr>
        <w:t>Indemnités suite aux suspensions ordonnées par l’adjudicateur durant l’exécution (art. 38/12)</w:t>
      </w:r>
      <w:bookmarkEnd w:id="13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3" w:name="_Toc150246331"/>
      <w:proofErr w:type="spellStart"/>
      <w:r>
        <w:lastRenderedPageBreak/>
        <w:t>Circonstances</w:t>
      </w:r>
      <w:proofErr w:type="spellEnd"/>
      <w:r>
        <w:t xml:space="preserve"> </w:t>
      </w:r>
      <w:proofErr w:type="spellStart"/>
      <w:r>
        <w:t>imprévisibles</w:t>
      </w:r>
      <w:bookmarkEnd w:id="133"/>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7AB2933F" w:rsidR="005F2003" w:rsidRPr="000451D3" w:rsidRDefault="005F2003" w:rsidP="000451D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4" w:name="_Toc361393826"/>
      <w:bookmarkStart w:id="135" w:name="_Toc361408328"/>
      <w:bookmarkStart w:id="136" w:name="_Toc150246332"/>
      <w:r>
        <w:t>Réception technique préalable (art. 42)</w:t>
      </w:r>
      <w:bookmarkEnd w:id="134"/>
      <w:bookmarkEnd w:id="135"/>
      <w:bookmarkEnd w:id="136"/>
    </w:p>
    <w:p w14:paraId="61AA390E" w14:textId="1EBCF31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7" w:name="_Toc361393827"/>
      <w:bookmarkStart w:id="138" w:name="_Toc361408329"/>
      <w:bookmarkStart w:id="139" w:name="_Toc150246333"/>
      <w:r>
        <w:t>Modalités d’exécution (art. 146 es)</w:t>
      </w:r>
      <w:bookmarkEnd w:id="137"/>
      <w:bookmarkEnd w:id="138"/>
      <w:bookmarkEnd w:id="139"/>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0" w:name="_Toc150246334"/>
      <w:proofErr w:type="spellStart"/>
      <w:r>
        <w:t>Délais</w:t>
      </w:r>
      <w:proofErr w:type="spellEnd"/>
      <w:r>
        <w:t xml:space="preserve"> et clauses (art. 147)</w:t>
      </w:r>
      <w:bookmarkEnd w:id="140"/>
    </w:p>
    <w:p w14:paraId="70EE2D73" w14:textId="497284A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de</w:t>
      </w:r>
      <w:r>
        <w:t xml:space="preserve"> </w:t>
      </w:r>
      <w:r w:rsidR="007004D7">
        <w:t>30</w:t>
      </w:r>
      <w:r>
        <w:t xml:space="preserve"> </w:t>
      </w:r>
      <w:r w:rsidRPr="00C55D53">
        <w:rPr>
          <w:rFonts w:ascii="Georgia" w:eastAsia="Calibri" w:hAnsi="Georgia" w:cs="Times New Roman"/>
          <w:color w:val="585756"/>
          <w:szCs w:val="22"/>
          <w:lang w:val="fr-BE"/>
        </w:rPr>
        <w:t>jours calendrier</w:t>
      </w:r>
      <w:r w:rsidR="007004D7">
        <w:rPr>
          <w:rFonts w:ascii="Georgia" w:eastAsia="Calibri" w:hAnsi="Georgia" w:cs="Times New Roman"/>
          <w:color w:val="585756"/>
          <w:szCs w:val="22"/>
          <w:lang w:val="fr-BE"/>
        </w:rPr>
        <w:t xml:space="preserve"> maximum</w:t>
      </w:r>
      <w:r w:rsidRPr="00C55D53">
        <w:rPr>
          <w:rFonts w:ascii="Georgia" w:eastAsia="Calibri" w:hAnsi="Georgia" w:cs="Times New Roman"/>
          <w:color w:val="585756"/>
          <w:szCs w:val="22"/>
          <w:lang w:val="fr-BE"/>
        </w:rPr>
        <w:t xml:space="preserve"> à compter du deuxième jour ouvrable qui suit la date d’envoi du bon de commande. Les jours de fermeture de l’entreprise du prestataire de services pour les vacances annuelles ne </w:t>
      </w:r>
      <w:r w:rsidR="00C55D53">
        <w:rPr>
          <w:rFonts w:ascii="Georgia" w:eastAsia="Calibri" w:hAnsi="Georgia" w:cs="Times New Roman"/>
          <w:color w:val="585756"/>
          <w:szCs w:val="22"/>
          <w:lang w:val="fr-BE"/>
        </w:rPr>
        <w:t>sont pas inclus dans le calcul.</w:t>
      </w:r>
    </w:p>
    <w:p w14:paraId="7C5280A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bon de commande est adressé au prestataire de services soit par envoi recommandé, soit par fax, soit par tout autre moyen permettant de déterminer la date d’envoi de manière certaine.</w:t>
      </w:r>
    </w:p>
    <w:p w14:paraId="3C63BCA7" w14:textId="4958DDE7" w:rsidR="005F2003" w:rsidRPr="007004D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77DDB1E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tout état de cause, les réclamations relatives </w:t>
      </w:r>
      <w:proofErr w:type="gramStart"/>
      <w:r w:rsidRPr="00C55D53">
        <w:rPr>
          <w:rFonts w:ascii="Georgia" w:eastAsia="Calibri" w:hAnsi="Georgia" w:cs="Times New Roman"/>
          <w:color w:val="585756"/>
          <w:szCs w:val="22"/>
          <w:lang w:val="fr-BE"/>
        </w:rPr>
        <w:t>au  bon</w:t>
      </w:r>
      <w:proofErr w:type="gramEnd"/>
      <w:r w:rsidRPr="00C55D53">
        <w:rPr>
          <w:rFonts w:ascii="Georgia" w:eastAsia="Calibri" w:hAnsi="Georgia" w:cs="Times New Roman"/>
          <w:color w:val="585756"/>
          <w:szCs w:val="22"/>
          <w:lang w:val="fr-BE"/>
        </w:rPr>
        <w:t xml:space="preserve"> de commande ne sont plus recevables si elles ne sont pas introduites dans les 15 jours (*) de calendrier à compter à partir du premier jour qui suit celui où le prestataire de services a reçu le bon de commande.</w:t>
      </w:r>
    </w:p>
    <w:p w14:paraId="3C42A41F" w14:textId="7145C6D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à exprimer en jours calendrier que le soumissionnaire est tenu de mentionner dans son offre. Ce délai commence à courir à partir du jour qui suit celui où le prestataire de services a reçu la notification de la conclusion du marché. Vu que le délai d’exécution est un critère d’attribution, le fait de ne pas mentionner ce délai aura pour conséquence l’irrégularité substantielle de l’offre. Tous les jours sont indistinctement comptés dans le délai.</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150246335"/>
      <w:r w:rsidRPr="71EBF40D">
        <w:rPr>
          <w:lang w:val="fr-BE"/>
        </w:rPr>
        <w:lastRenderedPageBreak/>
        <w:t>Lieu où les services doivent être exécutés et formalités (art. 149)</w:t>
      </w:r>
      <w:bookmarkEnd w:id="141"/>
    </w:p>
    <w:p w14:paraId="177E5B5B" w14:textId="705C7F50" w:rsidR="005F2003" w:rsidRPr="007004D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7004D7">
        <w:rPr>
          <w:rFonts w:ascii="Georgia" w:eastAsia="Calibri" w:hAnsi="Georgia" w:cs="Times New Roman"/>
          <w:color w:val="585756"/>
          <w:szCs w:val="22"/>
          <w:lang w:val="fr-BE"/>
        </w:rPr>
        <w:t>mentionnée sur le bon de commande.</w:t>
      </w:r>
    </w:p>
    <w:p w14:paraId="65836E00" w14:textId="77777777" w:rsidR="005F2003" w:rsidRDefault="005F2003" w:rsidP="000534B9">
      <w:pPr>
        <w:pStyle w:val="Titre2"/>
        <w:keepLines w:val="0"/>
        <w:widowControl w:val="0"/>
        <w:tabs>
          <w:tab w:val="num" w:pos="576"/>
        </w:tabs>
        <w:suppressAutoHyphens/>
        <w:spacing w:after="240"/>
      </w:pPr>
      <w:bookmarkStart w:id="142" w:name="_Toc150246336"/>
      <w:r>
        <w:t>Vérification des services (art. 150)</w:t>
      </w:r>
      <w:bookmarkEnd w:id="142"/>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3" w:name="_Toc361393828"/>
      <w:bookmarkStart w:id="144" w:name="_Toc361408330"/>
      <w:bookmarkStart w:id="145" w:name="_Toc150246337"/>
      <w:r>
        <w:t>Responsabilité du prestataire de services (art. 152-153)</w:t>
      </w:r>
      <w:bookmarkEnd w:id="143"/>
      <w:bookmarkEnd w:id="144"/>
      <w:bookmarkEnd w:id="145"/>
    </w:p>
    <w:p w14:paraId="745FED0B" w14:textId="638A597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3BEB4953"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 xml:space="preserve">Par ailleurs, le prestataire de services garantit le pouvoir adjudicateur des dommages et intérêts dont celui-ci est redevable à des tiers du fait du retard dans l’exécution des services ou de la </w:t>
      </w:r>
      <w:r w:rsidR="007004D7">
        <w:rPr>
          <w:rFonts w:ascii="Georgia" w:eastAsia="Calibri" w:hAnsi="Georgia" w:cs="Times New Roman"/>
          <w:color w:val="585756"/>
          <w:lang w:val="fr-BE"/>
        </w:rPr>
        <w:t>d</w:t>
      </w:r>
      <w:r w:rsidRPr="507056D1">
        <w:rPr>
          <w:rFonts w:ascii="Georgia" w:eastAsia="Calibri" w:hAnsi="Georgia" w:cs="Times New Roman"/>
          <w:color w:val="585756"/>
          <w:lang w:val="fr-BE"/>
        </w:rPr>
        <w:t>éfaillance du prestataire de services.</w:t>
      </w:r>
    </w:p>
    <w:p w14:paraId="2283E692" w14:textId="7596AD9A" w:rsidR="4438B948" w:rsidRDefault="4438B948" w:rsidP="507056D1">
      <w:pPr>
        <w:pStyle w:val="Titre2"/>
      </w:pPr>
      <w:bookmarkStart w:id="146" w:name="_Toc150246338"/>
      <w:r>
        <w:t>Tolérance zéro exploitation et abus sexuels</w:t>
      </w:r>
      <w:bookmarkEnd w:id="146"/>
    </w:p>
    <w:p w14:paraId="1EB9CBB2" w14:textId="4C68D8A8" w:rsidR="005F2003" w:rsidRPr="004C29C2" w:rsidRDefault="4438B948" w:rsidP="005F2003">
      <w:pPr>
        <w:pStyle w:val="Corpsdetexte"/>
      </w:pPr>
      <w:r w:rsidRPr="507056D1">
        <w:rPr>
          <w:rFonts w:ascii="Georgia" w:eastAsia="Calibri" w:hAnsi="Georgia" w:cs="Times New Roman"/>
          <w:color w:val="585756"/>
          <w:lang w:val="fr-BE"/>
        </w:rPr>
        <w:t xml:space="preserve">En application de sa Politique concernant l’exploitation et les abus sexuels de juin 2019, </w:t>
      </w:r>
      <w:proofErr w:type="spellStart"/>
      <w:r w:rsidRPr="507056D1">
        <w:rPr>
          <w:rFonts w:ascii="Georgia" w:eastAsia="Calibri" w:hAnsi="Georgia" w:cs="Times New Roman"/>
          <w:color w:val="585756"/>
          <w:lang w:val="fr-BE"/>
        </w:rPr>
        <w:t>Enabel</w:t>
      </w:r>
      <w:proofErr w:type="spellEnd"/>
      <w:r w:rsidRPr="507056D1">
        <w:rPr>
          <w:rFonts w:ascii="Georgia" w:eastAsia="Calibri" w:hAnsi="Georgia" w:cs="Times New Roman"/>
          <w:color w:val="585756"/>
          <w:lang w:val="fr-BE"/>
        </w:rPr>
        <w:t xml:space="preserve">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7" w:name="_Toc361393829"/>
      <w:bookmarkStart w:id="148" w:name="_Toc361408331"/>
      <w:bookmarkStart w:id="149" w:name="_Toc150246339"/>
      <w:r>
        <w:t>Moyens d’action du Pouvoir Adjudicateur (art. 44-51 et 154-155)</w:t>
      </w:r>
      <w:bookmarkEnd w:id="147"/>
      <w:bookmarkEnd w:id="148"/>
      <w:bookmarkEnd w:id="14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0" w:name="_Toc150246340"/>
      <w:proofErr w:type="spellStart"/>
      <w:r>
        <w:t>Défaut</w:t>
      </w:r>
      <w:proofErr w:type="spellEnd"/>
      <w:r>
        <w:t xml:space="preserve"> </w:t>
      </w:r>
      <w:proofErr w:type="spellStart"/>
      <w:r>
        <w:t>d’exécution</w:t>
      </w:r>
      <w:proofErr w:type="spellEnd"/>
      <w:r>
        <w:t xml:space="preserve"> (art. 44)</w:t>
      </w:r>
      <w:bookmarkEnd w:id="150"/>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lastRenderedPageBreak/>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6D4C8743" w:rsidR="005F2003" w:rsidRPr="007004D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150246341"/>
      <w:r w:rsidRPr="71EBF40D">
        <w:rPr>
          <w:lang w:val="fr-BE"/>
        </w:rPr>
        <w:t>Amendes pour retard (art. 46 et 154)</w:t>
      </w:r>
      <w:bookmarkEnd w:id="151"/>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BEDF433" w:rsidR="005F2003" w:rsidRPr="007004D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2" w:name="_Toc150246342"/>
      <w:proofErr w:type="spellStart"/>
      <w:r>
        <w:t>Mesures</w:t>
      </w:r>
      <w:proofErr w:type="spellEnd"/>
      <w:r>
        <w:t xml:space="preserve"> </w:t>
      </w:r>
      <w:proofErr w:type="spellStart"/>
      <w:r>
        <w:t>d’office</w:t>
      </w:r>
      <w:proofErr w:type="spellEnd"/>
      <w:r>
        <w:t xml:space="preserve"> (art. 47 et 155)</w:t>
      </w:r>
      <w:bookmarkEnd w:id="15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53" w:name="_Toc361393830"/>
      <w:bookmarkStart w:id="154" w:name="_Toc361408332"/>
      <w:bookmarkStart w:id="155" w:name="_Toc150246343"/>
      <w:r>
        <w:lastRenderedPageBreak/>
        <w:t>Fin du marché</w:t>
      </w:r>
      <w:bookmarkEnd w:id="155"/>
      <w:r>
        <w:t xml:space="preserve"> </w:t>
      </w:r>
      <w:bookmarkEnd w:id="153"/>
      <w:bookmarkEnd w:id="154"/>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150246344"/>
      <w:r w:rsidRPr="71EBF40D">
        <w:rPr>
          <w:lang w:val="fr-BE"/>
        </w:rPr>
        <w:t>Réception des services exécutés (art. 64-65 et 156)</w:t>
      </w:r>
      <w:bookmarkEnd w:id="156"/>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sidRPr="00C55D53">
        <w:rPr>
          <w:rFonts w:ascii="Georgia" w:eastAsia="Calibri" w:hAnsi="Georgia" w:cs="Times New Roman"/>
          <w:color w:val="585756"/>
          <w:szCs w:val="22"/>
          <w:lang w:val="fr-BE"/>
        </w:rPr>
        <w:t>marché ,</w:t>
      </w:r>
      <w:proofErr w:type="gramEnd"/>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19043CE8" w:rsidR="005F2003" w:rsidRPr="007004D7" w:rsidRDefault="007004D7"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highlight w:val="yellow"/>
          <w:lang w:val="fr-BE"/>
        </w:rPr>
        <w:t>La</w:t>
      </w:r>
      <w:r w:rsidR="005F2003" w:rsidRPr="00FC5907">
        <w:rPr>
          <w:rFonts w:ascii="Georgia" w:eastAsia="Calibri" w:hAnsi="Georgia" w:cs="Times New Roman"/>
          <w:color w:val="585756"/>
          <w:szCs w:val="22"/>
          <w:highlight w:val="yellow"/>
          <w:lang w:val="fr-BE"/>
        </w:rPr>
        <w:t xml:space="preserve">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361393831"/>
      <w:bookmarkStart w:id="158" w:name="_Toc361408333"/>
      <w:bookmarkStart w:id="159" w:name="_Toc150246345"/>
      <w:r w:rsidRPr="71EBF40D">
        <w:rPr>
          <w:lang w:val="fr-BE"/>
        </w:rPr>
        <w:t>Facturation et paiement des services (art. 66 à 72 -160)</w:t>
      </w:r>
      <w:bookmarkEnd w:id="157"/>
      <w:bookmarkEnd w:id="158"/>
      <w:bookmarkEnd w:id="159"/>
    </w:p>
    <w:p w14:paraId="4BD77ABD" w14:textId="73058F84"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7004D7">
        <w:rPr>
          <w:rFonts w:ascii="Georgia" w:eastAsia="Calibri" w:hAnsi="Georgia"/>
          <w:color w:val="585756"/>
          <w:kern w:val="18"/>
          <w:sz w:val="20"/>
          <w:szCs w:val="22"/>
        </w:rPr>
        <w:t xml:space="preserve"> mentionnée sur le bon de commande.</w:t>
      </w:r>
    </w:p>
    <w:p w14:paraId="29A4CBF1" w14:textId="3DEF6348" w:rsidR="000451D3" w:rsidRPr="007004D7" w:rsidRDefault="000451D3" w:rsidP="005F2003">
      <w:pPr>
        <w:pStyle w:val="BTCtextCTB"/>
        <w:rPr>
          <w:rFonts w:ascii="Arial" w:eastAsia="DejaVu Sans" w:hAnsi="Arial" w:cs="Tahoma"/>
          <w:kern w:val="18"/>
          <w:sz w:val="20"/>
          <w:szCs w:val="24"/>
          <w:highlight w:val="lightGray"/>
          <w:lang w:val="fr-FR"/>
        </w:rPr>
      </w:pPr>
      <w:r>
        <w:rPr>
          <w:rFonts w:ascii="Georgia" w:eastAsia="Calibri" w:hAnsi="Georgia"/>
          <w:color w:val="585756"/>
          <w:kern w:val="18"/>
          <w:sz w:val="20"/>
          <w:szCs w:val="22"/>
        </w:rPr>
        <w:t xml:space="preserve">Les modalités de paiement éventuellement sur une base mensuelle ou fractionnés seront déterminés dans les </w:t>
      </w:r>
      <w:proofErr w:type="spellStart"/>
      <w:r>
        <w:rPr>
          <w:rFonts w:ascii="Georgia" w:eastAsia="Calibri" w:hAnsi="Georgia"/>
          <w:color w:val="585756"/>
          <w:kern w:val="18"/>
          <w:sz w:val="20"/>
          <w:szCs w:val="22"/>
        </w:rPr>
        <w:t>TdR</w:t>
      </w:r>
      <w:proofErr w:type="spellEnd"/>
      <w:r>
        <w:rPr>
          <w:rFonts w:ascii="Georgia" w:eastAsia="Calibri" w:hAnsi="Georgia"/>
          <w:color w:val="585756"/>
          <w:kern w:val="18"/>
          <w:sz w:val="20"/>
          <w:szCs w:val="22"/>
        </w:rPr>
        <w:t xml:space="preserve"> envoyés au moment de la concrétisation des besoins par bons de commande.</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0451D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w:t>
      </w:r>
      <w:r w:rsidRPr="000451D3">
        <w:rPr>
          <w:rFonts w:ascii="Georgia" w:eastAsia="Calibri" w:hAnsi="Georgia"/>
          <w:color w:val="585756"/>
          <w:kern w:val="18"/>
          <w:sz w:val="20"/>
          <w:szCs w:val="22"/>
        </w:rPr>
        <w:t>résultat au prestataire de services.</w:t>
      </w:r>
    </w:p>
    <w:p w14:paraId="0FB042CF" w14:textId="69F509D2" w:rsidR="005F2003" w:rsidRPr="00602197" w:rsidRDefault="005F2003" w:rsidP="007004D7">
      <w:pPr>
        <w:pStyle w:val="BTCtextCTB"/>
        <w:rPr>
          <w:rFonts w:ascii="Arial" w:eastAsia="DejaVu Sans" w:hAnsi="Arial" w:cs="Tahoma"/>
          <w:i/>
          <w:kern w:val="18"/>
          <w:sz w:val="20"/>
          <w:szCs w:val="24"/>
          <w:highlight w:val="lightGray"/>
          <w:lang w:val="fr-FR"/>
        </w:rPr>
      </w:pPr>
      <w:r w:rsidRPr="000451D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w:t>
      </w:r>
      <w:r w:rsidRPr="00C55D53">
        <w:rPr>
          <w:rFonts w:ascii="Georgia" w:eastAsia="Calibri" w:hAnsi="Georgia"/>
          <w:color w:val="585756"/>
          <w:kern w:val="18"/>
          <w:sz w:val="20"/>
          <w:szCs w:val="22"/>
        </w:rPr>
        <w:t xml:space="preserve"> établie</w:t>
      </w:r>
      <w:r w:rsidR="007004D7">
        <w:rPr>
          <w:rFonts w:ascii="Georgia" w:eastAsia="Calibri" w:hAnsi="Georgia"/>
          <w:color w:val="585756"/>
          <w:kern w:val="18"/>
          <w:sz w:val="20"/>
          <w:szCs w:val="22"/>
        </w:rPr>
        <w:t>.</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3DE9D59" w14:textId="77777777" w:rsidR="005F2003" w:rsidRDefault="005F2003" w:rsidP="000534B9">
      <w:pPr>
        <w:pStyle w:val="Titre2"/>
        <w:keepLines w:val="0"/>
        <w:widowControl w:val="0"/>
        <w:tabs>
          <w:tab w:val="num" w:pos="576"/>
        </w:tabs>
        <w:suppressAutoHyphens/>
        <w:spacing w:after="240"/>
      </w:pPr>
      <w:bookmarkStart w:id="160" w:name="_Toc361393832"/>
      <w:bookmarkStart w:id="161" w:name="_Toc361408334"/>
      <w:bookmarkStart w:id="162" w:name="_Toc150246346"/>
      <w:r>
        <w:t>Litiges (art. 73)</w:t>
      </w:r>
      <w:bookmarkEnd w:id="160"/>
      <w:bookmarkEnd w:id="161"/>
      <w:bookmarkEnd w:id="16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 xml:space="preserve">En cas de « litige », c’est-à-dire d’action en justice, la correspondance devra (également) être envoyée à l’adresse suivante : </w:t>
      </w:r>
    </w:p>
    <w:p w14:paraId="15A8FD98"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3" w:name="_Toc150246347"/>
      <w:r>
        <w:lastRenderedPageBreak/>
        <w:t>Termes de référence</w:t>
      </w:r>
      <w:bookmarkEnd w:id="163"/>
    </w:p>
    <w:p w14:paraId="7085135C" w14:textId="77777777" w:rsidR="000451D3" w:rsidRPr="000451D3" w:rsidRDefault="000451D3" w:rsidP="000451D3">
      <w:pPr>
        <w:pStyle w:val="Titre2"/>
      </w:pPr>
      <w:r w:rsidRPr="000451D3">
        <w:t>Contexte général en RDC</w:t>
      </w:r>
    </w:p>
    <w:p w14:paraId="3C44A649"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Un cadre et un contexte macro-économique très fragiles fortement dépendant de la situation mondiale du prix des matières premières produites en RDC, principalement issues des activités extractives</w:t>
      </w:r>
    </w:p>
    <w:p w14:paraId="30AC0DB8"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80% du budget de l’état dépend de ses exportations – il a été ramené de 12 à 5 milliards d’USD pour 2020 ne laissant que très peu de possibilités à l’investissement public structurant et au financement des coûts de fonctionnement des politiques publiques existants ou nouvelles ;</w:t>
      </w:r>
    </w:p>
    <w:p w14:paraId="53972575"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La demande en biens manufacturés et denrées alimentaires est structurellement toujours supérieure à l’offre intérieure entrainant des risques inflationnistes élevés lors de crises conjoncturelles, une grande dépendance aux importations et une balance des payements structurellement déséquilibrée ;</w:t>
      </w:r>
    </w:p>
    <w:p w14:paraId="6884DCA2"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La prévalence de la pauvreté touche au moins 60% de la population ;</w:t>
      </w:r>
    </w:p>
    <w:p w14:paraId="4C11189B"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Une incertitude politique et réglementaire qui subsiste : L'instabilité politique et les changements fréquents dans la réglementation peuvent rendre difficile la planification à long terme pour les entrepreneurs.</w:t>
      </w:r>
    </w:p>
    <w:p w14:paraId="46E9BF69"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Un accès très restreint au financement : Les MPME en RDC éprouvent les plus vives difficultés à obtenir des financements pour leurs entreprises en raison du manque d'institutions financières fiables et de la méfiance envers le secteur bancaire. L'accès au financement reste l'un des défis majeurs pour les entrepreneurs en RDC. Les institutions financières locales sont souvent réticentes à prêter aux petites entreprises, et il existe un manque d'investisseurs en capital-risque et en capital-investissement pour soutenir les start-ups</w:t>
      </w:r>
    </w:p>
    <w:p w14:paraId="1060F577"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Environnement réglementaire complexe et corruption : Les entrepreneurs doivent naviguer dans un environnement réglementaire complexe et souvent instable en RDC. Les démarches pour enregistrer une entreprise et obtenir des licences peuvent être longues et coûteuses. La corruption et les tracasseries informelles sont très répandues, ce qui peut rendre très complexe la création de valeur ajoutée, en particulier pour les petites entreprises.</w:t>
      </w:r>
    </w:p>
    <w:p w14:paraId="72B5934B"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Infrastructures inadéquates : Les problèmes d'infrastructures, tels que l'électricité instable et les routes en mauvais état augmentent les coûts de production et de distribution pour les entrepreneurs.</w:t>
      </w:r>
    </w:p>
    <w:p w14:paraId="3AE0A5DF"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Formation et compétences : Un accès limité à une éducation de qualité et à des programmes de formation professionnelle peut rendre difficile le recrutement de travailleurs qualifiés.</w:t>
      </w:r>
    </w:p>
    <w:p w14:paraId="57483F24"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Manque d'infrastructures de soutien à l’entreprenariat et à l’écosystème naissant : besoin pressant d'infrastructures de soutien pour les entrepreneurs, notamment des incubateurs, des espaces de coworking, des centres de formation et des programmes de mentorat. Bien que certains de ces éléments existent, ils sont limités en nombre et en capacité soft.</w:t>
      </w:r>
    </w:p>
    <w:p w14:paraId="09AB2DD6"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t xml:space="preserve">Promotion de l'innovation : Nécessaire soutien à la recherche et au développement (R&amp;D) pour stimuler l'innovation, organisation de concours et de hackathons pour encourager la création de start-ups technologiques en réponse aux besoins non satisfaits des opérateurs économiques de plus grande taille </w:t>
      </w:r>
    </w:p>
    <w:p w14:paraId="070A117C" w14:textId="77777777" w:rsidR="000451D3" w:rsidRPr="000451D3" w:rsidRDefault="000451D3" w:rsidP="000451D3">
      <w:pPr>
        <w:numPr>
          <w:ilvl w:val="0"/>
          <w:numId w:val="60"/>
        </w:numPr>
        <w:autoSpaceDE w:val="0"/>
        <w:autoSpaceDN w:val="0"/>
        <w:adjustRightInd w:val="0"/>
        <w:spacing w:after="0"/>
        <w:jc w:val="both"/>
        <w:rPr>
          <w:rFonts w:cs="Calibri"/>
          <w:color w:val="333333"/>
          <w:szCs w:val="21"/>
        </w:rPr>
      </w:pPr>
      <w:r w:rsidRPr="000451D3">
        <w:rPr>
          <w:rFonts w:cs="Calibri"/>
          <w:color w:val="333333"/>
          <w:szCs w:val="21"/>
        </w:rPr>
        <w:lastRenderedPageBreak/>
        <w:t>Collaboration avec des instituts de recherche et des incubateurs pour favoriser l'innovation.</w:t>
      </w:r>
    </w:p>
    <w:p w14:paraId="284D7201" w14:textId="77777777" w:rsidR="000451D3" w:rsidRPr="000451D3" w:rsidRDefault="000451D3" w:rsidP="000451D3">
      <w:pPr>
        <w:autoSpaceDE w:val="0"/>
        <w:autoSpaceDN w:val="0"/>
        <w:adjustRightInd w:val="0"/>
        <w:spacing w:after="0"/>
        <w:rPr>
          <w:rFonts w:cs="Calibri"/>
          <w:color w:val="333333"/>
          <w:szCs w:val="21"/>
        </w:rPr>
      </w:pPr>
    </w:p>
    <w:p w14:paraId="3E1B4D6E" w14:textId="77777777" w:rsidR="000451D3" w:rsidRPr="000451D3" w:rsidRDefault="000451D3" w:rsidP="000451D3">
      <w:pPr>
        <w:pStyle w:val="Titre2"/>
      </w:pPr>
      <w:r w:rsidRPr="000451D3">
        <w:t xml:space="preserve">Contexte spécifique </w:t>
      </w:r>
    </w:p>
    <w:p w14:paraId="38765039" w14:textId="77777777" w:rsidR="000451D3" w:rsidRPr="000451D3" w:rsidRDefault="000451D3" w:rsidP="000451D3">
      <w:pPr>
        <w:autoSpaceDE w:val="0"/>
        <w:autoSpaceDN w:val="0"/>
        <w:adjustRightInd w:val="0"/>
        <w:spacing w:after="0"/>
        <w:rPr>
          <w:rFonts w:cs="Calibri"/>
          <w:b/>
          <w:color w:val="333333"/>
          <w:szCs w:val="21"/>
        </w:rPr>
      </w:pPr>
    </w:p>
    <w:p w14:paraId="2DF07DB0" w14:textId="77777777" w:rsidR="000451D3" w:rsidRPr="000451D3" w:rsidRDefault="000451D3" w:rsidP="000451D3">
      <w:pPr>
        <w:pStyle w:val="Titre3"/>
      </w:pPr>
      <w:r w:rsidRPr="000451D3">
        <w:t xml:space="preserve">Jeunesse et entreprenariat </w:t>
      </w:r>
    </w:p>
    <w:p w14:paraId="7E12A0C0" w14:textId="77777777" w:rsidR="000451D3" w:rsidRPr="000451D3" w:rsidRDefault="000451D3" w:rsidP="000451D3">
      <w:pPr>
        <w:autoSpaceDE w:val="0"/>
        <w:autoSpaceDN w:val="0"/>
        <w:adjustRightInd w:val="0"/>
        <w:spacing w:after="0"/>
        <w:rPr>
          <w:rFonts w:cs="Calibri"/>
          <w:b/>
          <w:bCs/>
          <w:color w:val="333333"/>
          <w:szCs w:val="21"/>
        </w:rPr>
      </w:pPr>
    </w:p>
    <w:p w14:paraId="2BADE175"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 xml:space="preserve">En 2012, la jeunesse en RDC était estimée à plus de 68 % de la population. La moitié avait alors moins de 25 ans. Aujourd’hui, le défi démographique s’est intensifié : </w:t>
      </w:r>
      <w:r w:rsidRPr="000451D3">
        <w:rPr>
          <w:rFonts w:cs="Calibri"/>
          <w:b/>
          <w:color w:val="333333"/>
          <w:szCs w:val="21"/>
        </w:rPr>
        <w:t>les jeunes de moins de 35 ans représentent aujourd’hui 80% de la population soit 73 millions de personnes</w:t>
      </w:r>
      <w:r w:rsidRPr="000451D3">
        <w:rPr>
          <w:rFonts w:cs="Calibri"/>
          <w:color w:val="333333"/>
          <w:szCs w:val="21"/>
        </w:rPr>
        <w:t>. La précarité et son corollaire, la perte de confiance envers la société gagnent de plus en plus de jeunes. La croissance démographique explosive couplée à un développement urbain anarchique constitué de nombreuses poches, telles un réservoir de main d’œuvre de jeunes, infra qualifiés et frappés par un chômage de masse et un sous-emploi structurel, qui masquent d’incroyables capacités à la débrouille, à l’innovation et à la créativité ;</w:t>
      </w:r>
    </w:p>
    <w:p w14:paraId="48AF1B26"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b/>
          <w:bCs/>
          <w:color w:val="333333"/>
          <w:szCs w:val="21"/>
          <w:lang w:val="fr-FR"/>
        </w:rPr>
        <w:t>La prédominance de l’économie informelle</w:t>
      </w:r>
      <w:r w:rsidRPr="000451D3">
        <w:rPr>
          <w:rFonts w:cs="Calibri"/>
          <w:color w:val="333333"/>
          <w:szCs w:val="21"/>
          <w:lang w:val="fr-FR"/>
        </w:rPr>
        <w:t xml:space="preserve">. L’emploi informel se traduit par des MPME de très petite taille qui constituent le cœur de l’économie congolaise. La croissance du secteur informel ne doit pas être vue comme un signe de dynamisme de l’activité privée, mais surtout comme la résultante de la précarisation généralisée de l’emploi formel. </w:t>
      </w:r>
    </w:p>
    <w:p w14:paraId="00B14BE3"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b/>
          <w:color w:val="333333"/>
          <w:szCs w:val="21"/>
          <w:lang w:val="fr-FR"/>
        </w:rPr>
        <w:t>L’entreprenariat « de subsistance » et « de croissance</w:t>
      </w:r>
      <w:r w:rsidRPr="000451D3">
        <w:rPr>
          <w:rFonts w:cs="Calibri"/>
          <w:color w:val="333333"/>
          <w:szCs w:val="21"/>
          <w:lang w:val="fr-FR"/>
        </w:rPr>
        <w:t xml:space="preserve"> » sont tous deux confrontés à un climat des affaires hostile : accès très limité à l’énergie, aux infrastructures dont les routes, prédominance des tracasseries financières diverses et d’une corruption endémique. Les possibilités d’accès au crédit sont très réduites en raison des garanties exigées et de taux d’intérêt souvent prohibitifs. Ce qui confine les entrepreneurs à des activités basiques à faible valeur ajoutée. </w:t>
      </w:r>
    </w:p>
    <w:p w14:paraId="2CB8F718"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Malgré ces difficultés, des entrepreneurs et faitières sectorielles s’efforcent d’émerger dans les secteurs les plus porteurs de l’économie. Un</w:t>
      </w:r>
      <w:r w:rsidRPr="000451D3">
        <w:rPr>
          <w:rFonts w:cs="Calibri"/>
          <w:b/>
          <w:color w:val="333333"/>
          <w:szCs w:val="21"/>
          <w:lang w:val="fr-FR"/>
        </w:rPr>
        <w:t xml:space="preserve"> potentiel effet multiplicateur</w:t>
      </w:r>
      <w:r w:rsidRPr="000451D3">
        <w:rPr>
          <w:rFonts w:cs="Calibri"/>
          <w:color w:val="333333"/>
          <w:szCs w:val="21"/>
          <w:lang w:val="fr-FR"/>
        </w:rPr>
        <w:t xml:space="preserve"> en particulier dans les trois bassins d’emploi urbains des provinces du Haut Katanga, du Lualaba et de Kinshasa. Des dynamiques portées par de jeunes entrepreneurs au sein </w:t>
      </w:r>
      <w:r w:rsidRPr="000451D3">
        <w:rPr>
          <w:rFonts w:cs="Calibri"/>
          <w:b/>
          <w:color w:val="333333"/>
          <w:szCs w:val="21"/>
          <w:lang w:val="fr-FR"/>
        </w:rPr>
        <w:t>d’incubateurs ou de Hub d’innovation, structurent progressivement les écosystèmes entrepreneuriaux</w:t>
      </w:r>
      <w:r w:rsidRPr="000451D3">
        <w:rPr>
          <w:rFonts w:cs="Calibri"/>
          <w:color w:val="333333"/>
          <w:szCs w:val="21"/>
          <w:lang w:val="fr-FR"/>
        </w:rPr>
        <w:t xml:space="preserve"> dans les grandes villes du pays mais les efforts sont fragmentés et les initiatives sont principalement conduites par le secteur privé. Des efforts significatifs sont également entrepris dans les autres provinces d’intervention, tant au niveau rural qu’urbain via des dispositifs expérimentaux d’incubation.</w:t>
      </w:r>
    </w:p>
    <w:p w14:paraId="4EEC0CF7"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b/>
          <w:bCs/>
          <w:color w:val="333333"/>
          <w:szCs w:val="21"/>
          <w:lang w:val="fr-FR"/>
        </w:rPr>
        <w:t>Les obstacles à l’auto-emploi décent et à la création d’entreprise</w:t>
      </w:r>
      <w:r w:rsidRPr="000451D3">
        <w:rPr>
          <w:rFonts w:cs="Calibri"/>
          <w:color w:val="333333"/>
          <w:szCs w:val="21"/>
          <w:lang w:val="fr-FR"/>
        </w:rPr>
        <w:t xml:space="preserve"> par les femmes sont multiples et souvent </w:t>
      </w:r>
      <w:r w:rsidRPr="000451D3">
        <w:rPr>
          <w:rFonts w:cs="Calibri"/>
          <w:b/>
          <w:bCs/>
          <w:color w:val="333333"/>
          <w:szCs w:val="21"/>
          <w:lang w:val="fr-FR"/>
        </w:rPr>
        <w:t>plus importants pour les femmes</w:t>
      </w:r>
      <w:r w:rsidRPr="000451D3">
        <w:rPr>
          <w:rFonts w:cs="Calibri"/>
          <w:color w:val="333333"/>
          <w:szCs w:val="21"/>
          <w:lang w:val="fr-FR"/>
        </w:rPr>
        <w:t xml:space="preserve"> que pour les hommes. </w:t>
      </w:r>
      <w:r w:rsidRPr="000451D3">
        <w:rPr>
          <w:rFonts w:cs="Calibri"/>
          <w:b/>
          <w:bCs/>
          <w:color w:val="333333"/>
          <w:szCs w:val="21"/>
          <w:lang w:val="fr-FR"/>
        </w:rPr>
        <w:t>S</w:t>
      </w:r>
      <w:r w:rsidRPr="000451D3">
        <w:rPr>
          <w:rFonts w:cs="Calibri"/>
          <w:color w:val="333333"/>
          <w:szCs w:val="21"/>
          <w:lang w:val="fr-FR"/>
        </w:rPr>
        <w:t xml:space="preserve">ur le marché du travail comme dans la société congolaise, les écarts entre les sexes sont encore saillants, obérant le développement économique de l'ensemble du pays. Survivantes – de violences domestiques, pour 52% d'entre elles, selon l'ONU –, résilientes, combattantes : être une femme en République démocratique du Congo (RDC), pays d'Afrique centrale qui pointe à la 186e place sur 187 dans l'Indice de développement humain (IDH), relève du défi quotidien. Un quotidien qui, pour beaucoup d'entre elles, articule difficilement responsabilités familiales et recherche de moyens de subsistance : en RDC en effet, « seules 62% des femmes font partie de la population active et à peine 6,4% d'entre elles ont un emploi salarié, contre 23,9% des hommes », selon un rapport de la Banque mondiale. Par ailleurs, les femmes congolaises sont 8,2% moins susceptibles de travailler que les hommes et leurs salaires sont, selon la </w:t>
      </w:r>
      <w:r w:rsidRPr="000451D3">
        <w:rPr>
          <w:rFonts w:cs="Calibri"/>
          <w:color w:val="333333"/>
          <w:szCs w:val="21"/>
          <w:lang w:val="fr-FR"/>
        </w:rPr>
        <w:lastRenderedPageBreak/>
        <w:t>même étude, inférieurs de plus de 77% à ceux de leurs homologues masculins. En bref, les inégalités femmes – hommes, déjà systémiques au niveau international, sont encore plus prégnantes au Congo.</w:t>
      </w:r>
    </w:p>
    <w:p w14:paraId="50BA3C61"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Une main d’œuvre informelle qui n’a pas accès à la formation, est très peu syndiquée et représentée dans les organisations patronales ;</w:t>
      </w:r>
    </w:p>
    <w:p w14:paraId="13AB32E7"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Un niveau de productivité du travail parmi le plus faible du monde ;</w:t>
      </w:r>
    </w:p>
    <w:p w14:paraId="5AFCC155" w14:textId="24115F2F" w:rsidR="000451D3" w:rsidRPr="000451D3" w:rsidRDefault="000451D3" w:rsidP="000451D3">
      <w:pPr>
        <w:autoSpaceDE w:val="0"/>
        <w:autoSpaceDN w:val="0"/>
        <w:adjustRightInd w:val="0"/>
        <w:spacing w:after="0"/>
        <w:rPr>
          <w:rFonts w:cs="Calibri"/>
          <w:color w:val="333333"/>
          <w:szCs w:val="21"/>
          <w:lang w:val="fr-FR"/>
        </w:rPr>
      </w:pPr>
    </w:p>
    <w:p w14:paraId="2D91B1D9" w14:textId="77777777" w:rsidR="000451D3" w:rsidRPr="000451D3" w:rsidRDefault="000451D3" w:rsidP="000451D3">
      <w:pPr>
        <w:pStyle w:val="Titre3"/>
      </w:pPr>
      <w:r w:rsidRPr="000451D3">
        <w:t>Spécificités au niveau urbain (particulièrement Kinshasa, Kolwezi et Lubumbashi)</w:t>
      </w:r>
    </w:p>
    <w:p w14:paraId="49608EC0" w14:textId="77777777" w:rsidR="000451D3" w:rsidRPr="000451D3" w:rsidRDefault="000451D3" w:rsidP="000451D3">
      <w:pPr>
        <w:autoSpaceDE w:val="0"/>
        <w:autoSpaceDN w:val="0"/>
        <w:adjustRightInd w:val="0"/>
        <w:spacing w:after="0"/>
        <w:rPr>
          <w:rFonts w:cs="Calibri"/>
          <w:color w:val="333333"/>
          <w:szCs w:val="21"/>
        </w:rPr>
      </w:pPr>
    </w:p>
    <w:p w14:paraId="18512914"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A Lubumbashi et Kolwezi : villes positionnées au cœur de la région minière du Katanga en pleine croissance démographique, ce qui en fait un point de départ naturel pour les entreprises liées au secteur minier, y compris les services, la logistique et la technologie.</w:t>
      </w:r>
    </w:p>
    <w:p w14:paraId="7CA1A91F"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Éducation et recherche : La présence d'institutions éducatives et de recherche, telles que l'Université de Lubumbashi, peut favoriser l'innovation et la création d'entreprises axées sur la technologie et la recherche (fabrication de batteries par exemple)</w:t>
      </w:r>
    </w:p>
    <w:p w14:paraId="60E207B1"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Lubumbashi dispose de meilleures infrastructures de transport par rapport à d'autres villes de la RDC, ce qui peut faciliter la distribution des produits et le commerce régional.</w:t>
      </w:r>
    </w:p>
    <w:p w14:paraId="5A4DEDD6"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 xml:space="preserve">Néanmoins, accès limité de la population aux services de base tels que l’eau, l’électricité ou la collecte des déchets </w:t>
      </w:r>
    </w:p>
    <w:p w14:paraId="7AAA1117"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Panorama de l’économie urbaine plurielle entre économie informelle prédominante et économie formelle principalement tertiaire ; Potentiel de l’économie verte et circulaire en général à valider</w:t>
      </w:r>
    </w:p>
    <w:p w14:paraId="695EA433"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Prédominance de l’économie informelle : chaque sous-secteur est marqué par des spécificités. Par exemple, le maraîchage est un secteur exclusivement féminin où le salaire et la formation sont très faibles pour les « ouvrières agricoles » informelles alors à l’instar de la transformation agro-alimentaire. Les femmes font preuve d’un grand esprit entrepreneurial (individuel ou en groupe) et ont la réputation d’être fiables, productives, dynamiques et rigoureuses dans le développement de leurs activités économiques ;</w:t>
      </w:r>
    </w:p>
    <w:p w14:paraId="6ECE3AAD"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Economie formelle bien présente dans les services, la logistique et l’industrie, en demande de main d’œuvre productive ;</w:t>
      </w:r>
    </w:p>
    <w:p w14:paraId="78ADEC3D"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 xml:space="preserve">Un écosystème entrepreneurial émergent mais encore peu lisible pour les </w:t>
      </w:r>
      <w:proofErr w:type="spellStart"/>
      <w:r w:rsidRPr="000451D3">
        <w:rPr>
          <w:rFonts w:cs="Calibri"/>
          <w:color w:val="333333"/>
          <w:szCs w:val="21"/>
          <w:lang w:val="fr-FR"/>
        </w:rPr>
        <w:t>entrepreneur.</w:t>
      </w:r>
      <w:proofErr w:type="gramStart"/>
      <w:r w:rsidRPr="000451D3">
        <w:rPr>
          <w:rFonts w:cs="Calibri"/>
          <w:color w:val="333333"/>
          <w:szCs w:val="21"/>
          <w:lang w:val="fr-FR"/>
        </w:rPr>
        <w:t>e.s</w:t>
      </w:r>
      <w:proofErr w:type="spellEnd"/>
      <w:proofErr w:type="gramEnd"/>
      <w:r w:rsidRPr="000451D3">
        <w:rPr>
          <w:rFonts w:cs="Calibri"/>
          <w:color w:val="333333"/>
          <w:szCs w:val="21"/>
          <w:lang w:val="fr-FR"/>
        </w:rPr>
        <w:t> ;</w:t>
      </w:r>
    </w:p>
    <w:p w14:paraId="434CE7DB"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lang w:val="fr-FR"/>
        </w:rPr>
        <w:t>Une situation fortement discriminée des femmes positionnées dans tous les secteurs d’activité, tant dans leur fonction d’entrepreneur que quand elles sont « employées » dans le secteur informel. Si leur précarité est criante, leur capacité de résilience et d’acteur de changement dans tous les secteurs de l’économie n’en est pas moins déterminante ;</w:t>
      </w:r>
    </w:p>
    <w:p w14:paraId="78679499" w14:textId="77777777" w:rsidR="000451D3" w:rsidRPr="000451D3" w:rsidRDefault="000451D3" w:rsidP="000451D3">
      <w:pPr>
        <w:numPr>
          <w:ilvl w:val="0"/>
          <w:numId w:val="62"/>
        </w:numPr>
        <w:autoSpaceDE w:val="0"/>
        <w:autoSpaceDN w:val="0"/>
        <w:adjustRightInd w:val="0"/>
        <w:spacing w:after="0"/>
        <w:jc w:val="both"/>
        <w:rPr>
          <w:rFonts w:cs="Calibri"/>
          <w:color w:val="333333"/>
          <w:szCs w:val="21"/>
          <w:lang w:val="fr-FR"/>
        </w:rPr>
      </w:pPr>
      <w:r w:rsidRPr="000451D3">
        <w:rPr>
          <w:rFonts w:cs="Calibri"/>
          <w:color w:val="333333"/>
          <w:szCs w:val="21"/>
        </w:rPr>
        <w:t>Un réel potentiel de développement et d’opportunités économiques, de création d’emplois urbains et de croissance inclusive et innovante dans les secteurs suivants :</w:t>
      </w:r>
    </w:p>
    <w:p w14:paraId="38BC9BD5"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Chaine de valeur agricole périurbaine ;</w:t>
      </w:r>
    </w:p>
    <w:p w14:paraId="36B303BC"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La digitalisation et la transformation numérique</w:t>
      </w:r>
    </w:p>
    <w:p w14:paraId="0CA31679"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L’économie circulaire :</w:t>
      </w:r>
    </w:p>
    <w:p w14:paraId="67A1C4E5"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L’artisanat</w:t>
      </w:r>
    </w:p>
    <w:p w14:paraId="440B7416"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La construction</w:t>
      </w:r>
    </w:p>
    <w:p w14:paraId="0671433E"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La logistique</w:t>
      </w:r>
    </w:p>
    <w:p w14:paraId="422D4D6E" w14:textId="77777777" w:rsidR="000451D3" w:rsidRPr="000451D3" w:rsidRDefault="000451D3" w:rsidP="000451D3">
      <w:pPr>
        <w:numPr>
          <w:ilvl w:val="0"/>
          <w:numId w:val="63"/>
        </w:numPr>
        <w:autoSpaceDE w:val="0"/>
        <w:autoSpaceDN w:val="0"/>
        <w:adjustRightInd w:val="0"/>
        <w:spacing w:after="0"/>
        <w:jc w:val="both"/>
        <w:rPr>
          <w:rFonts w:cs="Calibri"/>
          <w:color w:val="333333"/>
          <w:szCs w:val="21"/>
        </w:rPr>
      </w:pPr>
      <w:r w:rsidRPr="000451D3">
        <w:rPr>
          <w:rFonts w:cs="Calibri"/>
          <w:color w:val="333333"/>
          <w:szCs w:val="21"/>
        </w:rPr>
        <w:t>L’hôtellerie et le tourisme</w:t>
      </w:r>
    </w:p>
    <w:p w14:paraId="5F005FBB"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lastRenderedPageBreak/>
        <w:t>L’accès au financement reste problématique en particulier pour les femmes : les garanties et sûretés réelles exigées sont considérables, les taux d’intérêts usuraires même dans les IMF ;</w:t>
      </w:r>
    </w:p>
    <w:p w14:paraId="2C6582EB"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L’épargne ne permet pas d’accéder aux investissements dans la majorité des cas. L’éviction des femmes dans l’accès au crédit encore plus criante vu la faible appétence des opérateurs financiers à s’engager pour soutenir des activités à trop faible valeur ajoutée. Activités qui sont systématiquement portées par les femmes avec des niveaux de marge, d’innovation et de productivité qui restent trop faible par rapport aux projets d’entreprises portés par des hommes ;</w:t>
      </w:r>
    </w:p>
    <w:p w14:paraId="4D5C401F"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Un climat des affaires délétère et l’existence de systèmes de tracasserie, de prélèvement informel et de corruption endémique ;</w:t>
      </w:r>
    </w:p>
    <w:p w14:paraId="6714BB6D"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Un taux élevé d’activité entrepreneuriale confronté à un écosystème entrepreneurial embryonnaire : les quelques initiatives visant à stimuler et à accompagner sont réduites en volume et dans leur capacité à jouer un rôle structurant ;</w:t>
      </w:r>
    </w:p>
    <w:p w14:paraId="21674075" w14:textId="77777777" w:rsidR="000451D3" w:rsidRPr="000451D3" w:rsidRDefault="000451D3" w:rsidP="000451D3">
      <w:pPr>
        <w:autoSpaceDE w:val="0"/>
        <w:autoSpaceDN w:val="0"/>
        <w:adjustRightInd w:val="0"/>
        <w:spacing w:after="0"/>
        <w:jc w:val="both"/>
        <w:rPr>
          <w:rFonts w:cs="Calibri"/>
          <w:color w:val="333333"/>
          <w:szCs w:val="21"/>
        </w:rPr>
      </w:pPr>
    </w:p>
    <w:p w14:paraId="112085A6"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Cependant, dans l'ensemble de ces villes, les entrepreneurs sont souvent confrontés à des défis similaires tels que l'accès limité au financement, la bureaucratie administrative, la corruption, l'instabilité politique et les infrastructures inadéquates. Pour réussir dans ces écosystèmes entrepreneuriaux urbains, les entrepreneurs doivent comprendre les spécificités locales, s'adapter aux contraintes du marché et chercher des opportunités de collaboration avec d'autres entreprises et organisations locales.</w:t>
      </w:r>
    </w:p>
    <w:p w14:paraId="3C9E8FD8" w14:textId="77777777" w:rsidR="000451D3" w:rsidRPr="000451D3" w:rsidRDefault="000451D3" w:rsidP="000451D3">
      <w:pPr>
        <w:autoSpaceDE w:val="0"/>
        <w:autoSpaceDN w:val="0"/>
        <w:adjustRightInd w:val="0"/>
        <w:spacing w:after="0"/>
        <w:rPr>
          <w:rFonts w:cs="Calibri"/>
          <w:color w:val="333333"/>
          <w:szCs w:val="21"/>
        </w:rPr>
      </w:pPr>
    </w:p>
    <w:p w14:paraId="2A0129A9" w14:textId="77777777" w:rsidR="000451D3" w:rsidRPr="000451D3" w:rsidRDefault="000451D3" w:rsidP="000451D3">
      <w:pPr>
        <w:pStyle w:val="Titre3"/>
        <w:rPr>
          <w:lang w:val="fr-FR"/>
        </w:rPr>
      </w:pPr>
      <w:r w:rsidRPr="000451D3">
        <w:rPr>
          <w:lang w:val="fr-FR"/>
        </w:rPr>
        <w:t>Spécificités en province (particulièrement Kisangani et Mbujimayi)</w:t>
      </w:r>
    </w:p>
    <w:p w14:paraId="09A80A38" w14:textId="77777777" w:rsidR="000451D3" w:rsidRPr="000451D3" w:rsidRDefault="000451D3" w:rsidP="000451D3">
      <w:pPr>
        <w:autoSpaceDE w:val="0"/>
        <w:autoSpaceDN w:val="0"/>
        <w:adjustRightInd w:val="0"/>
        <w:spacing w:after="0"/>
        <w:rPr>
          <w:rFonts w:cs="Calibri"/>
          <w:color w:val="333333"/>
          <w:szCs w:val="21"/>
        </w:rPr>
      </w:pPr>
    </w:p>
    <w:p w14:paraId="0E9CC74F"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A Kisangani : La province souffre d’un déficit énergétique qui limite l’émergence d’une industrie porteuse de croissance dont prioritairement Kisangani a besoin afin de générer dans les zones rurales des dynamiques socioéconomiques susceptibles d’endiguer les flux migratoires. Les filières structurantes sont l’agro-pastorale, la cimenterie et matériaux de construction, la menuiserie, le textile et dans une moindre mesure l’exploitation minière, fusse-t-elle artisanale.  L’économie est désormais atone, la carence en approvisionnement énergétique constituant le facteur le plus rédhibitoire pour les opérateurs économiques locaux. L’entreprenariat reste le plus souvent confiné au secteur informel, à des activités artisanales peu productives et génératrices de valeur ajoutée. La redynamisation de l’économie locale constitue donc une priorité pour créer des emplois inclusifs et générer de la richesse susceptible d’être redistribuée.</w:t>
      </w:r>
    </w:p>
    <w:p w14:paraId="2F96E7AF" w14:textId="77777777" w:rsidR="000451D3" w:rsidRPr="000451D3" w:rsidRDefault="000451D3" w:rsidP="000451D3">
      <w:pPr>
        <w:numPr>
          <w:ilvl w:val="0"/>
          <w:numId w:val="62"/>
        </w:numPr>
        <w:autoSpaceDE w:val="0"/>
        <w:autoSpaceDN w:val="0"/>
        <w:adjustRightInd w:val="0"/>
        <w:spacing w:after="0"/>
        <w:jc w:val="both"/>
        <w:rPr>
          <w:rFonts w:cs="Calibri"/>
          <w:color w:val="333333"/>
          <w:szCs w:val="21"/>
        </w:rPr>
      </w:pPr>
      <w:r w:rsidRPr="000451D3">
        <w:rPr>
          <w:rFonts w:cs="Calibri"/>
          <w:color w:val="333333"/>
          <w:szCs w:val="21"/>
        </w:rPr>
        <w:t>A Mbujimayi : En dehors de quelques entreprises privées dans l’économie formelle et des fonctions dans l’administration publique, il y a très peu d’opportunités d’emploi formel à Mbujimayi. L’activité socio-économique y semble tourner au ralenti ; le taux de chômage et de sous-emploi avoisine les 40% de la population en âge de travailler et affecte plus particulièrement les jeunes de 18-30 ans. Pour survivre, les chercheurs d’emploi, y compris les jeunes instruits, s’orientent dans des activités économiques informelles ou familiales, où les conditions de travail sont dégradées et les emplois précaires. Aujourd’hui, cette dynamique entrepreneuriale informelle constitue l’épine dorsale de l’économie au Kasaï-Oriental. La plupart des travailleurs informels connaissent des conditions de travail inadaptées et dangereuses, des revenus irréguliers inférieurs aux standards et l’absence de toute protection sociale.  La sécurité alimentaire et la nécessaire structuration de ses filières constitue un autre défi majeur pour la capitale du Kasaï Oriental.</w:t>
      </w:r>
    </w:p>
    <w:p w14:paraId="4B42F113" w14:textId="77777777" w:rsidR="000451D3" w:rsidRPr="000451D3" w:rsidRDefault="000451D3" w:rsidP="000451D3">
      <w:pPr>
        <w:autoSpaceDE w:val="0"/>
        <w:autoSpaceDN w:val="0"/>
        <w:adjustRightInd w:val="0"/>
        <w:spacing w:after="0"/>
        <w:jc w:val="both"/>
        <w:rPr>
          <w:rFonts w:cs="Calibri"/>
          <w:color w:val="333333"/>
          <w:szCs w:val="21"/>
        </w:rPr>
      </w:pPr>
    </w:p>
    <w:p w14:paraId="62275133" w14:textId="77777777" w:rsidR="000451D3" w:rsidRPr="000451D3" w:rsidRDefault="000451D3" w:rsidP="000451D3">
      <w:pPr>
        <w:pStyle w:val="Titre2"/>
      </w:pPr>
      <w:r w:rsidRPr="000451D3">
        <w:lastRenderedPageBreak/>
        <w:t>Priorités d’</w:t>
      </w:r>
      <w:proofErr w:type="spellStart"/>
      <w:r w:rsidRPr="000451D3">
        <w:t>Enabel</w:t>
      </w:r>
      <w:proofErr w:type="spellEnd"/>
      <w:r w:rsidRPr="000451D3">
        <w:t xml:space="preserve"> en RDC</w:t>
      </w:r>
    </w:p>
    <w:p w14:paraId="1962EF91" w14:textId="77777777" w:rsidR="000451D3" w:rsidRPr="000451D3" w:rsidRDefault="000451D3" w:rsidP="000451D3">
      <w:pPr>
        <w:autoSpaceDE w:val="0"/>
        <w:autoSpaceDN w:val="0"/>
        <w:adjustRightInd w:val="0"/>
        <w:spacing w:after="0"/>
        <w:jc w:val="both"/>
        <w:rPr>
          <w:rFonts w:cs="Calibri"/>
          <w:bCs/>
          <w:color w:val="333333"/>
          <w:szCs w:val="21"/>
        </w:rPr>
      </w:pPr>
      <w:r w:rsidRPr="000451D3">
        <w:rPr>
          <w:rFonts w:cs="Calibri"/>
          <w:bCs/>
          <w:color w:val="333333"/>
          <w:szCs w:val="21"/>
        </w:rPr>
        <w:t xml:space="preserve">Cet appel s’inscrit dans le cadre des priorités des programmes Formation Emploi Entreprenariat, Agriculture et jeunesse créative du portefeuille </w:t>
      </w:r>
      <w:proofErr w:type="spellStart"/>
      <w:r w:rsidRPr="000451D3">
        <w:rPr>
          <w:rFonts w:cs="Calibri"/>
          <w:bCs/>
          <w:color w:val="333333"/>
          <w:szCs w:val="21"/>
        </w:rPr>
        <w:t>Enabel</w:t>
      </w:r>
      <w:proofErr w:type="spellEnd"/>
      <w:r w:rsidRPr="000451D3">
        <w:rPr>
          <w:rFonts w:cs="Calibri"/>
          <w:bCs/>
          <w:color w:val="333333"/>
          <w:szCs w:val="21"/>
        </w:rPr>
        <w:t xml:space="preserve"> en RDC jusqu’en 2027, date de fin du nouveau programme de coopération actuellement au début de sa phase d’exécution.  7 provinces sont potentiellement concernées et ciblées tant sur le volet entrepreneurial lié à la formation emploi que sur le volet développement rural et agriculture ainsi que le programme Jeunesse créative selon une perspective et une approche de développement local et territorial intégrée. 3 autres programmes pour tiers seront en exécution durant la même période : un programme de protection sociale et de travail décent, un programme de formation professionnelle additionnel, un programme d’appui à l’enseignement technique agricole et à l’insertion professionnelle (GIFT) le programme </w:t>
      </w:r>
      <w:proofErr w:type="spellStart"/>
      <w:r w:rsidRPr="000451D3">
        <w:rPr>
          <w:rFonts w:cs="Calibri"/>
          <w:bCs/>
          <w:color w:val="333333"/>
          <w:szCs w:val="21"/>
        </w:rPr>
        <w:t>KinEmploi</w:t>
      </w:r>
      <w:proofErr w:type="spellEnd"/>
      <w:r w:rsidRPr="000451D3">
        <w:rPr>
          <w:rFonts w:cs="Calibri"/>
          <w:bCs/>
          <w:color w:val="333333"/>
          <w:szCs w:val="21"/>
        </w:rPr>
        <w:t xml:space="preserve"> et un programme de soutien à la formation et à l’entreprenariat féminin. </w:t>
      </w:r>
    </w:p>
    <w:p w14:paraId="038D3F95" w14:textId="77777777" w:rsidR="000451D3" w:rsidRPr="000451D3" w:rsidRDefault="000451D3" w:rsidP="000451D3">
      <w:pPr>
        <w:autoSpaceDE w:val="0"/>
        <w:autoSpaceDN w:val="0"/>
        <w:adjustRightInd w:val="0"/>
        <w:spacing w:after="0"/>
        <w:jc w:val="both"/>
        <w:rPr>
          <w:rFonts w:cs="Calibri"/>
          <w:bCs/>
          <w:color w:val="333333"/>
          <w:szCs w:val="21"/>
        </w:rPr>
      </w:pPr>
    </w:p>
    <w:p w14:paraId="5CCCE98E" w14:textId="77777777" w:rsidR="000451D3" w:rsidRPr="000451D3" w:rsidRDefault="000451D3" w:rsidP="000451D3">
      <w:pPr>
        <w:autoSpaceDE w:val="0"/>
        <w:autoSpaceDN w:val="0"/>
        <w:adjustRightInd w:val="0"/>
        <w:spacing w:after="0"/>
        <w:jc w:val="both"/>
        <w:rPr>
          <w:rFonts w:cs="Calibri"/>
          <w:bCs/>
          <w:color w:val="333333"/>
          <w:szCs w:val="21"/>
        </w:rPr>
      </w:pPr>
      <w:r w:rsidRPr="000451D3">
        <w:rPr>
          <w:rFonts w:cs="Calibri"/>
          <w:bCs/>
          <w:color w:val="333333"/>
          <w:szCs w:val="21"/>
        </w:rPr>
        <w:t xml:space="preserve">En effet, </w:t>
      </w:r>
      <w:proofErr w:type="spellStart"/>
      <w:r w:rsidRPr="000451D3">
        <w:rPr>
          <w:rFonts w:cs="Calibri"/>
          <w:bCs/>
          <w:color w:val="333333"/>
          <w:szCs w:val="21"/>
        </w:rPr>
        <w:t>Enabel</w:t>
      </w:r>
      <w:proofErr w:type="spellEnd"/>
      <w:r w:rsidRPr="000451D3">
        <w:rPr>
          <w:rFonts w:cs="Calibri"/>
          <w:bCs/>
          <w:color w:val="333333"/>
          <w:szCs w:val="21"/>
        </w:rPr>
        <w:t xml:space="preserve"> entend soutenir une croissance inclusive, contribuer au développement d’un secteur privé créateur d'emplois décents via l’appui à une chaine de valeur de la formation emploi entreprenariat fondée sur :</w:t>
      </w:r>
    </w:p>
    <w:p w14:paraId="3C28CFCB" w14:textId="77777777" w:rsidR="000451D3" w:rsidRPr="000451D3" w:rsidRDefault="000451D3" w:rsidP="000451D3">
      <w:pPr>
        <w:numPr>
          <w:ilvl w:val="0"/>
          <w:numId w:val="61"/>
        </w:numPr>
        <w:autoSpaceDE w:val="0"/>
        <w:autoSpaceDN w:val="0"/>
        <w:adjustRightInd w:val="0"/>
        <w:spacing w:after="0"/>
        <w:jc w:val="both"/>
        <w:rPr>
          <w:rFonts w:cs="Calibri"/>
          <w:bCs/>
          <w:color w:val="333333"/>
          <w:szCs w:val="21"/>
        </w:rPr>
      </w:pPr>
      <w:r w:rsidRPr="000451D3">
        <w:rPr>
          <w:rFonts w:cs="Calibri"/>
          <w:bCs/>
          <w:color w:val="333333"/>
          <w:szCs w:val="21"/>
        </w:rPr>
        <w:t xml:space="preserve">Les compétences entrepreneuriales opérationnelles </w:t>
      </w:r>
    </w:p>
    <w:p w14:paraId="04B8651C" w14:textId="77777777" w:rsidR="000451D3" w:rsidRPr="000451D3" w:rsidRDefault="000451D3" w:rsidP="000451D3">
      <w:pPr>
        <w:numPr>
          <w:ilvl w:val="0"/>
          <w:numId w:val="61"/>
        </w:numPr>
        <w:autoSpaceDE w:val="0"/>
        <w:autoSpaceDN w:val="0"/>
        <w:adjustRightInd w:val="0"/>
        <w:spacing w:after="0"/>
        <w:jc w:val="both"/>
        <w:rPr>
          <w:rFonts w:cs="Calibri"/>
          <w:bCs/>
          <w:color w:val="333333"/>
          <w:szCs w:val="21"/>
        </w:rPr>
      </w:pPr>
      <w:r w:rsidRPr="000451D3">
        <w:rPr>
          <w:rFonts w:cs="Calibri"/>
          <w:bCs/>
          <w:color w:val="333333"/>
          <w:szCs w:val="21"/>
        </w:rPr>
        <w:t xml:space="preserve">Le soutien à des secteurs économiques en structuration, </w:t>
      </w:r>
    </w:p>
    <w:p w14:paraId="310B85CA" w14:textId="77777777" w:rsidR="000451D3" w:rsidRPr="000451D3" w:rsidRDefault="000451D3" w:rsidP="000451D3">
      <w:pPr>
        <w:numPr>
          <w:ilvl w:val="0"/>
          <w:numId w:val="61"/>
        </w:numPr>
        <w:autoSpaceDE w:val="0"/>
        <w:autoSpaceDN w:val="0"/>
        <w:adjustRightInd w:val="0"/>
        <w:spacing w:after="0"/>
        <w:jc w:val="both"/>
        <w:rPr>
          <w:rFonts w:cs="Calibri"/>
          <w:bCs/>
          <w:color w:val="333333"/>
          <w:szCs w:val="21"/>
        </w:rPr>
      </w:pPr>
      <w:r w:rsidRPr="000451D3">
        <w:rPr>
          <w:rFonts w:cs="Calibri"/>
          <w:bCs/>
          <w:color w:val="333333"/>
          <w:szCs w:val="21"/>
        </w:rPr>
        <w:t>Des méthodes innovantes d'accompagnement des jeunes entrepreneurs, des MPME et des clusters/faitières résilients dans leur croissance porteuse d’emplois décents.</w:t>
      </w:r>
    </w:p>
    <w:p w14:paraId="22186D14" w14:textId="77777777" w:rsidR="000451D3" w:rsidRPr="000451D3" w:rsidRDefault="000451D3" w:rsidP="000451D3">
      <w:pPr>
        <w:numPr>
          <w:ilvl w:val="0"/>
          <w:numId w:val="61"/>
        </w:numPr>
        <w:autoSpaceDE w:val="0"/>
        <w:autoSpaceDN w:val="0"/>
        <w:adjustRightInd w:val="0"/>
        <w:spacing w:after="0"/>
        <w:jc w:val="both"/>
        <w:rPr>
          <w:rFonts w:cs="Calibri"/>
          <w:bCs/>
          <w:color w:val="333333"/>
          <w:szCs w:val="21"/>
        </w:rPr>
      </w:pPr>
      <w:r w:rsidRPr="000451D3">
        <w:rPr>
          <w:rFonts w:cs="Calibri"/>
          <w:bCs/>
          <w:color w:val="333333"/>
          <w:szCs w:val="21"/>
        </w:rPr>
        <w:t xml:space="preserve">La consolidation et l’extension qualitative et quantitative de l’offre de prestation des Centres de Ressources/Incubateurs </w:t>
      </w:r>
    </w:p>
    <w:p w14:paraId="1E1D51D0" w14:textId="77777777" w:rsidR="000451D3" w:rsidRPr="000451D3" w:rsidRDefault="000451D3" w:rsidP="000451D3">
      <w:pPr>
        <w:numPr>
          <w:ilvl w:val="0"/>
          <w:numId w:val="61"/>
        </w:numPr>
        <w:autoSpaceDE w:val="0"/>
        <w:autoSpaceDN w:val="0"/>
        <w:adjustRightInd w:val="0"/>
        <w:spacing w:after="0"/>
        <w:jc w:val="both"/>
        <w:rPr>
          <w:rFonts w:cs="Calibri"/>
          <w:bCs/>
          <w:color w:val="333333"/>
          <w:szCs w:val="21"/>
        </w:rPr>
      </w:pPr>
      <w:r w:rsidRPr="000451D3">
        <w:rPr>
          <w:rFonts w:cs="Calibri"/>
          <w:bCs/>
          <w:color w:val="333333"/>
          <w:szCs w:val="21"/>
        </w:rPr>
        <w:t>La structuration de l’écosystème entrepreneurial ira dans le sens d’une consolidation et extension qualitative et quantitative de l’offre de prestation des Centres de ressources/incubateurs tout en contribuant à structurer l’écosystème entrepreneurial.</w:t>
      </w:r>
    </w:p>
    <w:p w14:paraId="65D85F38" w14:textId="77777777" w:rsidR="000451D3" w:rsidRPr="000451D3" w:rsidRDefault="000451D3" w:rsidP="000451D3">
      <w:pPr>
        <w:autoSpaceDE w:val="0"/>
        <w:autoSpaceDN w:val="0"/>
        <w:adjustRightInd w:val="0"/>
        <w:spacing w:after="0"/>
        <w:jc w:val="both"/>
        <w:rPr>
          <w:rFonts w:cs="Calibri"/>
          <w:color w:val="333333"/>
          <w:szCs w:val="21"/>
        </w:rPr>
      </w:pPr>
    </w:p>
    <w:p w14:paraId="38C9CC33" w14:textId="77777777" w:rsidR="000451D3" w:rsidRPr="000451D3" w:rsidRDefault="000451D3" w:rsidP="000451D3">
      <w:pPr>
        <w:autoSpaceDE w:val="0"/>
        <w:autoSpaceDN w:val="0"/>
        <w:adjustRightInd w:val="0"/>
        <w:spacing w:after="0"/>
        <w:jc w:val="both"/>
        <w:rPr>
          <w:rFonts w:cs="Calibri"/>
          <w:color w:val="333333"/>
          <w:szCs w:val="21"/>
          <w:lang w:val="fr-FR"/>
        </w:rPr>
      </w:pPr>
      <w:r w:rsidRPr="000451D3">
        <w:rPr>
          <w:rFonts w:cs="Calibri"/>
          <w:color w:val="333333"/>
          <w:szCs w:val="21"/>
          <w:lang w:val="fr-FR"/>
        </w:rPr>
        <w:t>L’approche stratégique d’</w:t>
      </w:r>
      <w:proofErr w:type="spellStart"/>
      <w:r w:rsidRPr="000451D3">
        <w:rPr>
          <w:rFonts w:cs="Calibri"/>
          <w:color w:val="333333"/>
          <w:szCs w:val="21"/>
          <w:lang w:val="fr-FR"/>
        </w:rPr>
        <w:t>Enabel</w:t>
      </w:r>
      <w:proofErr w:type="spellEnd"/>
      <w:r w:rsidRPr="000451D3">
        <w:rPr>
          <w:rFonts w:cs="Calibri"/>
          <w:color w:val="333333"/>
          <w:szCs w:val="21"/>
          <w:lang w:val="fr-FR"/>
        </w:rPr>
        <w:t xml:space="preserve"> tient compte des caractéristiques socio-économiques des provinces ciblées, de la qualité des dispositifs de soutien à l’employabilité et de la mise à l’emploi des jeunes, de la densité du marché du travail, de la maturité de l’écosystème entrepreneurial ainsi que des acquis des programmes précédents. Sur cette base, la stratégie sera déployée de façon contextualisée dans les provinces ciblées par le portefeuille.</w:t>
      </w:r>
    </w:p>
    <w:p w14:paraId="30AB86BD" w14:textId="77777777" w:rsidR="000451D3" w:rsidRPr="000451D3" w:rsidRDefault="000451D3" w:rsidP="000451D3">
      <w:pPr>
        <w:autoSpaceDE w:val="0"/>
        <w:autoSpaceDN w:val="0"/>
        <w:adjustRightInd w:val="0"/>
        <w:spacing w:after="0"/>
        <w:jc w:val="both"/>
        <w:rPr>
          <w:rFonts w:cs="Calibri"/>
          <w:color w:val="333333"/>
          <w:szCs w:val="21"/>
          <w:lang w:val="fr-FR"/>
        </w:rPr>
      </w:pPr>
      <w:r w:rsidRPr="000451D3">
        <w:rPr>
          <w:rFonts w:cs="Calibri"/>
          <w:b/>
          <w:bCs/>
          <w:color w:val="333333"/>
          <w:szCs w:val="21"/>
          <w:lang w:val="fr-FR"/>
        </w:rPr>
        <w:t xml:space="preserve">La première approche </w:t>
      </w:r>
      <w:r w:rsidRPr="000451D3">
        <w:rPr>
          <w:rFonts w:cs="Calibri"/>
          <w:color w:val="333333"/>
          <w:szCs w:val="21"/>
          <w:lang w:val="fr-FR"/>
        </w:rPr>
        <w:t xml:space="preserve">prend en considération la consolidation du concept et </w:t>
      </w:r>
      <w:r w:rsidRPr="000451D3">
        <w:rPr>
          <w:rFonts w:cs="Calibri"/>
          <w:b/>
          <w:bCs/>
          <w:color w:val="333333"/>
          <w:szCs w:val="21"/>
          <w:lang w:val="fr-FR"/>
        </w:rPr>
        <w:t xml:space="preserve">de l’offre intégrée et multi partenariale des « Centres de Ressources » </w:t>
      </w:r>
      <w:r w:rsidRPr="000451D3">
        <w:rPr>
          <w:rFonts w:cs="Calibri"/>
          <w:color w:val="333333"/>
          <w:szCs w:val="21"/>
          <w:lang w:val="fr-FR"/>
        </w:rPr>
        <w:t xml:space="preserve">(CDR) dans les provinces du Haut Katanga, du Lualaba et de Kinshasa.  Elle fait la part belle aux secteurs porteurs d’emplois et de croissance inclusive.  Les business </w:t>
      </w:r>
      <w:proofErr w:type="spellStart"/>
      <w:r w:rsidRPr="000451D3">
        <w:rPr>
          <w:rFonts w:cs="Calibri"/>
          <w:color w:val="333333"/>
          <w:szCs w:val="21"/>
          <w:lang w:val="fr-FR"/>
        </w:rPr>
        <w:t>models</w:t>
      </w:r>
      <w:proofErr w:type="spellEnd"/>
      <w:r w:rsidRPr="000451D3">
        <w:rPr>
          <w:rFonts w:cs="Calibri"/>
          <w:color w:val="333333"/>
          <w:szCs w:val="21"/>
          <w:lang w:val="fr-FR"/>
        </w:rPr>
        <w:t xml:space="preserve"> innovants et durables, ancrés sur les besoins de la ville, seront privilégiés tels que le secteur de l’économie verte et de la transition énergétique, le secteur des industries culturelles et créatives (ICC), le secteur de la digitalisation (de manière transversale) ou encore le secteur de l’</w:t>
      </w:r>
      <w:proofErr w:type="spellStart"/>
      <w:r w:rsidRPr="000451D3">
        <w:rPr>
          <w:rFonts w:cs="Calibri"/>
          <w:color w:val="333333"/>
          <w:szCs w:val="21"/>
          <w:lang w:val="fr-FR"/>
        </w:rPr>
        <w:t>hospitality</w:t>
      </w:r>
      <w:proofErr w:type="spellEnd"/>
      <w:r w:rsidRPr="000451D3">
        <w:rPr>
          <w:rFonts w:cs="Calibri"/>
          <w:color w:val="333333"/>
          <w:szCs w:val="21"/>
          <w:lang w:val="fr-FR"/>
        </w:rPr>
        <w:t xml:space="preserve">. L’ensemble des déterminants de l’incubation, de l’accélération et des mécanismes de financements innovants seront déployés. Pour les dispositifs d’appui à l’entreprenariat, l’accent sera mis sur la viabilité économique de l’entreprenariat ainsi que sur une logique multi partenariale et multiservices. La redevabilité réciproque entre les acteurs, la participation active du secteur privé, de la société civile de concert avec l'Etat et la promotion de la concertation entre ces acteurs permettront une meilleure pérennité des systèmes appuyés.  La prospection systématique, le partenariat avec le secteur privé et tout le processus intégré qui en découle visant l’identification des emplois formels disponibles pour un </w:t>
      </w:r>
      <w:proofErr w:type="spellStart"/>
      <w:r w:rsidRPr="000451D3">
        <w:rPr>
          <w:rFonts w:cs="Calibri"/>
          <w:color w:val="333333"/>
          <w:szCs w:val="21"/>
          <w:lang w:val="fr-FR"/>
        </w:rPr>
        <w:t>matching</w:t>
      </w:r>
      <w:proofErr w:type="spellEnd"/>
      <w:r w:rsidRPr="000451D3">
        <w:rPr>
          <w:rFonts w:cs="Calibri"/>
          <w:color w:val="333333"/>
          <w:szCs w:val="21"/>
          <w:lang w:val="fr-FR"/>
        </w:rPr>
        <w:t xml:space="preserve"> avec les profils adéquats, se limitera aux provinces du Haut Katanga, du Lualaba et de Kinshasa qui présentent à ce jour le plus grand potentiel. Le partenariat élargi en la matière est d’ores et déjà prévu dans le cadre du portefeuille protection sociale.</w:t>
      </w:r>
    </w:p>
    <w:p w14:paraId="3F5CBBB4" w14:textId="77777777" w:rsidR="000451D3" w:rsidRPr="000451D3" w:rsidRDefault="000451D3" w:rsidP="000451D3">
      <w:pPr>
        <w:autoSpaceDE w:val="0"/>
        <w:autoSpaceDN w:val="0"/>
        <w:adjustRightInd w:val="0"/>
        <w:spacing w:after="0"/>
        <w:jc w:val="both"/>
        <w:rPr>
          <w:rFonts w:cs="Calibri"/>
          <w:color w:val="333333"/>
          <w:szCs w:val="21"/>
          <w:lang w:val="fr-FR"/>
        </w:rPr>
      </w:pPr>
      <w:r w:rsidRPr="000451D3">
        <w:rPr>
          <w:rFonts w:cs="Calibri"/>
          <w:color w:val="333333"/>
          <w:szCs w:val="21"/>
          <w:lang w:val="fr-FR"/>
        </w:rPr>
        <w:lastRenderedPageBreak/>
        <w:t xml:space="preserve">Pour les provinces plus rurales ou au potentiel différent, </w:t>
      </w:r>
      <w:r w:rsidRPr="000451D3">
        <w:rPr>
          <w:rFonts w:cs="Calibri"/>
          <w:b/>
          <w:color w:val="333333"/>
          <w:szCs w:val="21"/>
          <w:lang w:val="fr-FR"/>
        </w:rPr>
        <w:t>la seconde approche, également multi partenariale,</w:t>
      </w:r>
      <w:r w:rsidRPr="000451D3">
        <w:rPr>
          <w:rFonts w:cs="Calibri"/>
          <w:color w:val="333333"/>
          <w:szCs w:val="21"/>
          <w:lang w:val="fr-FR"/>
        </w:rPr>
        <w:t xml:space="preserve"> se centrera, à partir du CdR/incubateur sur la résilience des micros, petites et moyennes entreprises informelles d’une part et sur une offre de services centrées sur la création et/ou l’accélération de MPME résilientes d’autre part. L’accent sera mis en faveur de chaines de valeur plus traditionnelles comme le commerce, l’artisanat, la construction, l’agriculture et la transformation agro-alimentaire. Ce qui n’exclut pas le soutien à d’autres niches ou filières porteuses et la mobilisation de mécanismes expérimentés dans les autres interventions provinciales du portefeuille.  </w:t>
      </w:r>
    </w:p>
    <w:p w14:paraId="6399C753" w14:textId="77777777" w:rsidR="000451D3" w:rsidRPr="000451D3" w:rsidRDefault="000451D3" w:rsidP="000451D3">
      <w:pPr>
        <w:autoSpaceDE w:val="0"/>
        <w:autoSpaceDN w:val="0"/>
        <w:adjustRightInd w:val="0"/>
        <w:spacing w:after="0"/>
        <w:jc w:val="both"/>
        <w:rPr>
          <w:rFonts w:cs="Calibri"/>
          <w:color w:val="333333"/>
          <w:szCs w:val="21"/>
          <w:lang w:val="fr-FR"/>
        </w:rPr>
      </w:pPr>
      <w:r w:rsidRPr="000451D3">
        <w:rPr>
          <w:rFonts w:cs="Calibri"/>
          <w:color w:val="333333"/>
          <w:szCs w:val="21"/>
          <w:lang w:val="fr-FR"/>
        </w:rPr>
        <w:t>Les deux approches devront faire la part belle au développement de l’écosystème, à des stratégies opérationnelles ciblant les femmes ainsi qu’au soutien aux clusters/faitières les plus résilients et porteurs d’emplois décents.</w:t>
      </w:r>
    </w:p>
    <w:p w14:paraId="1D809A50" w14:textId="77777777" w:rsidR="000451D3" w:rsidRPr="000451D3" w:rsidRDefault="000451D3" w:rsidP="000451D3">
      <w:pPr>
        <w:autoSpaceDE w:val="0"/>
        <w:autoSpaceDN w:val="0"/>
        <w:adjustRightInd w:val="0"/>
        <w:spacing w:after="0"/>
        <w:jc w:val="both"/>
        <w:rPr>
          <w:rFonts w:cs="Calibri"/>
          <w:b/>
          <w:color w:val="333333"/>
          <w:szCs w:val="21"/>
        </w:rPr>
      </w:pPr>
      <w:r w:rsidRPr="000451D3">
        <w:rPr>
          <w:rFonts w:cs="Calibri"/>
          <w:color w:val="333333"/>
          <w:szCs w:val="21"/>
          <w:lang w:val="fr-FR"/>
        </w:rPr>
        <w:t xml:space="preserve">Le caractère innovant de la démarche est centré sur la mise à l’échelle progressive de mécanismes d’accompagnement de l’écosystème entrepreneurial. Cette approche agile et simplifiée dépoussière les méthodes visant l’incubation et l’accélération des MPME et des clusters faitiers résilients en plaçant l’innovation au cœur du dispositif.  </w:t>
      </w:r>
    </w:p>
    <w:p w14:paraId="69ACBCC3" w14:textId="77777777" w:rsidR="000451D3" w:rsidRPr="000451D3" w:rsidRDefault="000451D3" w:rsidP="000451D3">
      <w:pPr>
        <w:autoSpaceDE w:val="0"/>
        <w:autoSpaceDN w:val="0"/>
        <w:adjustRightInd w:val="0"/>
        <w:spacing w:after="0"/>
        <w:rPr>
          <w:rFonts w:cs="Calibri"/>
          <w:b/>
          <w:color w:val="333333"/>
          <w:szCs w:val="21"/>
        </w:rPr>
      </w:pPr>
      <w:r w:rsidRPr="000451D3">
        <w:rPr>
          <w:rFonts w:cs="Calibri"/>
          <w:color w:val="333333"/>
          <w:szCs w:val="21"/>
          <w:lang w:val="fr-FR"/>
        </w:rPr>
        <w:object w:dxaOrig="9610" w:dyaOrig="5405" w14:anchorId="77937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52pt" o:ole="">
            <v:imagedata r:id="rId34" o:title=""/>
          </v:shape>
          <o:OLEObject Type="Embed" ProgID="PowerPoint.Slide.12" ShapeID="_x0000_i1025" DrawAspect="Content" ObjectID="_1760861433" r:id="rId35"/>
        </w:object>
      </w:r>
    </w:p>
    <w:p w14:paraId="22D26C8B" w14:textId="77777777" w:rsidR="000451D3" w:rsidRPr="000451D3" w:rsidRDefault="000451D3" w:rsidP="000451D3">
      <w:pPr>
        <w:autoSpaceDE w:val="0"/>
        <w:autoSpaceDN w:val="0"/>
        <w:adjustRightInd w:val="0"/>
        <w:spacing w:after="0"/>
        <w:rPr>
          <w:rFonts w:cs="Calibri"/>
          <w:color w:val="333333"/>
          <w:szCs w:val="21"/>
        </w:rPr>
      </w:pPr>
    </w:p>
    <w:p w14:paraId="7D9AD2F4"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 xml:space="preserve">Un dispositif clé dans la démarche : le Centre de ressources et les incubateurs : les interventions en RDC contribuent à une concertation pluri-acteurs pour piloter le développement d’un Centre de ressources/incubateur et d’une stratégie de développement économique et social urbain. Le Centre de Ressources/incubateur provincial est la clé de voûte de cette stratégie.  C’est un dispositif « ensemblier », multi-services et multi-partenarial géré paritairement. Il vise une meilleure adéquation formation-emploi via le développement territorial.  </w:t>
      </w:r>
    </w:p>
    <w:p w14:paraId="379BDF44"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Le CdR avec ses partenaires, sera capable de mettre en place une prestation de services dédiée au recrutement, à la sélection, à l’orientation professionnelle, à la formation sur mesure et au placement accompagné de chercheurs d’emploi alors que les porteurs d’un projet entrepreneurial individuel ou collectif bénéficieront d’une offre d’incubation. Les entreprises résilientes et porteuses d’emplois se verront proposer une offre de services centrée sur l’accélération de leur activité.  Face à ces constats, le programmation Formation Emploi Entreprenariat, agriculture et jeunesse créative du portefeuille RDC d’</w:t>
      </w:r>
      <w:proofErr w:type="spellStart"/>
      <w:r w:rsidRPr="000451D3">
        <w:rPr>
          <w:rFonts w:cs="Calibri"/>
          <w:color w:val="333333"/>
          <w:szCs w:val="21"/>
        </w:rPr>
        <w:t>Enabel</w:t>
      </w:r>
      <w:proofErr w:type="spellEnd"/>
      <w:r w:rsidRPr="000451D3">
        <w:rPr>
          <w:rFonts w:cs="Calibri"/>
          <w:color w:val="333333"/>
          <w:szCs w:val="21"/>
        </w:rPr>
        <w:t xml:space="preserve">, souhaite favoriser une approche innovante qui stimule la création d’emplois décents ou l’amélioration de ses conditions (emploi décent-dépassement du SMIG).  Les incubateurs existants seront </w:t>
      </w:r>
      <w:r w:rsidRPr="000451D3">
        <w:rPr>
          <w:rFonts w:cs="Calibri"/>
          <w:color w:val="333333"/>
          <w:szCs w:val="21"/>
        </w:rPr>
        <w:lastRenderedPageBreak/>
        <w:t>soutenus dans leur développement à travers maillage opérationnel et partenarial orienté sur leurs clients.</w:t>
      </w:r>
    </w:p>
    <w:p w14:paraId="71D0FAA8"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Ce type d’approche bouscule la communauté de l’écosystème et l’oblige à s’interroger et à développer des solutions pour garantir le fonctionnement de la chaîne de production et l’accès à des infrastructures locales</w:t>
      </w:r>
    </w:p>
    <w:p w14:paraId="792CFFC1" w14:textId="77777777" w:rsidR="000451D3" w:rsidRPr="000451D3" w:rsidRDefault="000451D3" w:rsidP="000451D3">
      <w:pPr>
        <w:autoSpaceDE w:val="0"/>
        <w:autoSpaceDN w:val="0"/>
        <w:adjustRightInd w:val="0"/>
        <w:spacing w:after="0"/>
        <w:rPr>
          <w:rFonts w:cs="Calibri"/>
          <w:color w:val="333333"/>
          <w:szCs w:val="21"/>
        </w:rPr>
      </w:pPr>
    </w:p>
    <w:p w14:paraId="4E5C91B6" w14:textId="77777777" w:rsidR="000451D3" w:rsidRPr="000451D3" w:rsidRDefault="000451D3" w:rsidP="000451D3">
      <w:pPr>
        <w:pStyle w:val="Titre2"/>
      </w:pPr>
      <w:r w:rsidRPr="000451D3">
        <w:t xml:space="preserve">Objectif global du marché contrat cadre </w:t>
      </w:r>
    </w:p>
    <w:p w14:paraId="504EE409"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 xml:space="preserve">L’approche permettra d’aligner progressivement la RDC et ses provinces aux standards internationaux, tout en permettant une forte implication des structures et ressources humaines locales, dans un écosystème entrepreneurial qui privilégiera le public cible jeune, les femmes en particulier et les filières potentiellement les plus porteuses résilientes et créatrices d’emplois de l’économie congolaise. L’ensemble du portefeuille </w:t>
      </w:r>
      <w:proofErr w:type="spellStart"/>
      <w:r w:rsidRPr="000451D3">
        <w:rPr>
          <w:rFonts w:cs="Calibri"/>
          <w:color w:val="333333"/>
          <w:szCs w:val="21"/>
        </w:rPr>
        <w:t>Enabel</w:t>
      </w:r>
      <w:proofErr w:type="spellEnd"/>
      <w:r w:rsidRPr="000451D3">
        <w:rPr>
          <w:rFonts w:cs="Calibri"/>
          <w:color w:val="333333"/>
          <w:szCs w:val="21"/>
        </w:rPr>
        <w:t xml:space="preserve"> en RDC entend contribuer au développement économique inclusif et durable, et en particulier à la création de valeur ajoutée et à la création d’emplois durables et décents dans l’économie (in)formelle. La programmation </w:t>
      </w:r>
      <w:proofErr w:type="spellStart"/>
      <w:r w:rsidRPr="000451D3">
        <w:rPr>
          <w:rFonts w:cs="Calibri"/>
          <w:color w:val="333333"/>
          <w:szCs w:val="21"/>
        </w:rPr>
        <w:t>Enabel</w:t>
      </w:r>
      <w:proofErr w:type="spellEnd"/>
      <w:r w:rsidRPr="000451D3">
        <w:rPr>
          <w:rFonts w:cs="Calibri"/>
          <w:color w:val="333333"/>
          <w:szCs w:val="21"/>
        </w:rPr>
        <w:t xml:space="preserve"> en RDC contribue à l’insertion et l’émancipation professionnelle effective des jeunes, et surtout des jeunes femmes dans des emplois correspondant le plus possible aux normes du travail décent.  L’accompagnement de l’écosystème entrepreneurial doit s’envisager dans une perspective holistique et systémique des structures d’accompagnement à l’incubation, à l’accélération.</w:t>
      </w:r>
    </w:p>
    <w:p w14:paraId="7D8EFCD7"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color w:val="333333"/>
          <w:szCs w:val="21"/>
        </w:rPr>
        <w:t xml:space="preserve">L’objectif global de ce marché contrat cadre est de contribuer au développement sur la période fin 2023 – 2027 d’une offre de services pérenne dans les provinces ciblées par </w:t>
      </w:r>
      <w:proofErr w:type="spellStart"/>
      <w:r w:rsidRPr="000451D3">
        <w:rPr>
          <w:rFonts w:cs="Calibri"/>
          <w:color w:val="333333"/>
          <w:szCs w:val="21"/>
        </w:rPr>
        <w:t>Enabel</w:t>
      </w:r>
      <w:proofErr w:type="spellEnd"/>
      <w:r w:rsidRPr="000451D3">
        <w:rPr>
          <w:rFonts w:cs="Calibri"/>
          <w:color w:val="333333"/>
          <w:szCs w:val="21"/>
        </w:rPr>
        <w:t xml:space="preserve"> en RDC déclinées en 3 volets qui s’articulent l’un avec l’autre et au bénéfice de différentes interventions sectorielles en Formation Entreprenariat Emploi, en agriculture et Jeunesse et conscience culturelle.</w:t>
      </w:r>
    </w:p>
    <w:p w14:paraId="7186C08F" w14:textId="77777777" w:rsidR="000451D3" w:rsidRPr="000451D3" w:rsidRDefault="000451D3" w:rsidP="000451D3">
      <w:pPr>
        <w:pStyle w:val="Titre2"/>
      </w:pPr>
      <w:r w:rsidRPr="000451D3">
        <w:t xml:space="preserve">Objectif spécifique du marché contrat cadre </w:t>
      </w:r>
    </w:p>
    <w:p w14:paraId="599622E9" w14:textId="77777777" w:rsidR="000451D3" w:rsidRPr="000451D3" w:rsidRDefault="000451D3" w:rsidP="000451D3">
      <w:pPr>
        <w:autoSpaceDE w:val="0"/>
        <w:autoSpaceDN w:val="0"/>
        <w:adjustRightInd w:val="0"/>
        <w:spacing w:after="0"/>
        <w:jc w:val="both"/>
        <w:rPr>
          <w:rFonts w:cs="Calibri"/>
          <w:bCs/>
          <w:color w:val="333333"/>
          <w:szCs w:val="21"/>
        </w:rPr>
      </w:pPr>
      <w:r w:rsidRPr="000451D3">
        <w:rPr>
          <w:rFonts w:cs="Calibri"/>
          <w:bCs/>
          <w:color w:val="333333"/>
          <w:szCs w:val="21"/>
        </w:rPr>
        <w:t>Contribuer à soutenir la pérennité de l’ensemble de l’écosystème, ses opérateurs et leur offre de prestation tant d’un point de vue qualitatif que quantitatif en vue d’une amélioration de l’inclusivité dans le travail décent et l’émancipation économique et sociale des jeunes en majorité constitués de femmes.</w:t>
      </w:r>
    </w:p>
    <w:p w14:paraId="6FC63350" w14:textId="77777777" w:rsidR="000451D3" w:rsidRPr="000451D3" w:rsidRDefault="000451D3" w:rsidP="000451D3">
      <w:pPr>
        <w:autoSpaceDE w:val="0"/>
        <w:autoSpaceDN w:val="0"/>
        <w:adjustRightInd w:val="0"/>
        <w:spacing w:after="0"/>
        <w:jc w:val="both"/>
        <w:rPr>
          <w:rFonts w:cs="Calibri"/>
          <w:bCs/>
          <w:color w:val="333333"/>
          <w:szCs w:val="21"/>
        </w:rPr>
      </w:pPr>
    </w:p>
    <w:p w14:paraId="21AB68C5" w14:textId="77777777" w:rsidR="000451D3" w:rsidRPr="000451D3" w:rsidRDefault="000451D3" w:rsidP="000451D3">
      <w:pPr>
        <w:autoSpaceDE w:val="0"/>
        <w:autoSpaceDN w:val="0"/>
        <w:adjustRightInd w:val="0"/>
        <w:spacing w:after="0"/>
        <w:jc w:val="both"/>
        <w:rPr>
          <w:rFonts w:cs="Calibri"/>
          <w:color w:val="333333"/>
          <w:szCs w:val="21"/>
        </w:rPr>
      </w:pPr>
      <w:r w:rsidRPr="000451D3">
        <w:rPr>
          <w:rFonts w:cs="Calibri"/>
          <w:bCs/>
          <w:color w:val="333333"/>
          <w:szCs w:val="21"/>
        </w:rPr>
        <w:t xml:space="preserve">L’ensemble des déterminants de l’incubation, de l’accélération, du soutien aux clusters innovants – prioritairement issus de l’économie sociale - ou encore les faitières en structuration de l’économie (in)formelle - et des mécanismes de financements structurants </w:t>
      </w:r>
      <w:r w:rsidRPr="000451D3">
        <w:rPr>
          <w:rFonts w:cs="Calibri"/>
          <w:color w:val="333333"/>
          <w:szCs w:val="21"/>
        </w:rPr>
        <w:t xml:space="preserve">et d’accès aux marchés porteurs </w:t>
      </w:r>
      <w:r w:rsidRPr="000451D3">
        <w:rPr>
          <w:rFonts w:cs="Calibri"/>
          <w:bCs/>
          <w:color w:val="333333"/>
          <w:szCs w:val="21"/>
        </w:rPr>
        <w:t xml:space="preserve">doivent être déployés.  Tout cela pour soutenir l’écosystème de chaque province dans les différentes phases de sa maturité. </w:t>
      </w:r>
      <w:r w:rsidRPr="000451D3">
        <w:rPr>
          <w:rFonts w:cs="Calibri"/>
          <w:color w:val="333333"/>
          <w:szCs w:val="21"/>
        </w:rPr>
        <w:t xml:space="preserve">Les programmes ciblés se situent en zone urbaine et/ou rurale dans au moins 7 provinces et déploient leurs activités autour des pôles sectoriels d’activité économique les plus porteurs. </w:t>
      </w:r>
    </w:p>
    <w:p w14:paraId="47DF05D6" w14:textId="77777777" w:rsidR="000451D3" w:rsidRPr="000451D3" w:rsidRDefault="000451D3" w:rsidP="000451D3">
      <w:pPr>
        <w:autoSpaceDE w:val="0"/>
        <w:autoSpaceDN w:val="0"/>
        <w:adjustRightInd w:val="0"/>
        <w:spacing w:after="0"/>
        <w:jc w:val="both"/>
        <w:rPr>
          <w:rFonts w:cs="Calibri"/>
          <w:bCs/>
          <w:color w:val="333333"/>
          <w:szCs w:val="21"/>
        </w:rPr>
      </w:pPr>
      <w:r w:rsidRPr="000451D3">
        <w:rPr>
          <w:rFonts w:cs="Calibri"/>
          <w:bCs/>
          <w:color w:val="333333"/>
          <w:szCs w:val="21"/>
        </w:rPr>
        <w:t>En prenant en considération l’exigence impérieuse de l’innovation au cœur de la valeur ajoutée</w:t>
      </w:r>
      <w:r w:rsidRPr="000451D3">
        <w:rPr>
          <w:rFonts w:cs="Calibri"/>
          <w:bCs/>
          <w:color w:val="333333"/>
          <w:szCs w:val="21"/>
        </w:rPr>
        <w:tab/>
        <w:t>en particulier pour :</w:t>
      </w:r>
    </w:p>
    <w:p w14:paraId="51EFCC64"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Cs/>
          <w:color w:val="333333"/>
          <w:szCs w:val="21"/>
        </w:rPr>
        <w:t>Le secteur de l’économie verte et circulaire</w:t>
      </w:r>
    </w:p>
    <w:p w14:paraId="7780F683"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Cs/>
          <w:color w:val="333333"/>
          <w:szCs w:val="21"/>
        </w:rPr>
        <w:t xml:space="preserve">La production et transformation agro-alimentaire </w:t>
      </w:r>
    </w:p>
    <w:p w14:paraId="297DE5CB"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Cs/>
          <w:color w:val="333333"/>
          <w:szCs w:val="21"/>
        </w:rPr>
        <w:t xml:space="preserve">Le secteur artisanal quand cela se justifie dans le contexte  </w:t>
      </w:r>
    </w:p>
    <w:p w14:paraId="5DE56D4B"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Cs/>
          <w:color w:val="333333"/>
          <w:szCs w:val="21"/>
        </w:rPr>
        <w:t>La transition énergétique, énergies renouvelables</w:t>
      </w:r>
    </w:p>
    <w:p w14:paraId="459EBA33"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Cs/>
          <w:color w:val="333333"/>
          <w:szCs w:val="21"/>
        </w:rPr>
        <w:t>Le secteur des industries culturelles et créatives (ICC)</w:t>
      </w:r>
    </w:p>
    <w:p w14:paraId="755A1C34" w14:textId="77777777" w:rsidR="000451D3" w:rsidRPr="000451D3" w:rsidRDefault="000451D3" w:rsidP="000451D3">
      <w:pPr>
        <w:numPr>
          <w:ilvl w:val="0"/>
          <w:numId w:val="59"/>
        </w:numPr>
        <w:autoSpaceDE w:val="0"/>
        <w:autoSpaceDN w:val="0"/>
        <w:adjustRightInd w:val="0"/>
        <w:spacing w:after="0"/>
        <w:jc w:val="both"/>
        <w:rPr>
          <w:rFonts w:cs="Calibri"/>
          <w:color w:val="333333"/>
          <w:szCs w:val="21"/>
        </w:rPr>
      </w:pPr>
      <w:r w:rsidRPr="000451D3">
        <w:rPr>
          <w:rFonts w:cs="Calibri"/>
          <w:bCs/>
          <w:color w:val="333333"/>
          <w:szCs w:val="21"/>
        </w:rPr>
        <w:t>Le secteur de la digitalisation de l’économie traditionnelle et de l’économie numérique</w:t>
      </w:r>
    </w:p>
    <w:p w14:paraId="1CF8E364"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color w:val="333333"/>
          <w:szCs w:val="21"/>
        </w:rPr>
        <w:t>Le secteur de l’hôtellerie et du tourisme</w:t>
      </w:r>
      <w:r w:rsidRPr="000451D3">
        <w:rPr>
          <w:rFonts w:cs="Calibri"/>
          <w:bCs/>
          <w:color w:val="333333"/>
          <w:szCs w:val="21"/>
        </w:rPr>
        <w:t>.</w:t>
      </w:r>
    </w:p>
    <w:p w14:paraId="13382768" w14:textId="77777777" w:rsidR="000451D3" w:rsidRPr="000451D3" w:rsidRDefault="000451D3" w:rsidP="000451D3">
      <w:pPr>
        <w:autoSpaceDE w:val="0"/>
        <w:autoSpaceDN w:val="0"/>
        <w:adjustRightInd w:val="0"/>
        <w:spacing w:after="0"/>
        <w:jc w:val="both"/>
        <w:rPr>
          <w:rFonts w:cs="Calibri"/>
          <w:bCs/>
          <w:color w:val="333333"/>
          <w:szCs w:val="21"/>
        </w:rPr>
      </w:pPr>
    </w:p>
    <w:p w14:paraId="6C4C7D79" w14:textId="77777777" w:rsidR="000451D3" w:rsidRPr="000451D3" w:rsidRDefault="000451D3" w:rsidP="000451D3">
      <w:pPr>
        <w:autoSpaceDE w:val="0"/>
        <w:autoSpaceDN w:val="0"/>
        <w:adjustRightInd w:val="0"/>
        <w:spacing w:after="0"/>
        <w:jc w:val="both"/>
        <w:rPr>
          <w:rFonts w:cs="Calibri"/>
          <w:bCs/>
          <w:color w:val="333333"/>
          <w:szCs w:val="21"/>
        </w:rPr>
      </w:pPr>
    </w:p>
    <w:p w14:paraId="4D7669BE" w14:textId="77777777" w:rsidR="000451D3" w:rsidRPr="000451D3" w:rsidRDefault="000451D3" w:rsidP="000451D3">
      <w:pPr>
        <w:numPr>
          <w:ilvl w:val="0"/>
          <w:numId w:val="65"/>
        </w:numPr>
        <w:autoSpaceDE w:val="0"/>
        <w:autoSpaceDN w:val="0"/>
        <w:adjustRightInd w:val="0"/>
        <w:spacing w:after="0"/>
        <w:jc w:val="both"/>
        <w:rPr>
          <w:rFonts w:cs="Calibri"/>
          <w:b/>
          <w:color w:val="333333"/>
          <w:szCs w:val="21"/>
        </w:rPr>
      </w:pPr>
      <w:r w:rsidRPr="000451D3">
        <w:rPr>
          <w:rFonts w:cs="Calibri"/>
          <w:b/>
          <w:color w:val="333333"/>
          <w:szCs w:val="21"/>
        </w:rPr>
        <w:t>Résultats attendus</w:t>
      </w:r>
    </w:p>
    <w:p w14:paraId="52C36F52" w14:textId="77777777" w:rsidR="000451D3" w:rsidRPr="000451D3" w:rsidRDefault="000451D3" w:rsidP="000451D3">
      <w:pPr>
        <w:autoSpaceDE w:val="0"/>
        <w:autoSpaceDN w:val="0"/>
        <w:adjustRightInd w:val="0"/>
        <w:spacing w:after="0"/>
        <w:jc w:val="both"/>
        <w:rPr>
          <w:rFonts w:cs="Calibri"/>
          <w:bCs/>
          <w:color w:val="333333"/>
          <w:szCs w:val="21"/>
        </w:rPr>
      </w:pPr>
      <w:r w:rsidRPr="000451D3">
        <w:rPr>
          <w:rFonts w:cs="Calibri"/>
          <w:bCs/>
          <w:color w:val="333333"/>
          <w:szCs w:val="21"/>
        </w:rPr>
        <w:t>L’approche proposée par le soumissionnaire devra combiner un triple volet fondé sur une approche méthodologique cohérente et agile :</w:t>
      </w:r>
    </w:p>
    <w:p w14:paraId="2E9279B4" w14:textId="77777777" w:rsidR="000451D3" w:rsidRPr="000451D3" w:rsidRDefault="000451D3" w:rsidP="000451D3">
      <w:pPr>
        <w:autoSpaceDE w:val="0"/>
        <w:autoSpaceDN w:val="0"/>
        <w:adjustRightInd w:val="0"/>
        <w:spacing w:after="0"/>
        <w:jc w:val="both"/>
        <w:rPr>
          <w:rFonts w:cs="Calibri"/>
          <w:bCs/>
          <w:color w:val="333333"/>
          <w:szCs w:val="21"/>
        </w:rPr>
      </w:pPr>
    </w:p>
    <w:p w14:paraId="4453AADC"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
          <w:color w:val="333333"/>
          <w:szCs w:val="21"/>
        </w:rPr>
        <w:t>Résultat 1</w:t>
      </w:r>
      <w:r w:rsidRPr="000451D3">
        <w:rPr>
          <w:rFonts w:cs="Calibri"/>
          <w:bCs/>
          <w:color w:val="333333"/>
          <w:szCs w:val="21"/>
        </w:rPr>
        <w:t> : Activités non exhaustives visant à améliorer qualitativement et quantitativement l’offre de prestation existante au niveau local en faveur de l’incubation et de l’accélération dans les secteurs clés à haut potentiel de chaque province tout en prenant en considération les éléments-clés de l’écosystème pour promouvoir le développement et le potentiel de croissance des startups des provinces. Pour les dispositifs d’appui à l’entreprenariat, l’accent est mis sur la viabilité économique de l’entreprenariat, sur les emplois décents effectivement créés ainsi que sur une logique multi partenariale et multiservices.  Il s’agit donc de privilégier les actions suivantes non exhaustives qui feront l’objet de bons de commande spécifiques par résultat :</w:t>
      </w:r>
    </w:p>
    <w:p w14:paraId="58CE83CD" w14:textId="77777777" w:rsidR="000451D3" w:rsidRPr="000451D3" w:rsidRDefault="000451D3" w:rsidP="000451D3">
      <w:pPr>
        <w:autoSpaceDE w:val="0"/>
        <w:autoSpaceDN w:val="0"/>
        <w:adjustRightInd w:val="0"/>
        <w:spacing w:after="0"/>
        <w:jc w:val="both"/>
        <w:rPr>
          <w:rFonts w:cs="Calibri"/>
          <w:bCs/>
          <w:color w:val="333333"/>
          <w:szCs w:val="21"/>
        </w:rPr>
      </w:pPr>
    </w:p>
    <w:p w14:paraId="05A32D10"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Soutenir le business développement local en démultipliant l’impact quantitatif et qualitatif des programmes d’accompagnement à l’incubation et à l’accélération existant dans les différentes provinces : énergie</w:t>
      </w:r>
      <w:r w:rsidRPr="000451D3">
        <w:rPr>
          <w:rFonts w:cs="Calibri"/>
          <w:color w:val="333333"/>
          <w:szCs w:val="21"/>
        </w:rPr>
        <w:t>,</w:t>
      </w:r>
      <w:r w:rsidRPr="000451D3">
        <w:rPr>
          <w:rFonts w:cs="Calibri"/>
          <w:bCs/>
          <w:color w:val="333333"/>
          <w:szCs w:val="21"/>
        </w:rPr>
        <w:t xml:space="preserve"> construction</w:t>
      </w:r>
      <w:r w:rsidRPr="000451D3">
        <w:rPr>
          <w:rFonts w:cs="Calibri"/>
          <w:color w:val="333333"/>
          <w:szCs w:val="21"/>
        </w:rPr>
        <w:t>,</w:t>
      </w:r>
      <w:r w:rsidRPr="000451D3">
        <w:rPr>
          <w:rFonts w:cs="Calibri"/>
          <w:bCs/>
          <w:color w:val="333333"/>
          <w:szCs w:val="21"/>
        </w:rPr>
        <w:t xml:space="preserve"> agroalimentaire</w:t>
      </w:r>
      <w:r w:rsidRPr="000451D3">
        <w:rPr>
          <w:rFonts w:cs="Calibri"/>
          <w:color w:val="333333"/>
          <w:szCs w:val="21"/>
        </w:rPr>
        <w:t>,</w:t>
      </w:r>
      <w:r w:rsidRPr="000451D3">
        <w:rPr>
          <w:rFonts w:cs="Calibri"/>
          <w:bCs/>
          <w:color w:val="333333"/>
          <w:szCs w:val="21"/>
        </w:rPr>
        <w:t xml:space="preserve"> industrie, sur base de la communauté existante et des opérateurs partenaires d’</w:t>
      </w:r>
      <w:proofErr w:type="spellStart"/>
      <w:r w:rsidRPr="000451D3">
        <w:rPr>
          <w:rFonts w:cs="Calibri"/>
          <w:bCs/>
          <w:color w:val="333333"/>
          <w:szCs w:val="21"/>
        </w:rPr>
        <w:t>Enabel</w:t>
      </w:r>
      <w:proofErr w:type="spellEnd"/>
      <w:r w:rsidRPr="000451D3">
        <w:rPr>
          <w:rFonts w:cs="Calibri"/>
          <w:bCs/>
          <w:color w:val="333333"/>
          <w:szCs w:val="21"/>
        </w:rPr>
        <w:t xml:space="preserve"> </w:t>
      </w:r>
    </w:p>
    <w:p w14:paraId="60046D44"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Accompagner l’entrepreneur pour qu’il promérite des revenus au moins </w:t>
      </w:r>
      <w:r w:rsidRPr="000451D3">
        <w:rPr>
          <w:rFonts w:cs="Calibri"/>
          <w:color w:val="333333"/>
          <w:szCs w:val="21"/>
        </w:rPr>
        <w:t>équivalents</w:t>
      </w:r>
      <w:r w:rsidRPr="000451D3">
        <w:rPr>
          <w:rFonts w:cs="Calibri"/>
          <w:bCs/>
          <w:color w:val="333333"/>
          <w:szCs w:val="21"/>
        </w:rPr>
        <w:t xml:space="preserve"> au SMIG RDC.</w:t>
      </w:r>
    </w:p>
    <w:p w14:paraId="24E0BB39"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Renforcer l’idéation de projets culturels via l’organisation d’Hackathons</w:t>
      </w:r>
    </w:p>
    <w:p w14:paraId="5C7B344D"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Intégrer à la demande un modèle d’affaire de l’industrie culturelle et créative et accompagner les jeunes ciblés.</w:t>
      </w:r>
    </w:p>
    <w:p w14:paraId="7D924975"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Soutenir des programmes immersifs et in vivo d’accompagnement à l’incubation et à l’accélération dans le but de créer des emplois/auto-emplois en faveur d’un public jeunes composé majoritairement de femmes </w:t>
      </w:r>
    </w:p>
    <w:p w14:paraId="70190563"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Soutenir l’identification et l’opérationnalisation de modalités agiles permettant la facilitation de l’accès au financement et aux marchés porteurs de tous types, dans la sous-région et à l’international.</w:t>
      </w:r>
    </w:p>
    <w:p w14:paraId="0AF098C9"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Sous forme d’un pilote, expérimenter l’approche franchise (entreprises utilisant la même identité de marque) </w:t>
      </w:r>
    </w:p>
    <w:p w14:paraId="4B220733"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lang w:val="fr-FR"/>
        </w:rPr>
      </w:pPr>
      <w:r w:rsidRPr="000451D3">
        <w:rPr>
          <w:rFonts w:cs="Calibri"/>
          <w:bCs/>
          <w:color w:val="333333"/>
          <w:szCs w:val="21"/>
        </w:rPr>
        <w:t xml:space="preserve">Assurer un </w:t>
      </w:r>
      <w:r w:rsidRPr="000451D3">
        <w:rPr>
          <w:rFonts w:cs="Calibri"/>
          <w:color w:val="333333"/>
          <w:szCs w:val="21"/>
          <w:lang w:val="fr-FR"/>
        </w:rPr>
        <w:t>coaching</w:t>
      </w:r>
      <w:r w:rsidRPr="000451D3">
        <w:rPr>
          <w:rFonts w:cs="Calibri"/>
          <w:bCs/>
          <w:color w:val="333333"/>
          <w:szCs w:val="21"/>
          <w:lang w:val="fr-FR"/>
        </w:rPr>
        <w:t xml:space="preserve"> direct de start-ups génératrices d’emploi décents ou issues de l’économie sociale et solidaire</w:t>
      </w:r>
    </w:p>
    <w:p w14:paraId="737B017F"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lang w:val="fr-FR"/>
        </w:rPr>
      </w:pPr>
      <w:r w:rsidRPr="000451D3">
        <w:rPr>
          <w:rFonts w:cs="Calibri"/>
          <w:bCs/>
          <w:color w:val="333333"/>
          <w:szCs w:val="21"/>
        </w:rPr>
        <w:t>Accompagner le processus d’accélération en faveur des micro-petites et moyennes entreprises (in)formelles</w:t>
      </w:r>
    </w:p>
    <w:p w14:paraId="50F55A66"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Structurer les clusters porteurs et innovants, y inclus dans le numérique. </w:t>
      </w:r>
    </w:p>
    <w:p w14:paraId="6F99DF3B" w14:textId="77777777" w:rsidR="000451D3" w:rsidRPr="000451D3" w:rsidRDefault="000451D3" w:rsidP="000451D3">
      <w:pPr>
        <w:numPr>
          <w:ilvl w:val="0"/>
          <w:numId w:val="67"/>
        </w:numPr>
        <w:autoSpaceDE w:val="0"/>
        <w:autoSpaceDN w:val="0"/>
        <w:adjustRightInd w:val="0"/>
        <w:spacing w:after="0"/>
        <w:jc w:val="both"/>
        <w:rPr>
          <w:rFonts w:cs="Calibri"/>
          <w:color w:val="333333"/>
          <w:szCs w:val="21"/>
          <w:lang w:val="fr-FR"/>
        </w:rPr>
      </w:pPr>
      <w:r w:rsidRPr="000451D3">
        <w:rPr>
          <w:rFonts w:cs="Calibri"/>
          <w:color w:val="333333"/>
          <w:szCs w:val="21"/>
          <w:lang w:val="fr-FR"/>
        </w:rPr>
        <w:t>Connecter les incubés et accélérés à des partenaires leur permettant de développer leurs projets (investisseurs, premiers clients, bailleurs, ...</w:t>
      </w:r>
      <w:proofErr w:type="gramStart"/>
      <w:r w:rsidRPr="000451D3">
        <w:rPr>
          <w:rFonts w:cs="Calibri"/>
          <w:color w:val="333333"/>
          <w:szCs w:val="21"/>
          <w:lang w:val="fr-FR"/>
        </w:rPr>
        <w:t>);</w:t>
      </w:r>
      <w:proofErr w:type="gramEnd"/>
      <w:r w:rsidRPr="000451D3">
        <w:rPr>
          <w:rFonts w:cs="Calibri"/>
          <w:color w:val="333333"/>
          <w:szCs w:val="21"/>
          <w:lang w:val="fr-FR"/>
        </w:rPr>
        <w:t xml:space="preserve"> les suivre dans le cadre de la mise en œuvre effective de leur projet entrepreneurial (business lounge).</w:t>
      </w:r>
    </w:p>
    <w:p w14:paraId="7D15D503"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lang w:val="fr-FR"/>
        </w:rPr>
        <w:t>Soutenir</w:t>
      </w:r>
      <w:r w:rsidRPr="000451D3">
        <w:rPr>
          <w:rFonts w:cs="Calibri"/>
          <w:bCs/>
          <w:color w:val="333333"/>
          <w:szCs w:val="21"/>
        </w:rPr>
        <w:t xml:space="preserve"> des clusters/faitières sectorielles résilientes visant la création d’emploi</w:t>
      </w:r>
    </w:p>
    <w:p w14:paraId="4999DA96"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Soutenir la levée de fonds pour le démarrage et la croissance des startups incubées/accélérée, et les accompagner dans le suivi post-investissement. </w:t>
      </w:r>
    </w:p>
    <w:p w14:paraId="2E638822" w14:textId="77777777" w:rsidR="000451D3" w:rsidRPr="000451D3" w:rsidRDefault="000451D3" w:rsidP="000451D3">
      <w:pPr>
        <w:autoSpaceDE w:val="0"/>
        <w:autoSpaceDN w:val="0"/>
        <w:adjustRightInd w:val="0"/>
        <w:spacing w:after="0"/>
        <w:jc w:val="both"/>
        <w:rPr>
          <w:rFonts w:cs="Calibri"/>
          <w:bCs/>
          <w:color w:val="333333"/>
          <w:szCs w:val="21"/>
        </w:rPr>
      </w:pPr>
    </w:p>
    <w:p w14:paraId="3B6A3973" w14:textId="77777777" w:rsidR="000451D3" w:rsidRPr="000451D3" w:rsidRDefault="000451D3" w:rsidP="000451D3">
      <w:pPr>
        <w:numPr>
          <w:ilvl w:val="0"/>
          <w:numId w:val="59"/>
        </w:numPr>
        <w:autoSpaceDE w:val="0"/>
        <w:autoSpaceDN w:val="0"/>
        <w:adjustRightInd w:val="0"/>
        <w:spacing w:after="0"/>
        <w:jc w:val="both"/>
        <w:rPr>
          <w:rFonts w:cs="Calibri"/>
          <w:color w:val="333333"/>
          <w:szCs w:val="21"/>
        </w:rPr>
      </w:pPr>
      <w:r w:rsidRPr="000451D3">
        <w:rPr>
          <w:rFonts w:cs="Calibri"/>
          <w:b/>
          <w:bCs/>
          <w:color w:val="333333"/>
          <w:szCs w:val="21"/>
        </w:rPr>
        <w:t>Résultat 2 :</w:t>
      </w:r>
      <w:r w:rsidRPr="000451D3">
        <w:rPr>
          <w:rFonts w:cs="Calibri"/>
          <w:color w:val="333333"/>
          <w:szCs w:val="21"/>
        </w:rPr>
        <w:t xml:space="preserve">  Activités visant à accompagner la pérennité des opérateurs d’incubation et d’accélération, le renforcement des capacités des coaches présents localement et de l’expertise </w:t>
      </w:r>
      <w:proofErr w:type="spellStart"/>
      <w:r w:rsidRPr="000451D3">
        <w:rPr>
          <w:rFonts w:cs="Calibri"/>
          <w:color w:val="333333"/>
          <w:szCs w:val="21"/>
        </w:rPr>
        <w:t>Enabel</w:t>
      </w:r>
      <w:proofErr w:type="spellEnd"/>
      <w:r w:rsidRPr="000451D3">
        <w:rPr>
          <w:rFonts w:cs="Calibri"/>
          <w:color w:val="333333"/>
          <w:szCs w:val="21"/>
        </w:rPr>
        <w:t xml:space="preserve"> et donc de mobiliser une gamme de services d’accompagnement et d’appuis techniques dédiés au développement de l’écosystème entrepreneurial en RDC, en ce y compris les centres de ressources, incubateurs </w:t>
      </w:r>
      <w:r w:rsidRPr="000451D3">
        <w:rPr>
          <w:rFonts w:cs="Calibri"/>
          <w:color w:val="333333"/>
          <w:szCs w:val="21"/>
        </w:rPr>
        <w:lastRenderedPageBreak/>
        <w:t>urbain et ruraux, accélérateurs de MPME, clusters et faitières sectoriels. Il s’agit donc de privilégier les actions suivantes non exhaustives qui feront l’objet de bons de commande spécifiques par résultat :</w:t>
      </w:r>
    </w:p>
    <w:p w14:paraId="752AB3FC" w14:textId="77777777" w:rsidR="000451D3" w:rsidRPr="000451D3" w:rsidRDefault="000451D3" w:rsidP="000451D3">
      <w:pPr>
        <w:autoSpaceDE w:val="0"/>
        <w:autoSpaceDN w:val="0"/>
        <w:adjustRightInd w:val="0"/>
        <w:spacing w:after="0"/>
        <w:jc w:val="both"/>
        <w:rPr>
          <w:rFonts w:cs="Calibri"/>
          <w:b/>
          <w:color w:val="333333"/>
          <w:szCs w:val="21"/>
        </w:rPr>
      </w:pPr>
    </w:p>
    <w:p w14:paraId="0247C821"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Contribuer à fixer le business model pérenne des opérateurs ciblés</w:t>
      </w:r>
    </w:p>
    <w:p w14:paraId="16D55DF3"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Mettre les </w:t>
      </w:r>
      <w:proofErr w:type="gramStart"/>
      <w:r w:rsidRPr="000451D3">
        <w:rPr>
          <w:rFonts w:cs="Calibri"/>
          <w:bCs/>
          <w:color w:val="333333"/>
          <w:szCs w:val="21"/>
        </w:rPr>
        <w:t>coaches</w:t>
      </w:r>
      <w:proofErr w:type="gramEnd"/>
      <w:r w:rsidRPr="000451D3">
        <w:rPr>
          <w:rFonts w:cs="Calibri"/>
          <w:bCs/>
          <w:color w:val="333333"/>
          <w:szCs w:val="21"/>
        </w:rPr>
        <w:t xml:space="preserve"> en situation – les former et les labelliser sur leur territoire de façon individuelle</w:t>
      </w:r>
    </w:p>
    <w:p w14:paraId="12820375"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Mettre à disposition une boîte à outils digitale à l’échelle de la RDC et adaptée au contexte (WhatsApp par exemple) pour l’ensemble des bénéficiaires directs de la mission, visant un ensemble de parcours, de méthodes et contenus pratiques dans le cadre d’un dispositif digital en réseau agile.  Cet outil visera la capitalisation des contenus, outils et bonnes pratiques, soft </w:t>
      </w:r>
      <w:proofErr w:type="spellStart"/>
      <w:r w:rsidRPr="000451D3">
        <w:rPr>
          <w:rFonts w:cs="Calibri"/>
          <w:bCs/>
          <w:color w:val="333333"/>
          <w:szCs w:val="21"/>
        </w:rPr>
        <w:t>skills</w:t>
      </w:r>
      <w:proofErr w:type="spellEnd"/>
      <w:r w:rsidRPr="000451D3">
        <w:rPr>
          <w:rFonts w:cs="Calibri"/>
          <w:bCs/>
          <w:color w:val="333333"/>
          <w:szCs w:val="21"/>
        </w:rPr>
        <w:t xml:space="preserve"> pour les coaches, coaches référents, incubateurs et accélérateurs et l’expertise d’appui et d’accompagnement d’</w:t>
      </w:r>
      <w:proofErr w:type="spellStart"/>
      <w:r w:rsidRPr="000451D3">
        <w:rPr>
          <w:rFonts w:cs="Calibri"/>
          <w:bCs/>
          <w:color w:val="333333"/>
          <w:szCs w:val="21"/>
        </w:rPr>
        <w:t>Enabel</w:t>
      </w:r>
      <w:proofErr w:type="spellEnd"/>
      <w:r w:rsidRPr="000451D3">
        <w:rPr>
          <w:rFonts w:cs="Calibri"/>
          <w:bCs/>
          <w:color w:val="333333"/>
          <w:szCs w:val="21"/>
        </w:rPr>
        <w:t>. Cette approche comprendra des ateliers pratiques avec les entrepreneurs, la massification via le digital de leur accompagnement via du e-learning et de la boite à outils pour une standardisation méthodologique dans toute la RDC</w:t>
      </w:r>
    </w:p>
    <w:p w14:paraId="20CB5142"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Développer une méthodologie post incubation sur des thématique spécifique de l’accompagnement des entrepreneurs pour leur passage à l’échelle </w:t>
      </w:r>
    </w:p>
    <w:p w14:paraId="32F91BD5"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Assurer la formation des coaches en incubation/accélération – soutenir les équipes capables de pérenniser le coaching et le développement des programmes d’incubation</w:t>
      </w:r>
    </w:p>
    <w:p w14:paraId="19AD7F77"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Accompagner méthodologiquement au développement et à la structuration de l’écosystème entrepreneurial urbain et/ou rural  </w:t>
      </w:r>
    </w:p>
    <w:p w14:paraId="2FFFBDD7"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Accompagner le développement de l’écosystème en temps réel avec des indicateurs d'impact </w:t>
      </w:r>
      <w:r w:rsidRPr="000451D3">
        <w:rPr>
          <w:rFonts w:cs="Calibri"/>
          <w:color w:val="333333"/>
          <w:szCs w:val="21"/>
        </w:rPr>
        <w:t xml:space="preserve">et sexospécifiques </w:t>
      </w:r>
    </w:p>
    <w:p w14:paraId="0122B122"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Capaciter les animateurs-coachs et conseillers en insertion professionnelle opérateurs de services d’incubation sur l’élaboration du business plan/business model</w:t>
      </w:r>
      <w:r w:rsidRPr="000451D3">
        <w:rPr>
          <w:rFonts w:cs="Calibri"/>
          <w:color w:val="333333"/>
          <w:szCs w:val="21"/>
        </w:rPr>
        <w:t>/compte d’exploitation</w:t>
      </w:r>
    </w:p>
    <w:p w14:paraId="2AF21887"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Assurer le soutien et l’accompagnement de mécanismes de labellisation, assurance qualité et certification  </w:t>
      </w:r>
    </w:p>
    <w:p w14:paraId="24A3CF35"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Soutenir la conception de programmes entrepreneuriaux innovants et adaptés au contexte </w:t>
      </w:r>
    </w:p>
    <w:p w14:paraId="3B50F344"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 xml:space="preserve">Assurer la formation de formateurs, coaches et autres intervenants sectoriels </w:t>
      </w:r>
    </w:p>
    <w:p w14:paraId="2B915314"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Mener des études et recherches consacrées aux écosystèmes d’innovation</w:t>
      </w:r>
    </w:p>
    <w:p w14:paraId="012D007C"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Identifier et analyser les potentialités économiques sectorielles pour les secteurs des technologies propres et des industries culturelles et créatives</w:t>
      </w:r>
      <w:r w:rsidRPr="000451D3">
        <w:rPr>
          <w:rFonts w:cs="Calibri"/>
          <w:color w:val="333333"/>
          <w:szCs w:val="21"/>
          <w:lang w:val="fr-FR"/>
        </w:rPr>
        <w:t xml:space="preserve"> </w:t>
      </w:r>
    </w:p>
    <w:p w14:paraId="36783CD6"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Proposer des méthodes et outils d’accompagnement dédiés spécifiquement aux femmes</w:t>
      </w:r>
    </w:p>
    <w:p w14:paraId="3DC2A287" w14:textId="77777777" w:rsidR="000451D3" w:rsidRPr="000451D3" w:rsidRDefault="000451D3" w:rsidP="000451D3">
      <w:pPr>
        <w:numPr>
          <w:ilvl w:val="0"/>
          <w:numId w:val="67"/>
        </w:numPr>
        <w:autoSpaceDE w:val="0"/>
        <w:autoSpaceDN w:val="0"/>
        <w:adjustRightInd w:val="0"/>
        <w:spacing w:after="0"/>
        <w:jc w:val="both"/>
        <w:rPr>
          <w:rFonts w:cs="Calibri"/>
          <w:bCs/>
          <w:color w:val="333333"/>
          <w:szCs w:val="21"/>
        </w:rPr>
      </w:pPr>
      <w:r w:rsidRPr="000451D3">
        <w:rPr>
          <w:rFonts w:cs="Calibri"/>
          <w:bCs/>
          <w:color w:val="333333"/>
          <w:szCs w:val="21"/>
        </w:rPr>
        <w:t>Soutenir le développement des lieux d’entrepreneuriat et l’animation des acteurs de l’écosystème à tous les niveaux et dans toute leur diversité</w:t>
      </w:r>
    </w:p>
    <w:p w14:paraId="6EE1F09A"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Faciliter les échanges entre pairs (écosystèmes) notamment sud-sud et nord-sud </w:t>
      </w:r>
    </w:p>
    <w:p w14:paraId="6CD842CC" w14:textId="77777777" w:rsidR="000451D3" w:rsidRPr="000451D3" w:rsidRDefault="000451D3" w:rsidP="000451D3">
      <w:pPr>
        <w:numPr>
          <w:ilvl w:val="0"/>
          <w:numId w:val="67"/>
        </w:numPr>
        <w:autoSpaceDE w:val="0"/>
        <w:autoSpaceDN w:val="0"/>
        <w:adjustRightInd w:val="0"/>
        <w:spacing w:after="0"/>
        <w:jc w:val="both"/>
        <w:rPr>
          <w:rFonts w:cs="Calibri"/>
          <w:color w:val="333333"/>
          <w:szCs w:val="21"/>
        </w:rPr>
      </w:pPr>
      <w:r w:rsidRPr="000451D3">
        <w:rPr>
          <w:rFonts w:cs="Calibri"/>
          <w:color w:val="333333"/>
          <w:szCs w:val="21"/>
        </w:rPr>
        <w:t xml:space="preserve">Identifier et réaliser des événements commerciaux, des soirées de levés de fonds </w:t>
      </w:r>
      <w:bookmarkStart w:id="164" w:name="_Int_VkMkOxan"/>
      <w:r w:rsidRPr="000451D3">
        <w:rPr>
          <w:rFonts w:cs="Calibri"/>
          <w:color w:val="333333"/>
          <w:szCs w:val="21"/>
        </w:rPr>
        <w:t>et</w:t>
      </w:r>
      <w:bookmarkEnd w:id="164"/>
      <w:r w:rsidRPr="000451D3">
        <w:rPr>
          <w:rFonts w:cs="Calibri"/>
          <w:color w:val="333333"/>
          <w:szCs w:val="21"/>
        </w:rPr>
        <w:t xml:space="preserve"> ou des prises d’actions avec la diaspora Congolaise. </w:t>
      </w:r>
    </w:p>
    <w:p w14:paraId="3F8779E1" w14:textId="77777777" w:rsidR="000451D3" w:rsidRPr="000451D3" w:rsidRDefault="000451D3" w:rsidP="000451D3">
      <w:pPr>
        <w:autoSpaceDE w:val="0"/>
        <w:autoSpaceDN w:val="0"/>
        <w:adjustRightInd w:val="0"/>
        <w:spacing w:after="0"/>
        <w:jc w:val="both"/>
        <w:rPr>
          <w:rFonts w:cs="Calibri"/>
          <w:bCs/>
          <w:color w:val="333333"/>
          <w:szCs w:val="21"/>
        </w:rPr>
      </w:pPr>
    </w:p>
    <w:p w14:paraId="4B5B8AA0" w14:textId="77777777" w:rsidR="000451D3" w:rsidRPr="000451D3" w:rsidRDefault="000451D3" w:rsidP="000451D3">
      <w:pPr>
        <w:numPr>
          <w:ilvl w:val="0"/>
          <w:numId w:val="59"/>
        </w:numPr>
        <w:autoSpaceDE w:val="0"/>
        <w:autoSpaceDN w:val="0"/>
        <w:adjustRightInd w:val="0"/>
        <w:spacing w:after="0"/>
        <w:jc w:val="both"/>
        <w:rPr>
          <w:rFonts w:cs="Calibri"/>
          <w:bCs/>
          <w:color w:val="333333"/>
          <w:szCs w:val="21"/>
        </w:rPr>
      </w:pPr>
      <w:r w:rsidRPr="000451D3">
        <w:rPr>
          <w:rFonts w:cs="Calibri"/>
          <w:b/>
          <w:color w:val="333333"/>
          <w:szCs w:val="21"/>
        </w:rPr>
        <w:t>Résultat 3</w:t>
      </w:r>
      <w:r w:rsidRPr="000451D3">
        <w:rPr>
          <w:rFonts w:cs="Calibri"/>
          <w:bCs/>
          <w:color w:val="333333"/>
          <w:szCs w:val="21"/>
        </w:rPr>
        <w:t xml:space="preserve"> La redevabilité réciproque et la concertation entre les acteurs, les pratiques méthodologiques innovantes, la participation active des grands comptes du secteur privé ainsi que la mise en avant interconnectée des institutions publiques provinciales, des fédérations patronales et syndicales, et de la société civile permettront une meilleure pérennité et efficacité des écosystèmes appuyés.</w:t>
      </w:r>
    </w:p>
    <w:p w14:paraId="11E1E675" w14:textId="77777777" w:rsidR="000451D3" w:rsidRPr="000451D3" w:rsidRDefault="000451D3" w:rsidP="000451D3">
      <w:pPr>
        <w:autoSpaceDE w:val="0"/>
        <w:autoSpaceDN w:val="0"/>
        <w:adjustRightInd w:val="0"/>
        <w:spacing w:after="0"/>
        <w:jc w:val="both"/>
        <w:rPr>
          <w:rFonts w:cs="Calibri"/>
          <w:b/>
          <w:color w:val="333333"/>
          <w:szCs w:val="21"/>
        </w:rPr>
      </w:pPr>
    </w:p>
    <w:p w14:paraId="2252D12D" w14:textId="77777777" w:rsidR="000451D3" w:rsidRPr="000451D3" w:rsidRDefault="000451D3" w:rsidP="000451D3">
      <w:pPr>
        <w:numPr>
          <w:ilvl w:val="0"/>
          <w:numId w:val="68"/>
        </w:numPr>
        <w:autoSpaceDE w:val="0"/>
        <w:autoSpaceDN w:val="0"/>
        <w:adjustRightInd w:val="0"/>
        <w:spacing w:after="0"/>
        <w:jc w:val="both"/>
        <w:rPr>
          <w:rFonts w:cs="Calibri"/>
          <w:bCs/>
          <w:color w:val="333333"/>
          <w:szCs w:val="21"/>
        </w:rPr>
      </w:pPr>
      <w:r w:rsidRPr="000451D3">
        <w:rPr>
          <w:rFonts w:cs="Calibri"/>
          <w:bCs/>
          <w:color w:val="333333"/>
          <w:szCs w:val="21"/>
        </w:rPr>
        <w:lastRenderedPageBreak/>
        <w:t>Introduire le conseil en innovation au cœur des interventions et quel que soit le secteur, dans une perspective de réponse à une demande solvable mais aussi de créativité version offre qui crée la demande (l’effet “pull” qui permet à de nouvelles entreprises de tirer les ressources nécessaires dans les opérations de leur business afin de créer un nouveau marché)</w:t>
      </w:r>
    </w:p>
    <w:p w14:paraId="5E2F6770" w14:textId="77777777" w:rsidR="000451D3" w:rsidRPr="000451D3" w:rsidRDefault="000451D3" w:rsidP="000451D3">
      <w:pPr>
        <w:numPr>
          <w:ilvl w:val="0"/>
          <w:numId w:val="68"/>
        </w:numPr>
        <w:autoSpaceDE w:val="0"/>
        <w:autoSpaceDN w:val="0"/>
        <w:adjustRightInd w:val="0"/>
        <w:spacing w:after="0"/>
        <w:jc w:val="both"/>
        <w:rPr>
          <w:rFonts w:cs="Calibri"/>
          <w:bCs/>
          <w:color w:val="333333"/>
          <w:szCs w:val="21"/>
        </w:rPr>
      </w:pPr>
      <w:r w:rsidRPr="000451D3">
        <w:rPr>
          <w:rFonts w:cs="Calibri"/>
          <w:color w:val="333333"/>
          <w:szCs w:val="21"/>
          <w:lang w:val="fr-FR"/>
        </w:rPr>
        <w:t xml:space="preserve">Promouvoir la sensibilisation à l’innovation chez des partenaires </w:t>
      </w:r>
      <w:proofErr w:type="spellStart"/>
      <w:r w:rsidRPr="000451D3">
        <w:rPr>
          <w:rFonts w:cs="Calibri"/>
          <w:i/>
          <w:iCs/>
          <w:color w:val="333333"/>
          <w:szCs w:val="21"/>
          <w:lang w:val="fr-FR"/>
        </w:rPr>
        <w:t>corporate</w:t>
      </w:r>
      <w:proofErr w:type="spellEnd"/>
      <w:r w:rsidRPr="000451D3">
        <w:rPr>
          <w:rFonts w:cs="Calibri"/>
          <w:color w:val="333333"/>
          <w:szCs w:val="21"/>
          <w:lang w:val="fr-FR"/>
        </w:rPr>
        <w:t xml:space="preserve"> sur les besoins en innovation, à traduire au niveau local. </w:t>
      </w:r>
    </w:p>
    <w:p w14:paraId="5BA02773" w14:textId="77777777" w:rsidR="000451D3" w:rsidRPr="000451D3" w:rsidRDefault="000451D3" w:rsidP="000451D3">
      <w:pPr>
        <w:numPr>
          <w:ilvl w:val="0"/>
          <w:numId w:val="68"/>
        </w:numPr>
        <w:autoSpaceDE w:val="0"/>
        <w:autoSpaceDN w:val="0"/>
        <w:adjustRightInd w:val="0"/>
        <w:spacing w:after="0"/>
        <w:jc w:val="both"/>
        <w:rPr>
          <w:rFonts w:cs="Calibri"/>
          <w:bCs/>
          <w:color w:val="333333"/>
          <w:szCs w:val="21"/>
        </w:rPr>
      </w:pPr>
      <w:r w:rsidRPr="000451D3">
        <w:rPr>
          <w:rFonts w:cs="Calibri"/>
          <w:color w:val="333333"/>
          <w:szCs w:val="21"/>
        </w:rPr>
        <w:t xml:space="preserve">Stimuler les </w:t>
      </w:r>
      <w:r w:rsidRPr="000451D3">
        <w:rPr>
          <w:rFonts w:cs="Calibri"/>
          <w:color w:val="333333"/>
          <w:szCs w:val="21"/>
          <w:lang w:val="fr-FR"/>
        </w:rPr>
        <w:t>processus d’innovation ouverte entre les start-ups et les entreprises</w:t>
      </w:r>
    </w:p>
    <w:p w14:paraId="2A1658F8" w14:textId="77777777" w:rsidR="000451D3" w:rsidRPr="000451D3" w:rsidRDefault="000451D3" w:rsidP="000451D3">
      <w:pPr>
        <w:numPr>
          <w:ilvl w:val="0"/>
          <w:numId w:val="68"/>
        </w:numPr>
        <w:autoSpaceDE w:val="0"/>
        <w:autoSpaceDN w:val="0"/>
        <w:adjustRightInd w:val="0"/>
        <w:spacing w:after="0"/>
        <w:jc w:val="both"/>
        <w:rPr>
          <w:rFonts w:cs="Calibri"/>
          <w:bCs/>
          <w:color w:val="333333"/>
          <w:szCs w:val="21"/>
        </w:rPr>
      </w:pPr>
      <w:r w:rsidRPr="000451D3">
        <w:rPr>
          <w:rFonts w:cs="Calibri"/>
          <w:color w:val="333333"/>
          <w:szCs w:val="21"/>
          <w:lang w:val="fr-FR"/>
        </w:rPr>
        <w:t>Créer des programmes d'innovation ouverts aux MPME, permettant à ces entreprises de proposer des idées novatrices et de collaborer avec de grandes entreprises provinciales pour les mettre en œuvre.</w:t>
      </w:r>
    </w:p>
    <w:p w14:paraId="365FF50A"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Collaborer directement avec des grands comptes provinciaux et/ou MPME pour codévelopper de nouveaux produits, services ou technologies. Cela peut être mutuellement avantageux en combinant l'expertise des deux parties.</w:t>
      </w:r>
    </w:p>
    <w:p w14:paraId="1A485D66"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Mettre en place un programme de mentorat où des experts issus de grandes entreprises peuvent conseiller les dirigeants de MPME sur la façon de développer leurs activités.</w:t>
      </w:r>
    </w:p>
    <w:p w14:paraId="6533C095"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 xml:space="preserve">Soutenir la mise en place d’une modalité d’accès au capital à risque ou tout autre accès au financement (liens avec les fonds d’investissement publics/privés, investisseurs privés, plateforme de crowdfunding, regroupement d’investisseurs etc.).  </w:t>
      </w:r>
    </w:p>
    <w:p w14:paraId="0D700C9E"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Soutenir l’animation et la mise en place de dispositifs territoriaux au niveau provincial, qui permettent de relier les MPME et leurs porteurs de projets aux structures de gouvernance publique et privée.</w:t>
      </w:r>
    </w:p>
    <w:p w14:paraId="1EA0BFE0"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Stimuler les possibilités pour les grandes entreprises d’établir des partenariats avec des MPME locales en tant que fournisseurs ou sous-traitants (logique de grappes/clusters). Pour aider les MPME à développer leurs compétences, leur capacité de production et leur accès aux marchés.</w:t>
      </w:r>
    </w:p>
    <w:p w14:paraId="17EDA9E0"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Encourager l'utilisation de fournisseurs locaux parmi les MPME pour créer une chaîne d'approvisionnement robuste et stimuler la croissance économique à l'échelle locale.</w:t>
      </w:r>
    </w:p>
    <w:p w14:paraId="139AC461"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Collaborer avec des MPME pour mener des projets de recherche et développement conjoints visant à créer de nouvelles technologies, produits ou services</w:t>
      </w:r>
    </w:p>
    <w:p w14:paraId="336C7416" w14:textId="77777777" w:rsidR="000451D3" w:rsidRPr="000451D3" w:rsidRDefault="000451D3" w:rsidP="000451D3">
      <w:pPr>
        <w:numPr>
          <w:ilvl w:val="0"/>
          <w:numId w:val="68"/>
        </w:numPr>
        <w:autoSpaceDE w:val="0"/>
        <w:autoSpaceDN w:val="0"/>
        <w:adjustRightInd w:val="0"/>
        <w:spacing w:after="0"/>
        <w:jc w:val="both"/>
        <w:rPr>
          <w:rFonts w:cs="Calibri"/>
          <w:color w:val="333333"/>
          <w:szCs w:val="21"/>
          <w:lang w:val="fr-FR"/>
        </w:rPr>
      </w:pPr>
      <w:r w:rsidRPr="000451D3">
        <w:rPr>
          <w:rFonts w:cs="Calibri"/>
          <w:color w:val="333333"/>
          <w:szCs w:val="21"/>
          <w:lang w:val="fr-FR"/>
        </w:rPr>
        <w:t>Impliquer les autorités provinciales dans la promotion du contenu local ou valorisation des produits locaux</w:t>
      </w:r>
    </w:p>
    <w:p w14:paraId="1E99804D" w14:textId="1F1D6897" w:rsidR="000451D3" w:rsidRPr="000451D3" w:rsidRDefault="000451D3" w:rsidP="000451D3">
      <w:pPr>
        <w:autoSpaceDE w:val="0"/>
        <w:autoSpaceDN w:val="0"/>
        <w:adjustRightInd w:val="0"/>
        <w:spacing w:after="0"/>
        <w:jc w:val="both"/>
        <w:rPr>
          <w:rFonts w:cs="Calibri"/>
          <w:bCs/>
          <w:color w:val="333333"/>
          <w:szCs w:val="21"/>
        </w:rPr>
      </w:pPr>
    </w:p>
    <w:p w14:paraId="01DBD0B6" w14:textId="77777777" w:rsidR="000451D3" w:rsidRPr="000451D3" w:rsidRDefault="000451D3" w:rsidP="000451D3">
      <w:pPr>
        <w:pStyle w:val="Titre2"/>
      </w:pPr>
      <w:r w:rsidRPr="000451D3">
        <w:t xml:space="preserve">Options </w:t>
      </w:r>
    </w:p>
    <w:p w14:paraId="68E27536" w14:textId="77777777" w:rsidR="000451D3" w:rsidRPr="000451D3" w:rsidRDefault="000451D3" w:rsidP="000451D3">
      <w:pPr>
        <w:autoSpaceDE w:val="0"/>
        <w:autoSpaceDN w:val="0"/>
        <w:adjustRightInd w:val="0"/>
        <w:spacing w:after="0"/>
        <w:rPr>
          <w:rFonts w:cs="Calibri"/>
          <w:bCs/>
          <w:color w:val="333333"/>
          <w:szCs w:val="21"/>
        </w:rPr>
      </w:pPr>
    </w:p>
    <w:p w14:paraId="52B78112" w14:textId="77777777" w:rsidR="000451D3" w:rsidRPr="000451D3" w:rsidRDefault="000451D3" w:rsidP="000451D3">
      <w:pPr>
        <w:numPr>
          <w:ilvl w:val="0"/>
          <w:numId w:val="59"/>
        </w:numPr>
        <w:autoSpaceDE w:val="0"/>
        <w:autoSpaceDN w:val="0"/>
        <w:adjustRightInd w:val="0"/>
        <w:spacing w:after="0"/>
        <w:rPr>
          <w:rFonts w:cs="Calibri"/>
          <w:bCs/>
          <w:color w:val="333333"/>
          <w:szCs w:val="21"/>
        </w:rPr>
      </w:pPr>
      <w:bookmarkStart w:id="165" w:name="_Hlk150247076"/>
      <w:r w:rsidRPr="000451D3">
        <w:rPr>
          <w:rFonts w:cs="Calibri"/>
          <w:bCs/>
          <w:color w:val="333333"/>
          <w:szCs w:val="21"/>
        </w:rPr>
        <w:t xml:space="preserve">Possibilité d’activer une option- droit de tirage massifiant le volume - pour donner accès à d’autres bénéficiaires - additionnels aux cibles des résultats </w:t>
      </w:r>
      <w:proofErr w:type="gramStart"/>
      <w:r w:rsidRPr="000451D3">
        <w:rPr>
          <w:rFonts w:cs="Calibri"/>
          <w:bCs/>
          <w:color w:val="333333"/>
          <w:szCs w:val="21"/>
        </w:rPr>
        <w:t>1 ,</w:t>
      </w:r>
      <w:proofErr w:type="gramEnd"/>
      <w:r w:rsidRPr="000451D3">
        <w:rPr>
          <w:rFonts w:cs="Calibri"/>
          <w:bCs/>
          <w:color w:val="333333"/>
          <w:szCs w:val="21"/>
        </w:rPr>
        <w:t xml:space="preserve"> 2 et 3 à une boîte à outils digitale interactive à l’échelle de la RDC et adaptée au contexte (WhatsApp par exemple). Cet outil visera mettre en connexion les usagers, à mettre à disposition et à vulgariser une boite à outil digitale : comprenant un ensemble de parcours, de méthodes et contenus pratiques dans le cadre d’un dispositif digital en réseau agile.  Cet outil visera la capitalisation des contenus, outils et bonnes pratiques, soft </w:t>
      </w:r>
      <w:proofErr w:type="spellStart"/>
      <w:r w:rsidRPr="000451D3">
        <w:rPr>
          <w:rFonts w:cs="Calibri"/>
          <w:bCs/>
          <w:color w:val="333333"/>
          <w:szCs w:val="21"/>
        </w:rPr>
        <w:t>skills</w:t>
      </w:r>
      <w:proofErr w:type="spellEnd"/>
      <w:r w:rsidRPr="000451D3">
        <w:rPr>
          <w:rFonts w:cs="Calibri"/>
          <w:bCs/>
          <w:color w:val="333333"/>
          <w:szCs w:val="21"/>
        </w:rPr>
        <w:t xml:space="preserve"> pour les coaches, coaches référents, incubateurs et accélérateurs et l’expertise d’appui et d’accompagnement d’</w:t>
      </w:r>
      <w:proofErr w:type="spellStart"/>
      <w:r w:rsidRPr="000451D3">
        <w:rPr>
          <w:rFonts w:cs="Calibri"/>
          <w:bCs/>
          <w:color w:val="333333"/>
          <w:szCs w:val="21"/>
        </w:rPr>
        <w:t>Enabel</w:t>
      </w:r>
      <w:proofErr w:type="spellEnd"/>
      <w:r w:rsidRPr="000451D3">
        <w:rPr>
          <w:rFonts w:cs="Calibri"/>
          <w:bCs/>
          <w:color w:val="333333"/>
          <w:szCs w:val="21"/>
        </w:rPr>
        <w:t xml:space="preserve">. Cette approche comprendra des ateliers pratiques en ligne avec les entrepreneurs, la massification via le digital de leur accompagnement via du e-learning et de la boite à outils pour une standardisation méthodologique dans toute la RDC. </w:t>
      </w:r>
    </w:p>
    <w:p w14:paraId="64DF61F5" w14:textId="77777777" w:rsidR="000451D3" w:rsidRPr="000451D3" w:rsidRDefault="000451D3" w:rsidP="000451D3">
      <w:pPr>
        <w:autoSpaceDE w:val="0"/>
        <w:autoSpaceDN w:val="0"/>
        <w:adjustRightInd w:val="0"/>
        <w:spacing w:after="0"/>
        <w:rPr>
          <w:rFonts w:cs="Calibri"/>
          <w:bCs/>
          <w:color w:val="333333"/>
          <w:szCs w:val="21"/>
        </w:rPr>
      </w:pPr>
    </w:p>
    <w:p w14:paraId="68BDECB6" w14:textId="77777777" w:rsidR="000451D3" w:rsidRPr="000451D3" w:rsidRDefault="000451D3" w:rsidP="000451D3">
      <w:pPr>
        <w:autoSpaceDE w:val="0"/>
        <w:autoSpaceDN w:val="0"/>
        <w:adjustRightInd w:val="0"/>
        <w:spacing w:after="0"/>
        <w:rPr>
          <w:rFonts w:cs="Calibri"/>
          <w:bCs/>
          <w:color w:val="333333"/>
          <w:szCs w:val="21"/>
        </w:rPr>
      </w:pPr>
      <w:r w:rsidRPr="000451D3">
        <w:rPr>
          <w:rFonts w:cs="Calibri"/>
          <w:bCs/>
          <w:color w:val="333333"/>
          <w:szCs w:val="21"/>
        </w:rPr>
        <w:t>Un coût unitaire à l’usager sera proposé.</w:t>
      </w:r>
    </w:p>
    <w:p w14:paraId="428C145C" w14:textId="48DE593B" w:rsidR="000451D3" w:rsidRPr="000451D3" w:rsidRDefault="000451D3" w:rsidP="000451D3">
      <w:pPr>
        <w:autoSpaceDE w:val="0"/>
        <w:autoSpaceDN w:val="0"/>
        <w:adjustRightInd w:val="0"/>
        <w:spacing w:after="0"/>
        <w:rPr>
          <w:rFonts w:cs="Calibri"/>
          <w:bCs/>
          <w:color w:val="333333"/>
          <w:szCs w:val="21"/>
        </w:rPr>
      </w:pPr>
    </w:p>
    <w:p w14:paraId="12F5E012" w14:textId="77777777" w:rsidR="000451D3" w:rsidRPr="000451D3" w:rsidRDefault="000451D3" w:rsidP="000451D3">
      <w:pPr>
        <w:autoSpaceDE w:val="0"/>
        <w:autoSpaceDN w:val="0"/>
        <w:adjustRightInd w:val="0"/>
        <w:spacing w:after="0"/>
        <w:rPr>
          <w:rFonts w:cs="Calibri"/>
          <w:color w:val="333333"/>
          <w:szCs w:val="21"/>
        </w:rPr>
      </w:pPr>
      <w:r w:rsidRPr="000451D3">
        <w:rPr>
          <w:rFonts w:cs="Calibri"/>
          <w:bCs/>
          <w:color w:val="333333"/>
          <w:szCs w:val="21"/>
        </w:rPr>
        <w:t xml:space="preserve">L’utilisation   l’outil digital sera autorisée pendant toute la durée du contrat cadre </w:t>
      </w:r>
    </w:p>
    <w:bookmarkEnd w:id="165"/>
    <w:p w14:paraId="31B48CDD" w14:textId="77777777" w:rsidR="000451D3" w:rsidRDefault="000451D3" w:rsidP="005F2003">
      <w:pPr>
        <w:autoSpaceDE w:val="0"/>
        <w:autoSpaceDN w:val="0"/>
        <w:adjustRightInd w:val="0"/>
        <w:spacing w:after="0"/>
        <w:rPr>
          <w:rFonts w:cs="Calibri"/>
          <w:color w:val="333333"/>
          <w:szCs w:val="21"/>
        </w:rPr>
        <w:sectPr w:rsidR="000451D3" w:rsidSect="00184F9E">
          <w:headerReference w:type="first" r:id="rId36"/>
          <w:footerReference w:type="first" r:id="rId37"/>
          <w:pgSz w:w="11906" w:h="16838"/>
          <w:pgMar w:top="1418" w:right="1531" w:bottom="1418" w:left="1871" w:header="709" w:footer="709" w:gutter="0"/>
          <w:pgNumType w:start="2"/>
          <w:cols w:space="708"/>
          <w:titlePg/>
          <w:docGrid w:linePitch="360"/>
        </w:sectPr>
      </w:pPr>
    </w:p>
    <w:p w14:paraId="4A5F2A7E" w14:textId="77777777" w:rsidR="005F2003" w:rsidRDefault="005F2003" w:rsidP="005F2003">
      <w:pPr>
        <w:autoSpaceDE w:val="0"/>
        <w:autoSpaceDN w:val="0"/>
        <w:adjustRightInd w:val="0"/>
        <w:spacing w:after="0"/>
        <w:rPr>
          <w:rFonts w:cs="Calibri"/>
          <w:color w:val="333333"/>
          <w:szCs w:val="21"/>
        </w:rPr>
      </w:pPr>
    </w:p>
    <w:p w14:paraId="3C7F4BC0" w14:textId="2451B045" w:rsidR="005F2003" w:rsidRDefault="005F2003" w:rsidP="00C72B94">
      <w:pPr>
        <w:pStyle w:val="Titre1"/>
        <w:numPr>
          <w:ilvl w:val="0"/>
          <w:numId w:val="5"/>
        </w:numPr>
      </w:pPr>
      <w:bookmarkStart w:id="166" w:name="_Toc150246348"/>
      <w:r>
        <w:t>Formulaires</w:t>
      </w:r>
      <w:bookmarkEnd w:id="166"/>
    </w:p>
    <w:p w14:paraId="6A9CA23A" w14:textId="77777777" w:rsidR="00FC5907" w:rsidRDefault="00FC5907" w:rsidP="00FC5907">
      <w:pPr>
        <w:pStyle w:val="Titre2"/>
      </w:pPr>
      <w:bookmarkStart w:id="167" w:name="_Toc52268497"/>
      <w:bookmarkStart w:id="168" w:name="_Toc150246349"/>
      <w:r>
        <w:t>Fiche d’identification</w:t>
      </w:r>
      <w:bookmarkEnd w:id="167"/>
      <w:bookmarkEnd w:id="168"/>
    </w:p>
    <w:p w14:paraId="1608886E" w14:textId="77777777" w:rsidR="00FC5907" w:rsidRPr="00FC215D" w:rsidRDefault="00FC5907" w:rsidP="00FC5907">
      <w:pPr>
        <w:pStyle w:val="Titre3"/>
      </w:pPr>
      <w:bookmarkStart w:id="169" w:name="_Toc364253087"/>
      <w:bookmarkStart w:id="170" w:name="_Toc51592066"/>
      <w:bookmarkStart w:id="171" w:name="_Toc52268498"/>
      <w:bookmarkStart w:id="172" w:name="_Toc150246350"/>
      <w:r>
        <w:t>Personne physique</w:t>
      </w:r>
      <w:bookmarkEnd w:id="172"/>
      <w:r>
        <w:t xml:space="preserve"> </w:t>
      </w:r>
      <w:bookmarkEnd w:id="169"/>
      <w:bookmarkEnd w:id="170"/>
      <w:bookmarkEnd w:id="171"/>
    </w:p>
    <w:p w14:paraId="60669304" w14:textId="0377A522" w:rsidR="00FC5907" w:rsidRPr="00FC215D" w:rsidRDefault="00FC5907" w:rsidP="00FC5907">
      <w:pPr>
        <w:pStyle w:val="Corpsdetexte"/>
        <w:rPr>
          <w:rFonts w:ascii="Georgia" w:hAnsi="Georgia"/>
        </w:rPr>
      </w:pPr>
      <w:bookmarkStart w:id="173" w:name="_Hlk52268008"/>
      <w:r w:rsidRPr="1FDA7F42">
        <w:rPr>
          <w:rFonts w:ascii="Georgia" w:hAnsi="Georgia"/>
        </w:rPr>
        <w:t xml:space="preserve">Pour remplir la fiche, veuillez cliquer ici : </w:t>
      </w:r>
      <w:hyperlink r:id="rId38">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74" w:name="_Toc51592067"/>
      <w:bookmarkStart w:id="175" w:name="_Toc52268499"/>
      <w:bookmarkStart w:id="176" w:name="_Toc150246351"/>
      <w:bookmarkEnd w:id="173"/>
      <w:r w:rsidRPr="71EBF40D">
        <w:rPr>
          <w:lang w:val="fr-BE"/>
        </w:rPr>
        <w:t>Entité de droit privé/public ayant une forme juridique</w:t>
      </w:r>
      <w:bookmarkEnd w:id="174"/>
      <w:bookmarkEnd w:id="175"/>
      <w:bookmarkEnd w:id="176"/>
    </w:p>
    <w:p w14:paraId="62555C4B" w14:textId="364387B4" w:rsidR="00FC5907" w:rsidRPr="00FC215D" w:rsidRDefault="00FC5907" w:rsidP="00FC5907">
      <w:bookmarkStart w:id="177" w:name="_Hlk52268009"/>
      <w:r>
        <w:t xml:space="preserve">Pour remplir la fiche, veuillez cliquer ici : </w:t>
      </w:r>
      <w:hyperlink r:id="rId39">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lastRenderedPageBreak/>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78" w:name="_Toc51592068"/>
    </w:p>
    <w:bookmarkEnd w:id="177"/>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79" w:name="_Toc52268500"/>
      <w:bookmarkStart w:id="180" w:name="_Toc150246352"/>
      <w:proofErr w:type="spellStart"/>
      <w:r>
        <w:lastRenderedPageBreak/>
        <w:t>E</w:t>
      </w:r>
      <w:r w:rsidRPr="008A70C6">
        <w:t>ntité</w:t>
      </w:r>
      <w:proofErr w:type="spellEnd"/>
      <w:r w:rsidRPr="008A70C6">
        <w:t xml:space="preserve"> de droit publi</w:t>
      </w:r>
      <w:r>
        <w:t>c</w:t>
      </w:r>
      <w:bookmarkEnd w:id="178"/>
      <w:r>
        <w:rPr>
          <w:rStyle w:val="Appelnotedebasdep"/>
        </w:rPr>
        <w:footnoteReference w:id="20"/>
      </w:r>
      <w:bookmarkEnd w:id="179"/>
      <w:bookmarkEnd w:id="180"/>
    </w:p>
    <w:p w14:paraId="6803D8F2" w14:textId="65A5652E" w:rsidR="00FC5907" w:rsidRPr="00FC215D" w:rsidRDefault="00FC5907" w:rsidP="00FC5907">
      <w:bookmarkStart w:id="181" w:name="_Hlk52268028"/>
      <w:r>
        <w:t xml:space="preserve">Pour remplir la fiche, veuillez cliquer ici : </w:t>
      </w:r>
      <w:hyperlink r:id="rId40">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182" w:name="_Toc257039881"/>
      <w:bookmarkStart w:id="183" w:name="_Toc511056610"/>
      <w:bookmarkStart w:id="184" w:name="_Toc51592069"/>
      <w:bookmarkStart w:id="185" w:name="_Toc52268501"/>
      <w:bookmarkEnd w:id="181"/>
      <w:r>
        <w:br w:type="page"/>
      </w:r>
    </w:p>
    <w:p w14:paraId="1CA15D3A" w14:textId="77777777" w:rsidR="00FC5907" w:rsidRDefault="00FC5907" w:rsidP="00FC5907">
      <w:pPr>
        <w:pStyle w:val="Titre3"/>
      </w:pPr>
      <w:bookmarkStart w:id="186" w:name="_Toc150246353"/>
      <w:r>
        <w:lastRenderedPageBreak/>
        <w:t>Sous-</w:t>
      </w:r>
      <w:proofErr w:type="spellStart"/>
      <w: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187" w:name="_Toc52268502"/>
      <w:bookmarkStart w:id="188" w:name="_Toc150246354"/>
      <w:r>
        <w:t>Formulaire d’offre - Prix</w:t>
      </w:r>
      <w:bookmarkEnd w:id="187"/>
      <w:bookmarkEnd w:id="188"/>
    </w:p>
    <w:p w14:paraId="4E5B049F" w14:textId="2F791069"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D314DB">
        <w:rPr>
          <w:rFonts w:ascii="Georgia" w:eastAsia="Calibri" w:hAnsi="Georgia" w:cs="Times New Roman"/>
          <w:color w:val="585756"/>
          <w:szCs w:val="22"/>
          <w:lang w:val="fr-BE"/>
        </w:rPr>
        <w:t>COD2299611SH6-10012</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0" w:type="auto"/>
        <w:tblLook w:val="04A0" w:firstRow="1" w:lastRow="0" w:firstColumn="1" w:lastColumn="0" w:noHBand="0" w:noVBand="1"/>
      </w:tblPr>
      <w:tblGrid>
        <w:gridCol w:w="2831"/>
        <w:gridCol w:w="2831"/>
        <w:gridCol w:w="2832"/>
      </w:tblGrid>
      <w:tr w:rsidR="00D314DB" w14:paraId="06F94C77" w14:textId="77777777" w:rsidTr="00D314DB">
        <w:tc>
          <w:tcPr>
            <w:tcW w:w="2831" w:type="dxa"/>
          </w:tcPr>
          <w:p w14:paraId="1764962F" w14:textId="529A3ECE"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Postes</w:t>
            </w:r>
          </w:p>
        </w:tc>
        <w:tc>
          <w:tcPr>
            <w:tcW w:w="2831" w:type="dxa"/>
          </w:tcPr>
          <w:p w14:paraId="08E24A57" w14:textId="487F3281"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Unité</w:t>
            </w:r>
          </w:p>
        </w:tc>
        <w:tc>
          <w:tcPr>
            <w:tcW w:w="2832" w:type="dxa"/>
          </w:tcPr>
          <w:p w14:paraId="6C4AA719" w14:textId="480AE3CF"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 HTVA</w:t>
            </w:r>
          </w:p>
        </w:tc>
      </w:tr>
      <w:tr w:rsidR="00D314DB" w14:paraId="235AFB4E" w14:textId="77777777" w:rsidTr="00D314DB">
        <w:tc>
          <w:tcPr>
            <w:tcW w:w="2831" w:type="dxa"/>
          </w:tcPr>
          <w:p w14:paraId="185BFFE7" w14:textId="2D2353F1" w:rsidR="00D314DB" w:rsidRDefault="00D314DB" w:rsidP="00D314D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Prestations sur le terrain</w:t>
            </w:r>
          </w:p>
          <w:p w14:paraId="55671E5E" w14:textId="77777777" w:rsidR="00D314DB" w:rsidRDefault="00D314DB" w:rsidP="00D314DB">
            <w:pPr>
              <w:pStyle w:val="Corpsdetexte"/>
              <w:rPr>
                <w:rFonts w:ascii="Georgia" w:eastAsia="Calibri" w:hAnsi="Georgia" w:cs="Times New Roman"/>
                <w:color w:val="585756"/>
                <w:szCs w:val="22"/>
                <w:lang w:val="fr-BE"/>
              </w:rPr>
            </w:pPr>
          </w:p>
        </w:tc>
        <w:tc>
          <w:tcPr>
            <w:tcW w:w="2831" w:type="dxa"/>
          </w:tcPr>
          <w:p w14:paraId="7004E126" w14:textId="214AD94D"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HJ</w:t>
            </w:r>
          </w:p>
        </w:tc>
        <w:tc>
          <w:tcPr>
            <w:tcW w:w="2832" w:type="dxa"/>
          </w:tcPr>
          <w:p w14:paraId="063E6951" w14:textId="77777777" w:rsidR="00D314DB" w:rsidRDefault="00D314DB" w:rsidP="00FC5907">
            <w:pPr>
              <w:pStyle w:val="Corpsdetexte"/>
              <w:spacing w:before="60" w:after="60"/>
              <w:rPr>
                <w:rFonts w:ascii="Georgia" w:eastAsia="Calibri" w:hAnsi="Georgia" w:cs="Times New Roman"/>
                <w:color w:val="585756"/>
                <w:szCs w:val="22"/>
                <w:lang w:val="fr-BE"/>
              </w:rPr>
            </w:pPr>
          </w:p>
        </w:tc>
      </w:tr>
      <w:tr w:rsidR="00D314DB" w14:paraId="788E53F8" w14:textId="77777777" w:rsidTr="00D314DB">
        <w:tc>
          <w:tcPr>
            <w:tcW w:w="2831" w:type="dxa"/>
          </w:tcPr>
          <w:p w14:paraId="1B0CCB62" w14:textId="3984DA95" w:rsidR="00D314DB" w:rsidRDefault="00D314DB" w:rsidP="00D314D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Prestations à distance/à domicile</w:t>
            </w:r>
          </w:p>
          <w:p w14:paraId="25990874" w14:textId="77777777" w:rsidR="00D314DB" w:rsidRDefault="00D314DB" w:rsidP="00D314DB">
            <w:pPr>
              <w:pStyle w:val="Corpsdetexte"/>
              <w:rPr>
                <w:rFonts w:ascii="Georgia" w:eastAsia="Calibri" w:hAnsi="Georgia" w:cs="Times New Roman"/>
                <w:color w:val="585756"/>
                <w:kern w:val="0"/>
                <w:sz w:val="21"/>
                <w:szCs w:val="22"/>
                <w:lang w:val="fr-BE"/>
              </w:rPr>
            </w:pPr>
          </w:p>
        </w:tc>
        <w:tc>
          <w:tcPr>
            <w:tcW w:w="2831" w:type="dxa"/>
          </w:tcPr>
          <w:p w14:paraId="7AE61E95" w14:textId="133C0687"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HJ</w:t>
            </w:r>
          </w:p>
        </w:tc>
        <w:tc>
          <w:tcPr>
            <w:tcW w:w="2832" w:type="dxa"/>
          </w:tcPr>
          <w:p w14:paraId="69302F2A" w14:textId="77777777" w:rsidR="00D314DB" w:rsidRDefault="00D314DB" w:rsidP="00FC5907">
            <w:pPr>
              <w:pStyle w:val="Corpsdetexte"/>
              <w:spacing w:before="60" w:after="60"/>
              <w:rPr>
                <w:rFonts w:ascii="Georgia" w:eastAsia="Calibri" w:hAnsi="Georgia" w:cs="Times New Roman"/>
                <w:color w:val="585756"/>
                <w:szCs w:val="22"/>
                <w:lang w:val="fr-BE"/>
              </w:rPr>
            </w:pPr>
          </w:p>
        </w:tc>
      </w:tr>
      <w:tr w:rsidR="00D314DB" w14:paraId="12E60635" w14:textId="77777777" w:rsidTr="00D314DB">
        <w:tc>
          <w:tcPr>
            <w:tcW w:w="2831" w:type="dxa"/>
          </w:tcPr>
          <w:p w14:paraId="5F7FCE91" w14:textId="77777777" w:rsidR="00D314DB" w:rsidRPr="008B1DD6" w:rsidRDefault="00D314DB" w:rsidP="00D314D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OPTION : PU utilisation de la boîte à outils.</w:t>
            </w:r>
          </w:p>
          <w:p w14:paraId="75DCC1E2" w14:textId="77777777" w:rsidR="00D314DB" w:rsidRDefault="00D314DB" w:rsidP="00D314DB">
            <w:pPr>
              <w:pStyle w:val="Corpsdetexte"/>
              <w:rPr>
                <w:rFonts w:ascii="Georgia" w:eastAsia="Calibri" w:hAnsi="Georgia" w:cs="Times New Roman"/>
                <w:color w:val="585756"/>
                <w:kern w:val="0"/>
                <w:sz w:val="21"/>
                <w:szCs w:val="22"/>
                <w:lang w:val="fr-BE"/>
              </w:rPr>
            </w:pPr>
          </w:p>
        </w:tc>
        <w:tc>
          <w:tcPr>
            <w:tcW w:w="2831" w:type="dxa"/>
          </w:tcPr>
          <w:p w14:paraId="3106F65C" w14:textId="75FB0B52" w:rsidR="00D314DB" w:rsidRDefault="00D314D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usager</w:t>
            </w:r>
          </w:p>
        </w:tc>
        <w:tc>
          <w:tcPr>
            <w:tcW w:w="2832" w:type="dxa"/>
          </w:tcPr>
          <w:p w14:paraId="7325F99E" w14:textId="77777777" w:rsidR="00D314DB" w:rsidRDefault="00D314DB" w:rsidP="00FC5907">
            <w:pPr>
              <w:pStyle w:val="Corpsdetexte"/>
              <w:spacing w:before="60" w:after="60"/>
              <w:rPr>
                <w:rFonts w:ascii="Georgia" w:eastAsia="Calibri" w:hAnsi="Georgia" w:cs="Times New Roman"/>
                <w:color w:val="585756"/>
                <w:szCs w:val="22"/>
                <w:lang w:val="fr-BE"/>
              </w:rPr>
            </w:pPr>
          </w:p>
        </w:tc>
      </w:tr>
    </w:tbl>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 xml:space="preserve"> </w:t>
      </w:r>
    </w:p>
    <w:p w14:paraId="0C4B6018"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F915642" w14:textId="77777777" w:rsidR="00D314DB" w:rsidRDefault="00D314DB" w:rsidP="00FC5907">
      <w:pPr>
        <w:pStyle w:val="Corpsdetexte"/>
        <w:spacing w:before="60" w:after="60"/>
        <w:rPr>
          <w:rFonts w:ascii="Georgia" w:eastAsia="Calibri" w:hAnsi="Georgia" w:cs="Times New Roman"/>
          <w:color w:val="585756"/>
          <w:szCs w:val="22"/>
          <w:lang w:val="fr-BE"/>
        </w:rPr>
      </w:pPr>
    </w:p>
    <w:p w14:paraId="7751411D" w14:textId="77777777" w:rsidR="00D314DB" w:rsidRDefault="00D314DB" w:rsidP="00FC5907">
      <w:pPr>
        <w:pStyle w:val="Corpsdetexte"/>
        <w:spacing w:before="60" w:after="60"/>
        <w:rPr>
          <w:rFonts w:ascii="Georgia" w:eastAsia="Calibri" w:hAnsi="Georgia" w:cs="Times New Roman"/>
          <w:color w:val="585756"/>
          <w:szCs w:val="22"/>
          <w:lang w:val="fr-BE"/>
        </w:rPr>
        <w:sectPr w:rsidR="00D314DB" w:rsidSect="00184F9E">
          <w:pgSz w:w="11906" w:h="16838"/>
          <w:pgMar w:top="1418" w:right="1531" w:bottom="1418" w:left="1871" w:header="709" w:footer="709" w:gutter="0"/>
          <w:pgNumType w:start="2"/>
          <w:cols w:space="708"/>
          <w:titlePg/>
          <w:docGrid w:linePitch="360"/>
        </w:sectPr>
      </w:pPr>
    </w:p>
    <w:p w14:paraId="541F9B30" w14:textId="77777777" w:rsidR="00D314DB" w:rsidRPr="00C32464" w:rsidRDefault="00D314DB" w:rsidP="00FC5907">
      <w:pPr>
        <w:pStyle w:val="Corpsdetexte"/>
        <w:spacing w:before="60" w:after="60"/>
        <w:rPr>
          <w:rFonts w:ascii="Georgia" w:eastAsia="Calibri" w:hAnsi="Georgia" w:cs="Times New Roman"/>
          <w:color w:val="585756"/>
          <w:szCs w:val="22"/>
          <w:lang w:val="fr-BE"/>
        </w:rPr>
      </w:pPr>
    </w:p>
    <w:p w14:paraId="511B82BE" w14:textId="77777777" w:rsidR="00FC5907" w:rsidRPr="006542C5" w:rsidRDefault="00FC5907" w:rsidP="00FC5907">
      <w:pPr>
        <w:pStyle w:val="Titre2"/>
      </w:pPr>
      <w:bookmarkStart w:id="189" w:name="_Toc52268503"/>
      <w:bookmarkStart w:id="190" w:name="_Toc150246355"/>
      <w:r>
        <w:t>Déclaration sur l’honneur – motifs d’exclusion</w:t>
      </w:r>
      <w:bookmarkEnd w:id="190"/>
      <w:r>
        <w:t xml:space="preserve"> </w:t>
      </w:r>
      <w:bookmarkEnd w:id="189"/>
    </w:p>
    <w:p w14:paraId="27739748" w14:textId="77777777" w:rsidR="00FC5907" w:rsidRDefault="00FC5907" w:rsidP="00FC590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87F59FC" w14:textId="77777777" w:rsidR="00FC5907" w:rsidRPr="00442C30"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442C30" w:rsidRDefault="00FC5907" w:rsidP="005A54BC">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2212301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ECC2A6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983FD9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7A4AF4D"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3E5D2D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2D69950"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6DC45AA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000FD2C" w14:textId="77777777" w:rsidR="00F43783"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3783">
        <w:rPr>
          <w:rStyle w:val="normaltextrun"/>
          <w:rFonts w:ascii="Georgia" w:hAnsi="Georgia" w:cs="Segoe UI"/>
          <w:sz w:val="20"/>
          <w:szCs w:val="20"/>
          <w:lang w:val="fr-FR"/>
        </w:rPr>
        <w:t>8° la création de sociétés offshore</w:t>
      </w:r>
    </w:p>
    <w:p w14:paraId="79CCAD64" w14:textId="252AA4C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C24C07A" w14:textId="77777777" w:rsidR="00FC5907" w:rsidRPr="00442C30"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442C30" w:rsidRDefault="00FC5907" w:rsidP="005A54BC">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BF3D92">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D99211F"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698720F" w14:textId="77777777" w:rsidR="00FC5907" w:rsidRPr="00442C30" w:rsidRDefault="00FC5907" w:rsidP="005A54BC">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15C9473"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B7C1F0" w14:textId="77777777" w:rsidR="00FC5907" w:rsidRPr="00442C30" w:rsidRDefault="00FC5907" w:rsidP="005A54BC">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44CF65F1" w14:textId="4C1CEA4E" w:rsidR="00FC5907" w:rsidRPr="00442C30"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86B7D3" w14:textId="77777777" w:rsidR="00FC5907" w:rsidRPr="00442C30" w:rsidRDefault="00FC5907" w:rsidP="005A54BC">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246FB5C" w14:textId="77777777" w:rsidR="00FC5907" w:rsidRPr="00442C30" w:rsidRDefault="00FC5907" w:rsidP="005A54BC">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825CCDE" w14:textId="77777777" w:rsidR="00FC5907" w:rsidRPr="00442C30" w:rsidRDefault="00FC5907" w:rsidP="005A54BC">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D312F53" w14:textId="77777777" w:rsidR="00FC5907" w:rsidRPr="00442C30"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2F1525B"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EF1204E" w14:textId="77777777" w:rsidR="00FC5907" w:rsidRPr="00442C30" w:rsidRDefault="00FC5907" w:rsidP="005A54BC">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037159D6"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9016C6" w14:textId="77777777" w:rsidR="00FC5907" w:rsidRPr="00442C30" w:rsidRDefault="00FC5907" w:rsidP="005A54BC">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lastRenderedPageBreak/>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8C66DF6"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7EB155D"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3B5553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41"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2" w:history="1">
        <w:r w:rsidRPr="00442C30">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442C30" w:rsidRDefault="00000000" w:rsidP="000451D3">
      <w:pPr>
        <w:pStyle w:val="paragraph"/>
        <w:ind w:left="360"/>
        <w:textAlignment w:val="baseline"/>
        <w:rPr>
          <w:rStyle w:val="eop"/>
          <w:rFonts w:ascii="Georgia" w:hAnsi="Georgia" w:cs="Segoe UI"/>
          <w:sz w:val="20"/>
          <w:szCs w:val="20"/>
          <w:lang w:val="fr-FR"/>
        </w:rPr>
      </w:pPr>
      <w:hyperlink r:id="rId43" w:history="1">
        <w:r w:rsidR="00FC5907" w:rsidRPr="00442C30">
          <w:rPr>
            <w:rStyle w:val="Lienhypertexte"/>
            <w:rFonts w:ascii="Georgia" w:hAnsi="Georgia" w:cs="Segoe UI"/>
            <w:sz w:val="20"/>
            <w:szCs w:val="20"/>
            <w:lang w:val="fr-FR"/>
          </w:rPr>
          <w:t>https://eeas.europa.eu/headquarters/headquarters-homepage/8442/consolidated-list-sanctions</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r>
      <w:hyperlink r:id="rId44" w:history="1">
        <w:r w:rsidR="00FC5907" w:rsidRPr="00442C30">
          <w:rPr>
            <w:rStyle w:val="Lienhypertexte"/>
            <w:rFonts w:ascii="Georgia" w:hAnsi="Georgia" w:cs="Segoe UI"/>
            <w:sz w:val="20"/>
            <w:szCs w:val="20"/>
            <w:lang w:val="fr-FR"/>
          </w:rPr>
          <w:t>https://eeas.europa.eu/sites/eeas/files/restrictive_measures-2017-01-17-clean.pdf</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t xml:space="preserve">Pour la Belgique : </w:t>
      </w:r>
      <w:hyperlink r:id="rId45" w:history="1">
        <w:r w:rsidR="00FC5907"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442C30" w:rsidRDefault="00FC5907" w:rsidP="005A54BC">
      <w:pPr>
        <w:numPr>
          <w:ilvl w:val="0"/>
          <w:numId w:val="21"/>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51995B6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0353E253"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441E3935" w14:textId="77777777" w:rsidR="00FC5907" w:rsidRPr="00442C30" w:rsidRDefault="00FC5907" w:rsidP="00FC590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568582CB"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5AF77CBD"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6379341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899F9DD" w14:textId="65B346A3" w:rsidR="00FC5907" w:rsidRDefault="00FC5907" w:rsidP="71EBF40D">
      <w:pPr>
        <w:ind w:left="360"/>
        <w:rPr>
          <w:rStyle w:val="eop"/>
          <w:rFonts w:eastAsia="Times New Roman" w:cs="Segoe UI"/>
          <w:color w:val="auto"/>
          <w:sz w:val="20"/>
          <w:szCs w:val="20"/>
          <w:lang w:val="fr-FR" w:eastAsia="nl-BE"/>
        </w:rPr>
      </w:pPr>
      <w:r w:rsidRPr="71EBF40D">
        <w:rPr>
          <w:rStyle w:val="eop"/>
          <w:rFonts w:eastAsia="Times New Roman" w:cs="Segoe UI"/>
          <w:color w:val="auto"/>
          <w:sz w:val="20"/>
          <w:szCs w:val="20"/>
          <w:lang w:val="fr-FR" w:eastAsia="nl-BE"/>
        </w:rPr>
        <w:t>Signature</w:t>
      </w:r>
    </w:p>
    <w:p w14:paraId="143A4826" w14:textId="2755CF3F" w:rsidR="00FC5907" w:rsidRPr="000451D3" w:rsidRDefault="00FC5907" w:rsidP="000451D3">
      <w:pPr>
        <w:spacing w:after="0" w:line="240" w:lineRule="auto"/>
        <w:rPr>
          <w:rFonts w:ascii="Calibri" w:eastAsia="Times New Roman" w:hAnsi="Calibri"/>
          <w:b/>
          <w:color w:val="D81A1A"/>
          <w:sz w:val="28"/>
          <w:szCs w:val="26"/>
        </w:rPr>
      </w:pPr>
      <w:r>
        <w:br w:type="page"/>
      </w:r>
    </w:p>
    <w:p w14:paraId="769FB878" w14:textId="437E38E4" w:rsidR="00D314DB" w:rsidRDefault="00D314DB" w:rsidP="00FC5907">
      <w:pPr>
        <w:pStyle w:val="Titre2"/>
      </w:pPr>
      <w:bookmarkStart w:id="191" w:name="_Toc51592079"/>
      <w:bookmarkStart w:id="192" w:name="_Toc52268508"/>
      <w:bookmarkStart w:id="193" w:name="_Toc150246359"/>
      <w:r>
        <w:lastRenderedPageBreak/>
        <w:t>Liste récapitulative des documents à remettre</w:t>
      </w:r>
    </w:p>
    <w:p w14:paraId="6A30EA35" w14:textId="7C2AE6F7" w:rsidR="00D314DB" w:rsidRDefault="00D314DB" w:rsidP="00D314DB">
      <w:pPr>
        <w:pStyle w:val="Paragraphedeliste"/>
        <w:numPr>
          <w:ilvl w:val="0"/>
          <w:numId w:val="59"/>
        </w:numPr>
      </w:pPr>
      <w:r>
        <w:t>Déclaration sur l’honneur KYC ;</w:t>
      </w:r>
    </w:p>
    <w:p w14:paraId="2AE01FDE" w14:textId="58176F13" w:rsidR="00D314DB" w:rsidRDefault="00D314DB" w:rsidP="00D314DB">
      <w:pPr>
        <w:pStyle w:val="Paragraphedeliste"/>
        <w:numPr>
          <w:ilvl w:val="0"/>
          <w:numId w:val="59"/>
        </w:numPr>
      </w:pPr>
      <w:r>
        <w:t>Déclaration d’intégrité ;</w:t>
      </w:r>
    </w:p>
    <w:p w14:paraId="0FB2D865" w14:textId="708A3B3B" w:rsidR="00D314DB" w:rsidRDefault="00D314DB" w:rsidP="00D314DB">
      <w:pPr>
        <w:pStyle w:val="Paragraphedeliste"/>
        <w:numPr>
          <w:ilvl w:val="0"/>
          <w:numId w:val="59"/>
        </w:numPr>
      </w:pPr>
      <w:r>
        <w:t>Fiche d’identification ;</w:t>
      </w:r>
    </w:p>
    <w:p w14:paraId="4D005F6F" w14:textId="15D77248" w:rsidR="00D314DB" w:rsidRDefault="00D314DB" w:rsidP="00D314DB">
      <w:pPr>
        <w:pStyle w:val="Paragraphedeliste"/>
        <w:numPr>
          <w:ilvl w:val="0"/>
          <w:numId w:val="59"/>
        </w:numPr>
      </w:pPr>
      <w:r>
        <w:t xml:space="preserve">DUME ; </w:t>
      </w:r>
    </w:p>
    <w:p w14:paraId="350946F2" w14:textId="734605A0" w:rsidR="00D314DB" w:rsidRDefault="00D314DB" w:rsidP="00D314DB">
      <w:pPr>
        <w:pStyle w:val="Paragraphedeliste"/>
        <w:numPr>
          <w:ilvl w:val="0"/>
          <w:numId w:val="59"/>
        </w:numPr>
      </w:pPr>
      <w:r>
        <w:t>Méthodologie</w:t>
      </w:r>
    </w:p>
    <w:p w14:paraId="375BB7C7" w14:textId="6BE7B3DD" w:rsidR="00D314DB" w:rsidRDefault="00D314DB" w:rsidP="00D314DB">
      <w:pPr>
        <w:pStyle w:val="Paragraphedeliste"/>
        <w:numPr>
          <w:ilvl w:val="0"/>
          <w:numId w:val="59"/>
        </w:numPr>
      </w:pPr>
      <w:r>
        <w:t>CV des experts principaux + diplômes ;</w:t>
      </w:r>
    </w:p>
    <w:p w14:paraId="2619B8BF" w14:textId="03CF3466" w:rsidR="00D314DB" w:rsidRDefault="00D314DB" w:rsidP="00D314DB">
      <w:pPr>
        <w:pStyle w:val="Paragraphedeliste"/>
        <w:numPr>
          <w:ilvl w:val="0"/>
          <w:numId w:val="59"/>
        </w:numPr>
      </w:pPr>
      <w:r>
        <w:t>Formulaire d’offre</w:t>
      </w:r>
    </w:p>
    <w:p w14:paraId="6052C555" w14:textId="77777777" w:rsidR="00D314DB" w:rsidRDefault="00D314DB" w:rsidP="00D314DB">
      <w:pPr>
        <w:sectPr w:rsidR="00D314DB" w:rsidSect="00184F9E">
          <w:pgSz w:w="11906" w:h="16838"/>
          <w:pgMar w:top="1418" w:right="1531" w:bottom="1418" w:left="1871" w:header="709" w:footer="709" w:gutter="0"/>
          <w:pgNumType w:start="2"/>
          <w:cols w:space="708"/>
          <w:titlePg/>
          <w:docGrid w:linePitch="360"/>
        </w:sectPr>
      </w:pPr>
    </w:p>
    <w:p w14:paraId="5D2F6571" w14:textId="77777777" w:rsidR="00D314DB" w:rsidRPr="00D314DB" w:rsidRDefault="00D314DB" w:rsidP="00D314DB"/>
    <w:p w14:paraId="1AEEA602" w14:textId="0F0CBC47" w:rsidR="00FC5907" w:rsidRDefault="00FC5907" w:rsidP="00FC5907">
      <w:pPr>
        <w:pStyle w:val="Titre2"/>
      </w:pPr>
      <w:r>
        <w:t>Annexes</w:t>
      </w:r>
      <w:bookmarkEnd w:id="191"/>
      <w:bookmarkEnd w:id="192"/>
      <w:bookmarkEnd w:id="193"/>
    </w:p>
    <w:p w14:paraId="50636A26" w14:textId="6826F316" w:rsidR="00FC5907" w:rsidRDefault="00FC5907" w:rsidP="00FC5907">
      <w:pPr>
        <w:pStyle w:val="Titre3"/>
        <w:rPr>
          <w:lang w:val="fr-BE"/>
        </w:rPr>
      </w:pPr>
      <w:bookmarkStart w:id="194" w:name="_Toc51592080"/>
      <w:bookmarkStart w:id="195" w:name="_Toc52268509"/>
      <w:bookmarkStart w:id="196" w:name="_Toc150246360"/>
      <w:r w:rsidRPr="71EBF40D">
        <w:rPr>
          <w:lang w:val="fr-BE"/>
        </w:rPr>
        <w:t>Clause GDPR (en cas de prestataire de service qui va traiter des données personnelles)</w:t>
      </w:r>
      <w:bookmarkEnd w:id="194"/>
      <w:bookmarkEnd w:id="195"/>
      <w:bookmarkEnd w:id="196"/>
    </w:p>
    <w:p w14:paraId="78EE8803" w14:textId="77777777" w:rsidR="005A54BC" w:rsidRPr="005A54BC" w:rsidRDefault="005A54BC" w:rsidP="005A54BC">
      <w:pPr>
        <w:rPr>
          <w:lang w:val="fr-FR"/>
        </w:rPr>
      </w:pPr>
    </w:p>
    <w:p w14:paraId="71E4DA51" w14:textId="77777777" w:rsidR="005A54BC" w:rsidRPr="005A54BC" w:rsidRDefault="005A54BC" w:rsidP="005A54BC">
      <w:pPr>
        <w:rPr>
          <w:i/>
          <w:iCs/>
          <w:lang w:val="fr-FR"/>
        </w:rPr>
      </w:pPr>
      <w:r w:rsidRPr="005A54BC">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5A54BC">
        <w:rPr>
          <w:i/>
          <w:iCs/>
          <w:lang w:val="fr-FR"/>
        </w:rPr>
        <w:t>Enabel</w:t>
      </w:r>
      <w:proofErr w:type="spellEnd"/>
      <w:r w:rsidRPr="005A54BC">
        <w:rPr>
          <w:i/>
          <w:iCs/>
          <w:lang w:val="fr-FR"/>
        </w:rPr>
        <w:t>.</w:t>
      </w:r>
    </w:p>
    <w:p w14:paraId="73983FBF" w14:textId="77777777" w:rsidR="005A54BC" w:rsidRPr="005A54BC" w:rsidRDefault="005A54BC" w:rsidP="005A54BC">
      <w:pPr>
        <w:rPr>
          <w:i/>
          <w:iCs/>
          <w:lang w:val="fr-FR"/>
        </w:rPr>
      </w:pPr>
    </w:p>
    <w:p w14:paraId="32D27900" w14:textId="77777777" w:rsidR="005A54BC" w:rsidRPr="005A54BC" w:rsidRDefault="005A54BC" w:rsidP="005A54BC">
      <w:pPr>
        <w:rPr>
          <w:i/>
          <w:iCs/>
          <w:lang w:val="fr-FR"/>
        </w:rPr>
      </w:pPr>
      <w:r w:rsidRPr="005A54BC">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F78BD28" w14:textId="77777777" w:rsidR="005A54BC" w:rsidRPr="005A54BC" w:rsidRDefault="005A54BC" w:rsidP="005A54BC">
      <w:pPr>
        <w:rPr>
          <w:lang w:val="fr-FR"/>
        </w:rPr>
      </w:pPr>
    </w:p>
    <w:p w14:paraId="65FD7E4C" w14:textId="77777777" w:rsidR="005A54BC" w:rsidRPr="005A54BC" w:rsidRDefault="005A54BC" w:rsidP="005A54BC">
      <w:pPr>
        <w:rPr>
          <w:lang w:val="fr-FR"/>
        </w:rPr>
      </w:pPr>
    </w:p>
    <w:p w14:paraId="48E3107C" w14:textId="77777777" w:rsidR="005A54BC" w:rsidRPr="005A54BC" w:rsidRDefault="005A54BC" w:rsidP="005A54BC">
      <w:pPr>
        <w:rPr>
          <w:lang w:val="fr-FR"/>
        </w:rPr>
      </w:pPr>
      <w:r w:rsidRPr="005A54BC">
        <w:rPr>
          <w:lang w:val="fr-FR"/>
        </w:rPr>
        <w:t xml:space="preserve">CONVENTION </w:t>
      </w:r>
      <w:proofErr w:type="spellStart"/>
      <w:r w:rsidRPr="005A54BC">
        <w:rPr>
          <w:lang w:val="fr-FR"/>
        </w:rPr>
        <w:t>relatiVE</w:t>
      </w:r>
      <w:proofErr w:type="spellEnd"/>
      <w:r w:rsidRPr="005A54BC">
        <w:rPr>
          <w:lang w:val="fr-FR"/>
        </w:rPr>
        <w:t xml:space="preserve"> aux traitements de données à caractère personnel (RGPD)</w:t>
      </w:r>
    </w:p>
    <w:p w14:paraId="49FC4DF2" w14:textId="77777777" w:rsidR="005A54BC" w:rsidRPr="005A54BC" w:rsidRDefault="005A54BC" w:rsidP="005A54BC">
      <w:pPr>
        <w:rPr>
          <w:b/>
          <w:bCs/>
          <w:lang w:val="fr-FR"/>
        </w:rPr>
      </w:pPr>
    </w:p>
    <w:p w14:paraId="6F472224" w14:textId="77777777" w:rsidR="005A54BC" w:rsidRPr="005A54BC" w:rsidRDefault="005A54BC" w:rsidP="005A54BC">
      <w:pPr>
        <w:rPr>
          <w:b/>
          <w:bCs/>
          <w:lang w:val="fr-FR"/>
        </w:rPr>
      </w:pPr>
      <w:r w:rsidRPr="005A54BC">
        <w:rPr>
          <w:b/>
          <w:bCs/>
          <w:lang w:val="fr-FR"/>
        </w:rPr>
        <w:t xml:space="preserve">ENTRE :  </w:t>
      </w:r>
    </w:p>
    <w:p w14:paraId="16F5A821" w14:textId="77777777" w:rsidR="005A54BC" w:rsidRPr="005A54BC" w:rsidRDefault="005A54BC" w:rsidP="005A54BC">
      <w:pPr>
        <w:rPr>
          <w:lang w:val="fr-FR"/>
        </w:rPr>
      </w:pPr>
    </w:p>
    <w:p w14:paraId="693FC6F0" w14:textId="77777777" w:rsidR="005A54BC" w:rsidRPr="005A54BC" w:rsidRDefault="005A54BC" w:rsidP="005A54BC">
      <w:pPr>
        <w:rPr>
          <w:lang w:val="fr-FR"/>
        </w:rPr>
      </w:pPr>
    </w:p>
    <w:p w14:paraId="4EBFD3EE" w14:textId="77777777" w:rsidR="005A54BC" w:rsidRPr="005A54BC" w:rsidRDefault="005A54BC" w:rsidP="005A54BC">
      <w:pPr>
        <w:rPr>
          <w:b/>
          <w:lang w:val="fr-FR"/>
        </w:rPr>
      </w:pPr>
      <w:r w:rsidRPr="005A54BC">
        <w:rPr>
          <w:b/>
          <w:lang w:val="fr-FR"/>
        </w:rPr>
        <w:t xml:space="preserve">Le pouvoir adjudicateur : </w:t>
      </w:r>
      <w:proofErr w:type="spellStart"/>
      <w:r w:rsidRPr="005A54BC">
        <w:rPr>
          <w:b/>
          <w:lang w:val="fr-FR"/>
        </w:rPr>
        <w:t>Enabel</w:t>
      </w:r>
      <w:proofErr w:type="spellEnd"/>
      <w:r w:rsidRPr="005A54BC">
        <w:rPr>
          <w:b/>
          <w:lang w:val="fr-FR"/>
        </w:rPr>
        <w:t>, A</w:t>
      </w:r>
      <w:proofErr w:type="spellStart"/>
      <w:r w:rsidRPr="005A54BC">
        <w:rPr>
          <w:b/>
        </w:rPr>
        <w:t>gence</w:t>
      </w:r>
      <w:proofErr w:type="spellEnd"/>
      <w:r w:rsidRPr="005A54BC">
        <w:rPr>
          <w:b/>
        </w:rPr>
        <w:t xml:space="preserve"> belge de développement</w:t>
      </w:r>
      <w:r w:rsidRPr="005A54BC">
        <w:t>, société anonyme de droit public à finalité sociale, dont le siège social est établi à 147, rue Haute, 1000 Bruxelles (numéro d’entreprise 0264.814.354, RPM Bruxelles).</w:t>
      </w:r>
    </w:p>
    <w:p w14:paraId="30323D22" w14:textId="77777777" w:rsidR="005A54BC" w:rsidRPr="005A54BC" w:rsidRDefault="005A54BC" w:rsidP="005A54BC">
      <w:pPr>
        <w:rPr>
          <w:lang w:val="fr-FR"/>
        </w:rPr>
      </w:pPr>
    </w:p>
    <w:p w14:paraId="12601BDE" w14:textId="77777777" w:rsidR="005A54BC" w:rsidRPr="005A54BC" w:rsidRDefault="005A54BC" w:rsidP="005A54BC">
      <w:pPr>
        <w:rPr>
          <w:lang w:val="fr-FR"/>
        </w:rPr>
      </w:pPr>
      <w:r w:rsidRPr="005A54BC">
        <w:rPr>
          <w:lang w:val="fr-FR"/>
        </w:rPr>
        <w:t>Représentée par : […………………………………………………………………</w:t>
      </w:r>
      <w:proofErr w:type="gramStart"/>
      <w:r w:rsidRPr="005A54BC">
        <w:rPr>
          <w:lang w:val="fr-FR"/>
        </w:rPr>
        <w:t>…….</w:t>
      </w:r>
      <w:proofErr w:type="gramEnd"/>
      <w:r w:rsidRPr="005A54BC">
        <w:rPr>
          <w:lang w:val="fr-FR"/>
        </w:rPr>
        <w:t>.…………..….],</w:t>
      </w:r>
    </w:p>
    <w:p w14:paraId="0C19D750" w14:textId="77777777" w:rsidR="005A54BC" w:rsidRPr="005A54BC" w:rsidRDefault="005A54BC" w:rsidP="005A54BC">
      <w:pPr>
        <w:rPr>
          <w:lang w:val="fr-FR"/>
        </w:rPr>
      </w:pPr>
    </w:p>
    <w:p w14:paraId="5665CC5D" w14:textId="77777777" w:rsidR="005A54BC" w:rsidRPr="005A54BC" w:rsidRDefault="005A54BC" w:rsidP="005A54BC">
      <w:pPr>
        <w:rPr>
          <w:lang w:val="fr-FR"/>
        </w:rPr>
      </w:pPr>
      <w:r w:rsidRPr="005A54BC">
        <w:rPr>
          <w:lang w:val="fr-FR"/>
        </w:rPr>
        <w:t>Ci-après dénommée « le pouvoir adjudicateur » ou « PA » ou « Responsable du traitement ».</w:t>
      </w:r>
    </w:p>
    <w:p w14:paraId="1A5DDD62" w14:textId="77777777" w:rsidR="005A54BC" w:rsidRPr="005A54BC" w:rsidRDefault="005A54BC" w:rsidP="005A54BC">
      <w:pPr>
        <w:rPr>
          <w:lang w:val="fr-FR"/>
        </w:rPr>
      </w:pPr>
      <w:r w:rsidRPr="005A54BC">
        <w:rPr>
          <w:b/>
          <w:bCs/>
          <w:lang w:val="fr-FR"/>
        </w:rPr>
        <w:t xml:space="preserve">ET </w:t>
      </w:r>
      <w:r w:rsidRPr="005A54BC">
        <w:rPr>
          <w:lang w:val="fr-FR"/>
        </w:rPr>
        <w:t xml:space="preserve">: </w:t>
      </w:r>
      <w:r w:rsidRPr="005A54BC">
        <w:rPr>
          <w:lang w:val="fr-FR"/>
        </w:rPr>
        <w:tab/>
      </w:r>
    </w:p>
    <w:p w14:paraId="1E02CB06" w14:textId="77777777" w:rsidR="005A54BC" w:rsidRPr="005A54BC" w:rsidRDefault="005A54BC" w:rsidP="005A54BC">
      <w:pPr>
        <w:rPr>
          <w:b/>
          <w:bCs/>
          <w:lang w:val="fr-FR"/>
        </w:rPr>
      </w:pPr>
    </w:p>
    <w:p w14:paraId="6C337786" w14:textId="77777777" w:rsidR="005A54BC" w:rsidRPr="005A54BC" w:rsidRDefault="005A54BC" w:rsidP="005A54BC">
      <w:pPr>
        <w:rPr>
          <w:b/>
          <w:bCs/>
          <w:lang w:val="fr-FR"/>
        </w:rPr>
      </w:pPr>
    </w:p>
    <w:p w14:paraId="0D7D416D" w14:textId="77777777" w:rsidR="005A54BC" w:rsidRPr="005A54BC" w:rsidRDefault="005A54BC" w:rsidP="005A54BC">
      <w:pPr>
        <w:rPr>
          <w:lang w:val="fr-FR"/>
        </w:rPr>
      </w:pPr>
      <w:r w:rsidRPr="005A54BC">
        <w:rPr>
          <w:b/>
          <w:lang w:val="fr-FR"/>
        </w:rPr>
        <w:t xml:space="preserve">L’adjudicataire : </w:t>
      </w:r>
      <w:r w:rsidRPr="005A54BC">
        <w:rPr>
          <w:lang w:val="fr-FR"/>
        </w:rPr>
        <w:t>[………………………………………………………………………………</w:t>
      </w:r>
      <w:proofErr w:type="gramStart"/>
      <w:r w:rsidRPr="005A54BC">
        <w:rPr>
          <w:lang w:val="fr-FR"/>
        </w:rPr>
        <w:t>…….</w:t>
      </w:r>
      <w:proofErr w:type="gramEnd"/>
      <w:r w:rsidRPr="005A54BC">
        <w:rPr>
          <w:lang w:val="fr-FR"/>
        </w:rPr>
        <w:t xml:space="preserve">.….], dont le siège social est établi à […………………………………………………………………………………………….………………….…...] </w:t>
      </w:r>
      <w:proofErr w:type="gramStart"/>
      <w:r w:rsidRPr="005A54BC">
        <w:rPr>
          <w:lang w:val="fr-FR"/>
        </w:rPr>
        <w:t>et</w:t>
      </w:r>
      <w:proofErr w:type="gramEnd"/>
      <w:r w:rsidRPr="005A54BC">
        <w:rPr>
          <w:lang w:val="fr-FR"/>
        </w:rPr>
        <w:t xml:space="preserve"> immatriculée à la BCE sous le n° […………………………………………….…………….….],</w:t>
      </w:r>
    </w:p>
    <w:p w14:paraId="19439BE3" w14:textId="77777777" w:rsidR="005A54BC" w:rsidRPr="005A54BC" w:rsidRDefault="005A54BC" w:rsidP="005A54BC">
      <w:pPr>
        <w:rPr>
          <w:lang w:val="fr-FR"/>
        </w:rPr>
      </w:pPr>
    </w:p>
    <w:p w14:paraId="51C00A29" w14:textId="77777777" w:rsidR="005A54BC" w:rsidRPr="005A54BC" w:rsidRDefault="005A54BC" w:rsidP="005A54BC">
      <w:pPr>
        <w:rPr>
          <w:lang w:val="fr-FR"/>
        </w:rPr>
      </w:pPr>
      <w:r w:rsidRPr="005A54BC">
        <w:rPr>
          <w:lang w:val="fr-FR"/>
        </w:rPr>
        <w:t>Représenté(e) par : [……………………………………………………………………………………...],</w:t>
      </w:r>
    </w:p>
    <w:p w14:paraId="4F52B7A9" w14:textId="77777777" w:rsidR="005A54BC" w:rsidRPr="005A54BC" w:rsidRDefault="005A54BC" w:rsidP="005A54BC">
      <w:pPr>
        <w:rPr>
          <w:lang w:val="fr-FR"/>
        </w:rPr>
      </w:pPr>
      <w:proofErr w:type="gramStart"/>
      <w:r w:rsidRPr="005A54BC">
        <w:rPr>
          <w:lang w:val="fr-FR"/>
        </w:rPr>
        <w:t>conformément</w:t>
      </w:r>
      <w:proofErr w:type="gramEnd"/>
      <w:r w:rsidRPr="005A54BC">
        <w:rPr>
          <w:lang w:val="fr-FR"/>
        </w:rPr>
        <w:t xml:space="preserve"> à l’article [……………………………………….……………………………….…….] des statuts de la société,</w:t>
      </w:r>
    </w:p>
    <w:p w14:paraId="335CB665" w14:textId="77777777" w:rsidR="005A54BC" w:rsidRPr="005A54BC" w:rsidRDefault="005A54BC" w:rsidP="005A54BC">
      <w:pPr>
        <w:rPr>
          <w:lang w:val="fr-FR"/>
        </w:rPr>
      </w:pPr>
    </w:p>
    <w:p w14:paraId="06CE1F08" w14:textId="77777777" w:rsidR="005A54BC" w:rsidRPr="005A54BC" w:rsidRDefault="005A54BC" w:rsidP="005A54BC">
      <w:pPr>
        <w:rPr>
          <w:lang w:val="fr-FR"/>
        </w:rPr>
      </w:pPr>
      <w:r w:rsidRPr="005A54BC">
        <w:rPr>
          <w:lang w:val="fr-FR"/>
        </w:rPr>
        <w:t>Ci-après dénommé(e) « l’adjudicataire » ou « sous-traitant ».</w:t>
      </w:r>
    </w:p>
    <w:p w14:paraId="2C891D52" w14:textId="77777777" w:rsidR="005A54BC" w:rsidRPr="005A54BC" w:rsidRDefault="005A54BC" w:rsidP="005A54BC">
      <w:pPr>
        <w:rPr>
          <w:lang w:val="fr-FR"/>
        </w:rPr>
      </w:pPr>
    </w:p>
    <w:p w14:paraId="23369B19" w14:textId="77777777" w:rsidR="005A54BC" w:rsidRPr="005A54BC" w:rsidRDefault="005A54BC" w:rsidP="005A54BC">
      <w:pPr>
        <w:rPr>
          <w:lang w:val="fr-FR"/>
        </w:rPr>
      </w:pPr>
      <w:r w:rsidRPr="005A54BC">
        <w:rPr>
          <w:lang w:val="fr-FR"/>
        </w:rPr>
        <w:t>Le pouvoir adjudicateur et l’adjudicataire sont dénommés individuellement une « Partie » et ensemble les « Parties ».</w:t>
      </w:r>
      <w:r w:rsidRPr="005A54BC">
        <w:rPr>
          <w:lang w:val="fr-FR"/>
        </w:rPr>
        <w:tab/>
      </w:r>
    </w:p>
    <w:p w14:paraId="00E8CC6D" w14:textId="77777777" w:rsidR="005A54BC" w:rsidRPr="005A54BC" w:rsidRDefault="005A54BC" w:rsidP="005A54BC">
      <w:pPr>
        <w:rPr>
          <w:b/>
          <w:bCs/>
          <w:lang w:val="fr-FR"/>
        </w:rPr>
      </w:pPr>
      <w:r w:rsidRPr="005A54BC">
        <w:rPr>
          <w:b/>
          <w:bCs/>
          <w:lang w:val="fr-FR"/>
        </w:rPr>
        <w:t>Préambule</w:t>
      </w:r>
    </w:p>
    <w:p w14:paraId="7DF729DE" w14:textId="77777777" w:rsidR="005A54BC" w:rsidRPr="005A54BC" w:rsidRDefault="005A54BC" w:rsidP="005A54BC">
      <w:pPr>
        <w:rPr>
          <w:lang w:val="fr-FR"/>
        </w:rPr>
      </w:pPr>
      <w:r w:rsidRPr="005A54BC">
        <w:rPr>
          <w:lang w:val="fr-FR"/>
        </w:rPr>
        <w:t>Par décision du [……………</w:t>
      </w:r>
      <w:proofErr w:type="gramStart"/>
      <w:r w:rsidRPr="005A54BC">
        <w:rPr>
          <w:lang w:val="fr-FR"/>
        </w:rPr>
        <w:t>…….</w:t>
      </w:r>
      <w:proofErr w:type="gramEnd"/>
      <w:r w:rsidRPr="005A54BC">
        <w:rPr>
          <w:lang w:val="fr-FR"/>
        </w:rPr>
        <w:t>…...], l’adjudicataire s’est vu attribuer un marché conformément au cahier spécial des charges n° [……………………...].</w:t>
      </w:r>
    </w:p>
    <w:p w14:paraId="0E0E134D" w14:textId="77777777" w:rsidR="005A54BC" w:rsidRPr="005A54BC" w:rsidRDefault="005A54BC" w:rsidP="005A54BC">
      <w:pPr>
        <w:rPr>
          <w:lang w:val="fr-FR"/>
        </w:rPr>
      </w:pPr>
    </w:p>
    <w:p w14:paraId="4D073455" w14:textId="77777777" w:rsidR="005A54BC" w:rsidRPr="005A54BC" w:rsidRDefault="005A54BC" w:rsidP="005A54BC">
      <w:pPr>
        <w:rPr>
          <w:lang w:val="fr-FR"/>
        </w:rPr>
      </w:pPr>
      <w:r w:rsidRPr="005A54BC">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86F8609" w14:textId="77777777" w:rsidR="005A54BC" w:rsidRPr="005A54BC" w:rsidRDefault="005A54BC" w:rsidP="005A54BC">
      <w:pPr>
        <w:rPr>
          <w:lang w:val="fr-FR"/>
        </w:rPr>
      </w:pPr>
    </w:p>
    <w:p w14:paraId="5975C2FC" w14:textId="77777777" w:rsidR="005A54BC" w:rsidRPr="005A54BC" w:rsidRDefault="005A54BC" w:rsidP="005A54BC">
      <w:pPr>
        <w:rPr>
          <w:lang w:val="fr-FR"/>
        </w:rPr>
      </w:pPr>
      <w:r w:rsidRPr="005A54BC">
        <w:rPr>
          <w:lang w:val="fr-FR"/>
        </w:rPr>
        <w:t>L’objet de cet avenant est de conformer les documents de marché aux exigences de l’article 28 du RGPD.</w:t>
      </w:r>
    </w:p>
    <w:p w14:paraId="15C634D6" w14:textId="77777777" w:rsidR="005A54BC" w:rsidRPr="005A54BC" w:rsidRDefault="005A54BC" w:rsidP="005A54BC">
      <w:pPr>
        <w:rPr>
          <w:lang w:val="fr-FR"/>
        </w:rPr>
      </w:pPr>
    </w:p>
    <w:p w14:paraId="6FE5AFCF" w14:textId="77777777" w:rsidR="005A54BC" w:rsidRPr="005A54BC" w:rsidRDefault="005A54BC" w:rsidP="005A54BC">
      <w:pPr>
        <w:rPr>
          <w:lang w:val="fr-FR"/>
        </w:rPr>
      </w:pPr>
      <w:r w:rsidRPr="005A54BC">
        <w:rPr>
          <w:lang w:val="fr-FR"/>
        </w:rPr>
        <w:t>Il n’est pas autrement dérogé aux conditions du marché, notamment quant au délai et à la valeur du marché attribué.</w:t>
      </w:r>
    </w:p>
    <w:p w14:paraId="59968FA2" w14:textId="77777777" w:rsidR="005A54BC" w:rsidRPr="005A54BC" w:rsidRDefault="005A54BC" w:rsidP="005A54BC">
      <w:pPr>
        <w:rPr>
          <w:b/>
          <w:bCs/>
          <w:lang w:val="fr-FR"/>
        </w:rPr>
      </w:pPr>
      <w:r w:rsidRPr="005A54BC">
        <w:rPr>
          <w:b/>
          <w:bCs/>
          <w:lang w:val="fr-FR"/>
        </w:rPr>
        <w:t>Article 1 : Définitions</w:t>
      </w:r>
    </w:p>
    <w:p w14:paraId="00112860" w14:textId="77777777" w:rsidR="005A54BC" w:rsidRPr="005A54BC" w:rsidRDefault="005A54BC" w:rsidP="005A54BC">
      <w:pPr>
        <w:numPr>
          <w:ilvl w:val="1"/>
          <w:numId w:val="27"/>
        </w:numPr>
        <w:rPr>
          <w:lang w:val="fr-FR"/>
        </w:rPr>
      </w:pPr>
      <w:r w:rsidRPr="005A54BC">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5A54BC">
        <w:t>ci-après RGPD</w:t>
      </w:r>
      <w:r w:rsidRPr="005A54BC">
        <w:rPr>
          <w:lang w:val="fr-FR"/>
        </w:rPr>
        <w:t>) et la loi belge du 30 juillet 2018 relative à la protection des personnes physiques à l’égard des traitements de données à caractère personnel.</w:t>
      </w:r>
    </w:p>
    <w:p w14:paraId="2D469B48" w14:textId="77777777" w:rsidR="005A54BC" w:rsidRPr="005A54BC" w:rsidRDefault="005A54BC" w:rsidP="005A54BC">
      <w:pPr>
        <w:rPr>
          <w:b/>
          <w:bCs/>
          <w:lang w:val="fr-FR"/>
        </w:rPr>
      </w:pPr>
      <w:r w:rsidRPr="005A54BC">
        <w:rPr>
          <w:b/>
          <w:bCs/>
          <w:lang w:val="fr-FR"/>
        </w:rPr>
        <w:t>Article 2 : Objet de la Convention</w:t>
      </w:r>
    </w:p>
    <w:p w14:paraId="08BFD9AD" w14:textId="77777777" w:rsidR="005A54BC" w:rsidRPr="005A54BC" w:rsidRDefault="005A54BC" w:rsidP="005A54BC">
      <w:pPr>
        <w:rPr>
          <w:lang w:val="fr-FR"/>
        </w:rPr>
      </w:pPr>
    </w:p>
    <w:p w14:paraId="430E6BA8" w14:textId="77777777" w:rsidR="005A54BC" w:rsidRPr="005A54BC" w:rsidRDefault="005A54BC" w:rsidP="005A54BC">
      <w:pPr>
        <w:numPr>
          <w:ilvl w:val="1"/>
          <w:numId w:val="24"/>
        </w:numPr>
        <w:rPr>
          <w:lang w:val="fr-FR"/>
        </w:rPr>
      </w:pPr>
      <w:r w:rsidRPr="005A54BC">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B44F383" w14:textId="77777777" w:rsidR="005A54BC" w:rsidRPr="005A54BC" w:rsidRDefault="005A54BC" w:rsidP="005A54BC">
      <w:pPr>
        <w:rPr>
          <w:lang w:val="fr-FR"/>
        </w:rPr>
      </w:pPr>
    </w:p>
    <w:p w14:paraId="3F3E9626" w14:textId="77777777" w:rsidR="005A54BC" w:rsidRPr="005A54BC" w:rsidRDefault="005A54BC" w:rsidP="005A54BC">
      <w:pPr>
        <w:numPr>
          <w:ilvl w:val="1"/>
          <w:numId w:val="24"/>
        </w:numPr>
        <w:rPr>
          <w:lang w:val="fr-FR"/>
        </w:rPr>
      </w:pPr>
      <w:r w:rsidRPr="005A54BC">
        <w:rPr>
          <w:lang w:val="fr-FR"/>
        </w:rPr>
        <w:t>L’adjudicataire exécute le marché conformément aux dispositions de la présente Convention.</w:t>
      </w:r>
    </w:p>
    <w:p w14:paraId="5F12F410" w14:textId="77777777" w:rsidR="005A54BC" w:rsidRPr="005A54BC" w:rsidRDefault="005A54BC" w:rsidP="005A54BC">
      <w:pPr>
        <w:rPr>
          <w:lang w:val="fr-FR"/>
        </w:rPr>
      </w:pPr>
    </w:p>
    <w:p w14:paraId="7529F5DB" w14:textId="77777777" w:rsidR="005A54BC" w:rsidRPr="005A54BC" w:rsidRDefault="005A54BC" w:rsidP="005A54BC">
      <w:pPr>
        <w:numPr>
          <w:ilvl w:val="1"/>
          <w:numId w:val="24"/>
        </w:numPr>
        <w:rPr>
          <w:lang w:val="fr-FR"/>
        </w:rPr>
      </w:pPr>
      <w:r w:rsidRPr="005A54BC">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C9CFE9" w14:textId="77777777" w:rsidR="005A54BC" w:rsidRPr="005A54BC" w:rsidRDefault="005A54BC" w:rsidP="005A54BC">
      <w:pPr>
        <w:rPr>
          <w:lang w:val="fr-FR"/>
        </w:rPr>
      </w:pPr>
    </w:p>
    <w:p w14:paraId="0A3A1981" w14:textId="77777777" w:rsidR="005A54BC" w:rsidRPr="005A54BC" w:rsidRDefault="005A54BC" w:rsidP="005A54BC">
      <w:pPr>
        <w:numPr>
          <w:ilvl w:val="1"/>
          <w:numId w:val="24"/>
        </w:numPr>
        <w:rPr>
          <w:lang w:val="fr-FR"/>
        </w:rPr>
      </w:pPr>
      <w:r w:rsidRPr="005A54BC">
        <w:rPr>
          <w:lang w:val="fr-FR"/>
        </w:rPr>
        <w:t xml:space="preserve">Les éléments compris dans le traitement sont inclus et précisés plus amplement dans l’Annexe 1 de cette Convention. Les éléments suivants sont particulièrement inclus dans ladite Annexe : </w:t>
      </w:r>
    </w:p>
    <w:p w14:paraId="71F12701" w14:textId="77777777" w:rsidR="005A54BC" w:rsidRPr="005A54BC" w:rsidRDefault="005A54BC" w:rsidP="005A54BC">
      <w:pPr>
        <w:rPr>
          <w:lang w:val="fr-FR"/>
        </w:rPr>
      </w:pPr>
    </w:p>
    <w:p w14:paraId="4B723398" w14:textId="77777777" w:rsidR="005A54BC" w:rsidRPr="005A54BC" w:rsidRDefault="005A54BC" w:rsidP="005A54BC">
      <w:pPr>
        <w:numPr>
          <w:ilvl w:val="0"/>
          <w:numId w:val="29"/>
        </w:numPr>
        <w:rPr>
          <w:lang w:val="fr-FR"/>
        </w:rPr>
      </w:pPr>
      <w:r w:rsidRPr="005A54BC">
        <w:rPr>
          <w:lang w:val="fr-FR"/>
        </w:rPr>
        <w:t>Les activités de traitements de données à caractère personnel ;</w:t>
      </w:r>
    </w:p>
    <w:p w14:paraId="77322D26" w14:textId="77777777" w:rsidR="005A54BC" w:rsidRPr="005A54BC" w:rsidRDefault="005A54BC" w:rsidP="005A54BC">
      <w:pPr>
        <w:numPr>
          <w:ilvl w:val="0"/>
          <w:numId w:val="29"/>
        </w:numPr>
        <w:rPr>
          <w:lang w:val="fr-FR"/>
        </w:rPr>
      </w:pPr>
      <w:r w:rsidRPr="005A54BC">
        <w:rPr>
          <w:lang w:val="fr-FR"/>
        </w:rPr>
        <w:t>Les catégories de données à caractère personnel traitées ;</w:t>
      </w:r>
    </w:p>
    <w:p w14:paraId="5AFB1053" w14:textId="77777777" w:rsidR="005A54BC" w:rsidRPr="005A54BC" w:rsidRDefault="005A54BC" w:rsidP="005A54BC">
      <w:pPr>
        <w:numPr>
          <w:ilvl w:val="0"/>
          <w:numId w:val="29"/>
        </w:numPr>
        <w:rPr>
          <w:lang w:val="fr-FR"/>
        </w:rPr>
      </w:pPr>
      <w:r w:rsidRPr="005A54BC">
        <w:rPr>
          <w:lang w:val="fr-FR"/>
        </w:rPr>
        <w:t>Les catégories d’intéressés auxquelles se rapportent les données à caractère personnel du pouvoir adjudicateur ;</w:t>
      </w:r>
    </w:p>
    <w:p w14:paraId="6CAE345D" w14:textId="77777777" w:rsidR="005A54BC" w:rsidRPr="005A54BC" w:rsidRDefault="005A54BC" w:rsidP="005A54BC">
      <w:pPr>
        <w:numPr>
          <w:ilvl w:val="0"/>
          <w:numId w:val="29"/>
        </w:numPr>
        <w:rPr>
          <w:lang w:val="fr-FR"/>
        </w:rPr>
      </w:pPr>
      <w:r w:rsidRPr="005A54BC">
        <w:rPr>
          <w:lang w:val="fr-FR"/>
        </w:rPr>
        <w:t xml:space="preserve">Les finalités du traitement. </w:t>
      </w:r>
    </w:p>
    <w:p w14:paraId="721BC96B" w14:textId="77777777" w:rsidR="005A54BC" w:rsidRPr="005A54BC" w:rsidRDefault="005A54BC" w:rsidP="005A54BC">
      <w:pPr>
        <w:numPr>
          <w:ilvl w:val="1"/>
          <w:numId w:val="24"/>
        </w:numPr>
        <w:rPr>
          <w:lang w:val="fr-FR"/>
        </w:rPr>
      </w:pPr>
      <w:r w:rsidRPr="005A54BC">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F0B14F8" w14:textId="77777777" w:rsidR="005A54BC" w:rsidRPr="005A54BC" w:rsidRDefault="005A54BC" w:rsidP="005A54BC">
      <w:pPr>
        <w:rPr>
          <w:lang w:val="fr-FR"/>
        </w:rPr>
      </w:pPr>
    </w:p>
    <w:p w14:paraId="573034C0" w14:textId="77777777" w:rsidR="005A54BC" w:rsidRPr="005A54BC" w:rsidRDefault="005A54BC" w:rsidP="005A54BC">
      <w:pPr>
        <w:numPr>
          <w:ilvl w:val="1"/>
          <w:numId w:val="24"/>
        </w:numPr>
        <w:rPr>
          <w:lang w:val="fr-FR"/>
        </w:rPr>
      </w:pPr>
      <w:r w:rsidRPr="005A54BC">
        <w:rPr>
          <w:lang w:val="fr-FR"/>
        </w:rPr>
        <w:t>Les deux Parties s'engagent à adopter des mesures appropriées pour s'assurer que les données à caractère personnel ne sont pas utilisées abusivement ou acquises par un tiers non autorisé.</w:t>
      </w:r>
    </w:p>
    <w:p w14:paraId="6F648E9A" w14:textId="77777777" w:rsidR="005A54BC" w:rsidRPr="005A54BC" w:rsidRDefault="005A54BC" w:rsidP="005A54BC">
      <w:pPr>
        <w:numPr>
          <w:ilvl w:val="1"/>
          <w:numId w:val="24"/>
        </w:numPr>
        <w:rPr>
          <w:lang w:val="fr-FR"/>
        </w:rPr>
      </w:pPr>
      <w:r w:rsidRPr="005A54BC">
        <w:rPr>
          <w:lang w:val="fr-FR"/>
        </w:rPr>
        <w:t>En cas de conflit entre les dispositions de la présente Convention et celles du Cahier spécial des charges, les dispositions de la présente Convention prévaudront.</w:t>
      </w:r>
    </w:p>
    <w:p w14:paraId="7FBF9683" w14:textId="77777777" w:rsidR="005A54BC" w:rsidRPr="005A54BC" w:rsidRDefault="005A54BC" w:rsidP="005A54BC">
      <w:pPr>
        <w:rPr>
          <w:lang w:val="fr-FR"/>
        </w:rPr>
      </w:pPr>
    </w:p>
    <w:p w14:paraId="73FE276F" w14:textId="77777777" w:rsidR="005A54BC" w:rsidRPr="005A54BC" w:rsidRDefault="005A54BC" w:rsidP="005A54BC">
      <w:pPr>
        <w:rPr>
          <w:b/>
          <w:bCs/>
          <w:lang w:val="fr-FR"/>
        </w:rPr>
      </w:pPr>
      <w:r w:rsidRPr="005A54BC">
        <w:rPr>
          <w:b/>
          <w:bCs/>
          <w:lang w:val="fr-FR"/>
        </w:rPr>
        <w:t>Article 3 : Instructions du pouvoir adjudicateur</w:t>
      </w:r>
    </w:p>
    <w:p w14:paraId="783BB34C" w14:textId="77777777" w:rsidR="005A54BC" w:rsidRPr="005A54BC" w:rsidRDefault="005A54BC" w:rsidP="005A54BC">
      <w:pPr>
        <w:numPr>
          <w:ilvl w:val="1"/>
          <w:numId w:val="31"/>
        </w:numPr>
        <w:rPr>
          <w:lang w:val="fr-FR"/>
        </w:rPr>
      </w:pPr>
      <w:r w:rsidRPr="005A54BC">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55A730E" w14:textId="77777777" w:rsidR="005A54BC" w:rsidRPr="005A54BC" w:rsidRDefault="005A54BC" w:rsidP="005A54BC">
      <w:pPr>
        <w:rPr>
          <w:lang w:val="fr-FR"/>
        </w:rPr>
      </w:pPr>
    </w:p>
    <w:p w14:paraId="19FCB116" w14:textId="77777777" w:rsidR="005A54BC" w:rsidRPr="005A54BC" w:rsidRDefault="005A54BC" w:rsidP="005A54BC">
      <w:pPr>
        <w:numPr>
          <w:ilvl w:val="1"/>
          <w:numId w:val="31"/>
        </w:numPr>
        <w:rPr>
          <w:lang w:val="fr-FR"/>
        </w:rPr>
      </w:pPr>
      <w:r w:rsidRPr="005A54BC">
        <w:rPr>
          <w:lang w:val="fr-FR"/>
        </w:rPr>
        <w:t xml:space="preserve">L’adjudicataire s’engage à traiter les données à caractère personnel conformément aux instructions documentées du Responsable de traitement, en ce compris pour ce qui concerne les transferts de données à caractère personnel vers des pays tiers ou </w:t>
      </w:r>
      <w:r w:rsidRPr="005A54BC">
        <w:rPr>
          <w:lang w:val="fr-FR"/>
        </w:rPr>
        <w:lastRenderedPageBreak/>
        <w:t>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E225A09" w14:textId="77777777" w:rsidR="005A54BC" w:rsidRPr="005A54BC" w:rsidRDefault="005A54BC" w:rsidP="005A54BC">
      <w:pPr>
        <w:rPr>
          <w:lang w:val="fr-FR"/>
        </w:rPr>
      </w:pPr>
    </w:p>
    <w:p w14:paraId="56E4B1DB" w14:textId="77777777" w:rsidR="005A54BC" w:rsidRPr="005A54BC" w:rsidRDefault="005A54BC" w:rsidP="005A54BC">
      <w:pPr>
        <w:numPr>
          <w:ilvl w:val="1"/>
          <w:numId w:val="31"/>
        </w:numPr>
        <w:rPr>
          <w:lang w:val="fr-FR"/>
        </w:rPr>
      </w:pPr>
      <w:r w:rsidRPr="005A54BC">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E880D4E" w14:textId="77777777" w:rsidR="005A54BC" w:rsidRPr="005A54BC" w:rsidRDefault="005A54BC" w:rsidP="005A54BC">
      <w:pPr>
        <w:rPr>
          <w:lang w:val="fr-FR"/>
        </w:rPr>
      </w:pPr>
    </w:p>
    <w:p w14:paraId="64732EA5" w14:textId="77777777" w:rsidR="005A54BC" w:rsidRPr="005A54BC" w:rsidRDefault="005A54BC" w:rsidP="005A54BC">
      <w:pPr>
        <w:numPr>
          <w:ilvl w:val="1"/>
          <w:numId w:val="31"/>
        </w:numPr>
        <w:rPr>
          <w:lang w:val="fr-FR"/>
        </w:rPr>
      </w:pPr>
      <w:r w:rsidRPr="005A54BC">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1D14A75" w14:textId="77777777" w:rsidR="005A54BC" w:rsidRPr="005A54BC" w:rsidRDefault="005A54BC" w:rsidP="005A54BC">
      <w:pPr>
        <w:rPr>
          <w:b/>
          <w:bCs/>
          <w:lang w:val="fr-FR"/>
        </w:rPr>
      </w:pPr>
      <w:r w:rsidRPr="005A54BC">
        <w:rPr>
          <w:b/>
          <w:bCs/>
          <w:lang w:val="fr-FR"/>
        </w:rPr>
        <w:t xml:space="preserve">Article 4 : Assistance au pouvoir adjudicateur </w:t>
      </w:r>
    </w:p>
    <w:p w14:paraId="45222E2A" w14:textId="77777777" w:rsidR="005A54BC" w:rsidRPr="005A54BC" w:rsidRDefault="005A54BC" w:rsidP="005A54BC">
      <w:pPr>
        <w:numPr>
          <w:ilvl w:val="1"/>
          <w:numId w:val="32"/>
        </w:numPr>
        <w:rPr>
          <w:lang w:val="fr-FR"/>
        </w:rPr>
      </w:pPr>
      <w:r w:rsidRPr="005A54BC">
        <w:rPr>
          <w:b/>
          <w:lang w:val="fr-FR"/>
        </w:rPr>
        <w:t>Conformité à la législation</w:t>
      </w:r>
      <w:r w:rsidRPr="005A54BC">
        <w:rPr>
          <w:lang w:val="fr-FR"/>
        </w:rPr>
        <w:t>. L’adjudicataire assiste le pouvoir adjudicateur dans le respect des obligations qui lui incombent en vertu du Règlement, en tenant compte de la nature du traitement et des informations dont dispose l’adjudicataire.</w:t>
      </w:r>
    </w:p>
    <w:p w14:paraId="4B51DBEC" w14:textId="77777777" w:rsidR="005A54BC" w:rsidRPr="005A54BC" w:rsidRDefault="005A54BC" w:rsidP="005A54BC">
      <w:pPr>
        <w:rPr>
          <w:lang w:val="fr-FR"/>
        </w:rPr>
      </w:pPr>
    </w:p>
    <w:p w14:paraId="1E6EBE55" w14:textId="77777777" w:rsidR="005A54BC" w:rsidRPr="005A54BC" w:rsidRDefault="005A54BC" w:rsidP="005A54BC">
      <w:pPr>
        <w:numPr>
          <w:ilvl w:val="1"/>
          <w:numId w:val="32"/>
        </w:numPr>
        <w:rPr>
          <w:lang w:val="fr-FR"/>
        </w:rPr>
      </w:pPr>
      <w:r w:rsidRPr="005A54BC">
        <w:rPr>
          <w:b/>
          <w:lang w:val="fr-FR"/>
        </w:rPr>
        <w:t>Violation des Données à caractère personnel</w:t>
      </w:r>
      <w:r w:rsidRPr="005A54BC">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88954D" w14:textId="77777777" w:rsidR="005A54BC" w:rsidRPr="005A54BC" w:rsidRDefault="005A54BC" w:rsidP="005A54BC">
      <w:pPr>
        <w:rPr>
          <w:lang w:val="fr-FR"/>
        </w:rPr>
      </w:pPr>
    </w:p>
    <w:p w14:paraId="27D47D52" w14:textId="77777777" w:rsidR="005A54BC" w:rsidRPr="005A54BC" w:rsidRDefault="005A54BC" w:rsidP="005A54BC">
      <w:pPr>
        <w:rPr>
          <w:lang w:val="fr-FR"/>
        </w:rPr>
      </w:pPr>
      <w:r w:rsidRPr="005A54BC">
        <w:rPr>
          <w:lang w:val="fr-FR"/>
        </w:rPr>
        <w:t>Cette notification devra à tout le moins comporter les informations suivantes :</w:t>
      </w:r>
    </w:p>
    <w:p w14:paraId="1DD87E2B" w14:textId="77777777" w:rsidR="005A54BC" w:rsidRPr="005A54BC" w:rsidRDefault="005A54BC" w:rsidP="005A54BC">
      <w:pPr>
        <w:numPr>
          <w:ilvl w:val="0"/>
          <w:numId w:val="30"/>
        </w:numPr>
        <w:rPr>
          <w:lang w:val="fr-FR"/>
        </w:rPr>
      </w:pPr>
      <w:r w:rsidRPr="005A54BC">
        <w:rPr>
          <w:lang w:val="fr-FR"/>
        </w:rPr>
        <w:t xml:space="preserve">La nature de la violation de données à caractère personnel ; </w:t>
      </w:r>
    </w:p>
    <w:p w14:paraId="156D071F" w14:textId="77777777" w:rsidR="005A54BC" w:rsidRPr="005A54BC" w:rsidRDefault="005A54BC" w:rsidP="005A54BC">
      <w:pPr>
        <w:numPr>
          <w:ilvl w:val="0"/>
          <w:numId w:val="30"/>
        </w:numPr>
        <w:rPr>
          <w:lang w:val="fr-FR"/>
        </w:rPr>
      </w:pPr>
      <w:r w:rsidRPr="005A54BC">
        <w:rPr>
          <w:lang w:val="fr-FR"/>
        </w:rPr>
        <w:t>Les catégories de données à caractère personnel ;</w:t>
      </w:r>
    </w:p>
    <w:p w14:paraId="12B6FF64" w14:textId="77777777" w:rsidR="005A54BC" w:rsidRPr="005A54BC" w:rsidRDefault="005A54BC" w:rsidP="005A54BC">
      <w:pPr>
        <w:numPr>
          <w:ilvl w:val="0"/>
          <w:numId w:val="30"/>
        </w:numPr>
        <w:rPr>
          <w:lang w:val="fr-FR"/>
        </w:rPr>
      </w:pPr>
      <w:r w:rsidRPr="005A54BC">
        <w:rPr>
          <w:lang w:val="fr-FR"/>
        </w:rPr>
        <w:t>Les catégories et le nombre approximatif de personnes concernées ;</w:t>
      </w:r>
    </w:p>
    <w:p w14:paraId="11704B9D" w14:textId="77777777" w:rsidR="005A54BC" w:rsidRPr="005A54BC" w:rsidRDefault="005A54BC" w:rsidP="005A54BC">
      <w:pPr>
        <w:numPr>
          <w:ilvl w:val="0"/>
          <w:numId w:val="30"/>
        </w:numPr>
        <w:rPr>
          <w:lang w:val="fr-FR"/>
        </w:rPr>
      </w:pPr>
      <w:r w:rsidRPr="005A54BC">
        <w:rPr>
          <w:lang w:val="fr-FR"/>
        </w:rPr>
        <w:t xml:space="preserve">Les catégories et le nombre approximatif d'enregistrements de données à caractère personnel concernées ; </w:t>
      </w:r>
    </w:p>
    <w:p w14:paraId="1C1186ED" w14:textId="77777777" w:rsidR="005A54BC" w:rsidRPr="005A54BC" w:rsidRDefault="005A54BC" w:rsidP="005A54BC">
      <w:pPr>
        <w:numPr>
          <w:ilvl w:val="0"/>
          <w:numId w:val="30"/>
        </w:numPr>
        <w:rPr>
          <w:lang w:val="fr-FR"/>
        </w:rPr>
      </w:pPr>
      <w:r w:rsidRPr="005A54BC">
        <w:rPr>
          <w:lang w:val="fr-FR"/>
        </w:rPr>
        <w:t>Les conséquences probables de la violation de données à caractère personnel ;</w:t>
      </w:r>
    </w:p>
    <w:p w14:paraId="6771F11C" w14:textId="77777777" w:rsidR="005A54BC" w:rsidRPr="005A54BC" w:rsidRDefault="005A54BC" w:rsidP="005A54BC">
      <w:pPr>
        <w:numPr>
          <w:ilvl w:val="0"/>
          <w:numId w:val="30"/>
        </w:numPr>
        <w:rPr>
          <w:lang w:val="fr-FR"/>
        </w:rPr>
      </w:pPr>
      <w:r w:rsidRPr="005A54BC">
        <w:rPr>
          <w:lang w:val="fr-FR"/>
        </w:rPr>
        <w:t xml:space="preserve">Les mesures prises ou envisagées par l’adjudicataire pour remédier </w:t>
      </w:r>
      <w:proofErr w:type="spellStart"/>
      <w:r w:rsidRPr="005A54BC">
        <w:rPr>
          <w:lang w:val="fr-FR"/>
        </w:rPr>
        <w:t>a</w:t>
      </w:r>
      <w:proofErr w:type="spellEnd"/>
      <w:r w:rsidRPr="005A54BC">
        <w:rPr>
          <w:lang w:val="fr-FR"/>
        </w:rPr>
        <w:t>̀ la violation de données à caractère personnel, y compris, le cas échéant, les mesures pour en atténuer les éventuelles conséquences négatives.</w:t>
      </w:r>
    </w:p>
    <w:p w14:paraId="193BB629" w14:textId="77777777" w:rsidR="005A54BC" w:rsidRPr="005A54BC" w:rsidRDefault="005A54BC" w:rsidP="005A54BC">
      <w:pPr>
        <w:rPr>
          <w:lang w:val="fr-FR"/>
        </w:rPr>
      </w:pPr>
    </w:p>
    <w:p w14:paraId="22C80775" w14:textId="77777777" w:rsidR="005A54BC" w:rsidRPr="005A54BC" w:rsidRDefault="005A54BC" w:rsidP="005A54BC">
      <w:pPr>
        <w:rPr>
          <w:bCs/>
          <w:lang w:val="fr-FR"/>
        </w:rPr>
      </w:pPr>
      <w:r w:rsidRPr="005A54BC">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w:t>
      </w:r>
      <w:r w:rsidRPr="005A54BC">
        <w:rPr>
          <w:bCs/>
          <w:lang w:val="fr-FR"/>
        </w:rPr>
        <w:lastRenderedPageBreak/>
        <w:t>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ED2CEB2" w14:textId="77777777" w:rsidR="005A54BC" w:rsidRPr="005A54BC" w:rsidRDefault="005A54BC" w:rsidP="005A54BC">
      <w:pPr>
        <w:rPr>
          <w:lang w:val="fr-FR"/>
        </w:rPr>
      </w:pPr>
    </w:p>
    <w:p w14:paraId="28506F89" w14:textId="77777777" w:rsidR="005A54BC" w:rsidRPr="005A54BC" w:rsidRDefault="005A54BC" w:rsidP="005A54BC">
      <w:pPr>
        <w:rPr>
          <w:lang w:val="fr-FR"/>
        </w:rPr>
      </w:pPr>
    </w:p>
    <w:p w14:paraId="30D3B1C3" w14:textId="77777777" w:rsidR="005A54BC" w:rsidRPr="005A54BC" w:rsidRDefault="005A54BC" w:rsidP="005A54BC">
      <w:pPr>
        <w:numPr>
          <w:ilvl w:val="1"/>
          <w:numId w:val="32"/>
        </w:numPr>
        <w:rPr>
          <w:lang w:val="fr-FR"/>
        </w:rPr>
      </w:pPr>
      <w:r w:rsidRPr="005A54BC">
        <w:rPr>
          <w:b/>
          <w:lang w:val="fr-FR"/>
        </w:rPr>
        <w:t>Évaluation de l'impact du traitement des données.</w:t>
      </w:r>
      <w:r w:rsidRPr="005A54BC">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4575B42" w14:textId="77777777" w:rsidR="005A54BC" w:rsidRPr="005A54BC" w:rsidRDefault="005A54BC" w:rsidP="005A54BC">
      <w:pPr>
        <w:rPr>
          <w:b/>
          <w:bCs/>
          <w:lang w:val="fr-FR"/>
        </w:rPr>
      </w:pPr>
      <w:r w:rsidRPr="005A54BC">
        <w:rPr>
          <w:b/>
          <w:bCs/>
          <w:lang w:val="fr-FR"/>
        </w:rPr>
        <w:t>Article 5 : Obligations de l’adjudicataire</w:t>
      </w:r>
    </w:p>
    <w:p w14:paraId="6654CF83" w14:textId="77777777" w:rsidR="005A54BC" w:rsidRPr="005A54BC" w:rsidRDefault="005A54BC" w:rsidP="005A54BC">
      <w:pPr>
        <w:numPr>
          <w:ilvl w:val="1"/>
          <w:numId w:val="33"/>
        </w:numPr>
        <w:rPr>
          <w:lang w:val="fr-FR"/>
        </w:rPr>
      </w:pPr>
      <w:r w:rsidRPr="005A54BC">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EA9BAF1" w14:textId="77777777" w:rsidR="005A54BC" w:rsidRPr="005A54BC" w:rsidRDefault="005A54BC" w:rsidP="005A54BC">
      <w:pPr>
        <w:rPr>
          <w:lang w:val="fr-FR"/>
        </w:rPr>
      </w:pPr>
    </w:p>
    <w:p w14:paraId="30758E09" w14:textId="77777777" w:rsidR="005A54BC" w:rsidRPr="005A54BC" w:rsidRDefault="005A54BC" w:rsidP="005A54BC">
      <w:pPr>
        <w:numPr>
          <w:ilvl w:val="1"/>
          <w:numId w:val="33"/>
        </w:numPr>
        <w:rPr>
          <w:lang w:val="fr-FR"/>
        </w:rPr>
      </w:pPr>
      <w:r w:rsidRPr="005A54BC">
        <w:rPr>
          <w:lang w:val="fr-FR"/>
        </w:rPr>
        <w:t xml:space="preserve">L’adjudicataire garantit qu'il n'existe aucune obligation découlant de toute législation applicable qui rend impossible le respect des obligations de la présente Convention. </w:t>
      </w:r>
    </w:p>
    <w:p w14:paraId="28D6CAFC" w14:textId="77777777" w:rsidR="005A54BC" w:rsidRPr="005A54BC" w:rsidRDefault="005A54BC" w:rsidP="005A54BC">
      <w:pPr>
        <w:rPr>
          <w:lang w:val="fr-FR"/>
        </w:rPr>
      </w:pPr>
    </w:p>
    <w:p w14:paraId="5335E59C" w14:textId="77777777" w:rsidR="005A54BC" w:rsidRPr="005A54BC" w:rsidRDefault="005A54BC" w:rsidP="005A54BC">
      <w:pPr>
        <w:numPr>
          <w:ilvl w:val="1"/>
          <w:numId w:val="33"/>
        </w:numPr>
        <w:rPr>
          <w:bCs/>
          <w:lang w:val="fr-FR"/>
        </w:rPr>
      </w:pPr>
      <w:r w:rsidRPr="005A54BC">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B67720" w14:textId="77777777" w:rsidR="005A54BC" w:rsidRPr="005A54BC" w:rsidRDefault="005A54BC" w:rsidP="005A54BC">
      <w:pPr>
        <w:rPr>
          <w:lang w:val="fr-FR"/>
        </w:rPr>
      </w:pPr>
    </w:p>
    <w:p w14:paraId="5404DE37" w14:textId="77777777" w:rsidR="005A54BC" w:rsidRPr="005A54BC" w:rsidRDefault="005A54BC" w:rsidP="005A54BC">
      <w:pPr>
        <w:rPr>
          <w:lang w:val="fr-FR"/>
        </w:rPr>
      </w:pPr>
    </w:p>
    <w:p w14:paraId="59CDCAC8" w14:textId="77777777" w:rsidR="005A54BC" w:rsidRPr="005A54BC" w:rsidRDefault="005A54BC" w:rsidP="005A54BC">
      <w:pPr>
        <w:numPr>
          <w:ilvl w:val="1"/>
          <w:numId w:val="33"/>
        </w:numPr>
        <w:rPr>
          <w:lang w:val="fr-FR"/>
        </w:rPr>
      </w:pPr>
      <w:r w:rsidRPr="005A54BC">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6E93C96" w14:textId="77777777" w:rsidR="005A54BC" w:rsidRPr="005A54BC" w:rsidRDefault="005A54BC" w:rsidP="005A54BC">
      <w:pPr>
        <w:rPr>
          <w:lang w:val="fr-FR"/>
        </w:rPr>
      </w:pPr>
    </w:p>
    <w:p w14:paraId="7CC62FD7" w14:textId="77777777" w:rsidR="005A54BC" w:rsidRPr="005A54BC" w:rsidRDefault="005A54BC" w:rsidP="005A54BC">
      <w:pPr>
        <w:numPr>
          <w:ilvl w:val="1"/>
          <w:numId w:val="33"/>
        </w:numPr>
        <w:rPr>
          <w:lang w:val="fr-FR"/>
        </w:rPr>
      </w:pPr>
      <w:r w:rsidRPr="005A54BC">
        <w:rPr>
          <w:lang w:val="fr-FR"/>
        </w:rPr>
        <w:t>L’adjudicataire informera sans délai le pouvoir adjudicateur s'il estime qu'une instruction du pouvoir adjudicateur viole la législation applicable en matière de protection des données.</w:t>
      </w:r>
    </w:p>
    <w:p w14:paraId="5A2633C7" w14:textId="77777777" w:rsidR="005A54BC" w:rsidRPr="005A54BC" w:rsidRDefault="005A54BC" w:rsidP="005A54BC">
      <w:pPr>
        <w:rPr>
          <w:lang w:val="fr-FR"/>
        </w:rPr>
      </w:pPr>
    </w:p>
    <w:p w14:paraId="069D500F" w14:textId="77777777" w:rsidR="005A54BC" w:rsidRPr="005A54BC" w:rsidRDefault="005A54BC" w:rsidP="005A54BC">
      <w:pPr>
        <w:numPr>
          <w:ilvl w:val="1"/>
          <w:numId w:val="33"/>
        </w:numPr>
        <w:rPr>
          <w:lang w:val="fr-FR"/>
        </w:rPr>
      </w:pPr>
      <w:r w:rsidRPr="005A54BC">
        <w:rPr>
          <w:lang w:val="fr-FR"/>
        </w:rPr>
        <w:t xml:space="preserve">L’adjudicataire veillera à ce que les données à caractère personnel ne soient divulguées qu'aux personnes qui en ont besoin pour exécuter le marché </w:t>
      </w:r>
      <w:r w:rsidRPr="005A54BC">
        <w:rPr>
          <w:lang w:val="fr-FR"/>
        </w:rPr>
        <w:lastRenderedPageBreak/>
        <w:t>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C14FF1A" w14:textId="77777777" w:rsidR="005A54BC" w:rsidRPr="005A54BC" w:rsidRDefault="005A54BC" w:rsidP="005A54BC">
      <w:pPr>
        <w:rPr>
          <w:lang w:val="fr-FR"/>
        </w:rPr>
      </w:pPr>
    </w:p>
    <w:p w14:paraId="2C8B765E" w14:textId="77777777" w:rsidR="005A54BC" w:rsidRPr="005A54BC" w:rsidRDefault="005A54BC" w:rsidP="005A54BC">
      <w:pPr>
        <w:numPr>
          <w:ilvl w:val="1"/>
          <w:numId w:val="33"/>
        </w:numPr>
        <w:rPr>
          <w:lang w:val="fr-FR"/>
        </w:rPr>
      </w:pPr>
      <w:r w:rsidRPr="005A54BC">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D48B987" w14:textId="77777777" w:rsidR="005A54BC" w:rsidRPr="005A54BC" w:rsidRDefault="005A54BC" w:rsidP="005A54BC">
      <w:pPr>
        <w:rPr>
          <w:lang w:val="fr-FR"/>
        </w:rPr>
      </w:pPr>
    </w:p>
    <w:p w14:paraId="6A0277E3" w14:textId="77777777" w:rsidR="005A54BC" w:rsidRPr="005A54BC" w:rsidRDefault="005A54BC" w:rsidP="005A54BC">
      <w:pPr>
        <w:numPr>
          <w:ilvl w:val="1"/>
          <w:numId w:val="33"/>
        </w:numPr>
        <w:rPr>
          <w:lang w:val="fr-FR"/>
        </w:rPr>
      </w:pPr>
      <w:r w:rsidRPr="005A54BC">
        <w:rPr>
          <w:lang w:val="fr-FR"/>
        </w:rPr>
        <w:t xml:space="preserve">Si l’adjudicataire enfreint le présent marché et le RGPD en déterminant les finalités et les moyens du traitement, il devra être considéré comme responsable du traitement dans le cadre de ce traitement. </w:t>
      </w:r>
    </w:p>
    <w:p w14:paraId="7BBE2570" w14:textId="77777777" w:rsidR="005A54BC" w:rsidRPr="005A54BC" w:rsidRDefault="005A54BC" w:rsidP="005A54BC">
      <w:pPr>
        <w:rPr>
          <w:lang w:val="fr-FR"/>
        </w:rPr>
      </w:pPr>
    </w:p>
    <w:p w14:paraId="48AF420F" w14:textId="77777777" w:rsidR="005A54BC" w:rsidRPr="005A54BC" w:rsidRDefault="005A54BC" w:rsidP="005A54BC">
      <w:pPr>
        <w:rPr>
          <w:b/>
          <w:bCs/>
          <w:lang w:val="fr-FR"/>
        </w:rPr>
      </w:pPr>
      <w:r w:rsidRPr="005A54BC">
        <w:rPr>
          <w:b/>
          <w:bCs/>
          <w:lang w:val="fr-FR"/>
        </w:rPr>
        <w:t>Article 6 : Obligations du pouvoir adjudicateur</w:t>
      </w:r>
    </w:p>
    <w:p w14:paraId="06860368" w14:textId="77777777" w:rsidR="005A54BC" w:rsidRPr="005A54BC" w:rsidRDefault="005A54BC" w:rsidP="005A54BC">
      <w:pPr>
        <w:numPr>
          <w:ilvl w:val="1"/>
          <w:numId w:val="34"/>
        </w:numPr>
        <w:rPr>
          <w:lang w:val="fr-FR"/>
        </w:rPr>
      </w:pPr>
      <w:r w:rsidRPr="005A54BC">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E3D6AF8" w14:textId="77777777" w:rsidR="005A54BC" w:rsidRPr="005A54BC" w:rsidRDefault="005A54BC" w:rsidP="005A54BC">
      <w:pPr>
        <w:rPr>
          <w:lang w:val="fr-FR"/>
        </w:rPr>
      </w:pPr>
    </w:p>
    <w:p w14:paraId="753DA327" w14:textId="77777777" w:rsidR="005A54BC" w:rsidRPr="005A54BC" w:rsidRDefault="005A54BC" w:rsidP="005A54BC">
      <w:pPr>
        <w:numPr>
          <w:ilvl w:val="1"/>
          <w:numId w:val="34"/>
        </w:numPr>
        <w:rPr>
          <w:lang w:val="fr-FR"/>
        </w:rPr>
      </w:pPr>
      <w:r w:rsidRPr="005A54BC">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8A9010F" w14:textId="77777777" w:rsidR="005A54BC" w:rsidRPr="005A54BC" w:rsidRDefault="005A54BC" w:rsidP="005A54BC">
      <w:pPr>
        <w:rPr>
          <w:lang w:val="fr-FR"/>
        </w:rPr>
      </w:pPr>
    </w:p>
    <w:p w14:paraId="669A79E2" w14:textId="77777777" w:rsidR="005A54BC" w:rsidRPr="005A54BC" w:rsidRDefault="005A54BC" w:rsidP="005A54BC">
      <w:pPr>
        <w:rPr>
          <w:bCs/>
          <w:lang w:val="fr-FR"/>
        </w:rPr>
      </w:pPr>
      <w:r w:rsidRPr="005A54BC">
        <w:rPr>
          <w:lang w:val="fr-FR"/>
        </w:rPr>
        <w:t xml:space="preserve">Le point de contact du pouvoir adjudicateur est : </w:t>
      </w:r>
      <w:hyperlink r:id="rId46" w:history="1">
        <w:r w:rsidRPr="005A54BC">
          <w:rPr>
            <w:rStyle w:val="Lienhypertexte"/>
            <w:bCs/>
            <w:lang w:val="fr-FR"/>
          </w:rPr>
          <w:t>dpo@enabel.be</w:t>
        </w:r>
      </w:hyperlink>
      <w:r w:rsidRPr="005A54BC">
        <w:rPr>
          <w:bCs/>
          <w:lang w:val="fr-FR"/>
        </w:rPr>
        <w:t xml:space="preserve"> </w:t>
      </w:r>
    </w:p>
    <w:p w14:paraId="4F42C059" w14:textId="77777777" w:rsidR="005A54BC" w:rsidRPr="005A54BC" w:rsidRDefault="005A54BC" w:rsidP="005A54BC">
      <w:pPr>
        <w:rPr>
          <w:lang w:val="fr-FR"/>
        </w:rPr>
      </w:pPr>
    </w:p>
    <w:p w14:paraId="4ED9E9BA" w14:textId="77777777" w:rsidR="005A54BC" w:rsidRPr="005A54BC" w:rsidRDefault="005A54BC" w:rsidP="005A54BC">
      <w:pPr>
        <w:numPr>
          <w:ilvl w:val="1"/>
          <w:numId w:val="34"/>
        </w:numPr>
        <w:rPr>
          <w:lang w:val="fr-FR"/>
        </w:rPr>
      </w:pPr>
      <w:r w:rsidRPr="005A54BC">
        <w:rPr>
          <w:lang w:val="fr-FR"/>
        </w:rPr>
        <w:t>Le pouvoir adjudicateur garantit qu'il n'émettra aucune instruction, direction ou demande à l’adjudicataire qui ne respecte pas les dispositions du Règlement.</w:t>
      </w:r>
    </w:p>
    <w:p w14:paraId="18E864C8" w14:textId="77777777" w:rsidR="005A54BC" w:rsidRPr="005A54BC" w:rsidRDefault="005A54BC" w:rsidP="005A54BC">
      <w:pPr>
        <w:rPr>
          <w:lang w:val="fr-FR"/>
        </w:rPr>
      </w:pPr>
    </w:p>
    <w:p w14:paraId="266F08D3" w14:textId="77777777" w:rsidR="005A54BC" w:rsidRPr="005A54BC" w:rsidRDefault="005A54BC" w:rsidP="005A54BC">
      <w:pPr>
        <w:numPr>
          <w:ilvl w:val="1"/>
          <w:numId w:val="34"/>
        </w:numPr>
        <w:rPr>
          <w:lang w:val="fr-FR"/>
        </w:rPr>
      </w:pPr>
      <w:r w:rsidRPr="005A54BC">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CB25B06" w14:textId="77777777" w:rsidR="005A54BC" w:rsidRPr="005A54BC" w:rsidRDefault="005A54BC" w:rsidP="005A54BC">
      <w:pPr>
        <w:rPr>
          <w:lang w:val="fr-FR"/>
        </w:rPr>
      </w:pPr>
    </w:p>
    <w:p w14:paraId="315ABCE3" w14:textId="77777777" w:rsidR="005A54BC" w:rsidRPr="005A54BC" w:rsidRDefault="005A54BC" w:rsidP="005A54BC">
      <w:pPr>
        <w:numPr>
          <w:ilvl w:val="1"/>
          <w:numId w:val="34"/>
        </w:numPr>
        <w:rPr>
          <w:lang w:val="fr-FR"/>
        </w:rPr>
      </w:pPr>
      <w:r w:rsidRPr="005A54BC">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0D23CA" w14:textId="77777777" w:rsidR="005A54BC" w:rsidRPr="005A54BC" w:rsidRDefault="005A54BC" w:rsidP="005A54BC">
      <w:pPr>
        <w:rPr>
          <w:lang w:val="fr-FR"/>
        </w:rPr>
      </w:pPr>
    </w:p>
    <w:p w14:paraId="7022AF42" w14:textId="77777777" w:rsidR="005A54BC" w:rsidRPr="005A54BC" w:rsidRDefault="005A54BC" w:rsidP="005A54BC">
      <w:pPr>
        <w:numPr>
          <w:ilvl w:val="1"/>
          <w:numId w:val="34"/>
        </w:numPr>
        <w:rPr>
          <w:lang w:val="fr-FR"/>
        </w:rPr>
      </w:pPr>
      <w:r w:rsidRPr="005A54BC">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DAA5DA0" w14:textId="77777777" w:rsidR="005A54BC" w:rsidRPr="005A54BC" w:rsidRDefault="005A54BC" w:rsidP="005A54BC">
      <w:pPr>
        <w:rPr>
          <w:b/>
          <w:bCs/>
          <w:lang w:val="fr-FR"/>
        </w:rPr>
      </w:pPr>
      <w:r w:rsidRPr="005A54BC">
        <w:rPr>
          <w:b/>
          <w:bCs/>
          <w:lang w:val="fr-FR"/>
        </w:rPr>
        <w:t>Article 7 : Utilisation de Sous-traitants subséquents</w:t>
      </w:r>
    </w:p>
    <w:p w14:paraId="0BD6C906" w14:textId="77777777" w:rsidR="005A54BC" w:rsidRPr="005A54BC" w:rsidRDefault="005A54BC" w:rsidP="005A54BC">
      <w:pPr>
        <w:numPr>
          <w:ilvl w:val="1"/>
          <w:numId w:val="35"/>
        </w:numPr>
        <w:rPr>
          <w:lang w:val="fr-FR"/>
        </w:rPr>
      </w:pPr>
      <w:r w:rsidRPr="005A54BC">
        <w:rPr>
          <w:lang w:val="fr-FR"/>
        </w:rPr>
        <w:t>Conformément au cahier spécial des charges, l’adjudicataire peut faire appel à la capacité d’un tiers pour répondre au présent marché, ce qui constitue une sous-traitance ultérieure au sens de l’article 28 du RGPD</w:t>
      </w:r>
      <w:r w:rsidRPr="005A54BC">
        <w:rPr>
          <w:vertAlign w:val="superscript"/>
          <w:lang w:val="fr-FR"/>
        </w:rPr>
        <w:footnoteReference w:id="23"/>
      </w:r>
      <w:r w:rsidRPr="005A54BC">
        <w:rPr>
          <w:lang w:val="fr-FR"/>
        </w:rPr>
        <w:t>.</w:t>
      </w:r>
    </w:p>
    <w:p w14:paraId="49EAB56F" w14:textId="77777777" w:rsidR="005A54BC" w:rsidRPr="005A54BC" w:rsidRDefault="005A54BC" w:rsidP="005A54BC">
      <w:pPr>
        <w:rPr>
          <w:lang w:val="fr-FR"/>
        </w:rPr>
      </w:pPr>
    </w:p>
    <w:p w14:paraId="4C3F3D63" w14:textId="77777777" w:rsidR="005A54BC" w:rsidRPr="005A54BC" w:rsidRDefault="005A54BC" w:rsidP="005A54BC">
      <w:pPr>
        <w:numPr>
          <w:ilvl w:val="1"/>
          <w:numId w:val="35"/>
        </w:numPr>
        <w:rPr>
          <w:lang w:val="fr-FR"/>
        </w:rPr>
      </w:pPr>
      <w:r w:rsidRPr="005A54BC">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5A54BC">
        <w:rPr>
          <w:lang w:val="fr-FR"/>
        </w:rPr>
        <w:t>jous</w:t>
      </w:r>
      <w:proofErr w:type="spellEnd"/>
      <w:r w:rsidRPr="005A54BC">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3122E58B" w14:textId="77777777" w:rsidR="005A54BC" w:rsidRPr="005A54BC" w:rsidRDefault="005A54BC" w:rsidP="005A54BC">
      <w:pPr>
        <w:rPr>
          <w:lang w:val="fr-FR"/>
        </w:rPr>
      </w:pPr>
    </w:p>
    <w:p w14:paraId="22CCD286" w14:textId="77777777" w:rsidR="005A54BC" w:rsidRPr="005A54BC" w:rsidRDefault="005A54BC" w:rsidP="005A54BC">
      <w:pPr>
        <w:numPr>
          <w:ilvl w:val="1"/>
          <w:numId w:val="35"/>
        </w:numPr>
        <w:rPr>
          <w:lang w:val="fr-FR"/>
        </w:rPr>
      </w:pPr>
      <w:r w:rsidRPr="005A54BC">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6B52E08" w14:textId="77777777" w:rsidR="005A54BC" w:rsidRPr="005A54BC" w:rsidRDefault="005A54BC" w:rsidP="005A54BC">
      <w:pPr>
        <w:rPr>
          <w:lang w:val="fr-FR"/>
        </w:rPr>
      </w:pPr>
    </w:p>
    <w:p w14:paraId="0FB3AA19" w14:textId="77777777" w:rsidR="005A54BC" w:rsidRPr="005A54BC" w:rsidRDefault="005A54BC" w:rsidP="005A54BC">
      <w:pPr>
        <w:numPr>
          <w:ilvl w:val="1"/>
          <w:numId w:val="35"/>
        </w:numPr>
        <w:rPr>
          <w:lang w:val="fr-FR"/>
        </w:rPr>
      </w:pPr>
      <w:r w:rsidRPr="005A54BC">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A91359B" w14:textId="77777777" w:rsidR="005A54BC" w:rsidRPr="005A54BC" w:rsidRDefault="005A54BC" w:rsidP="005A54BC">
      <w:pPr>
        <w:rPr>
          <w:lang w:val="fr-FR"/>
        </w:rPr>
      </w:pPr>
      <w:r w:rsidRPr="005A54BC">
        <w:rPr>
          <w:lang w:val="fr-FR"/>
        </w:rPr>
        <w:lastRenderedPageBreak/>
        <w:t>Les accords passés avec le sous-traitant subséquent sont établis par écrit. Sur demande, l’adjudicataire devra fournir au PA une copie de ce (ces) contrats.</w:t>
      </w:r>
    </w:p>
    <w:p w14:paraId="2FC261D0" w14:textId="77777777" w:rsidR="005A54BC" w:rsidRPr="005A54BC" w:rsidRDefault="005A54BC" w:rsidP="005A54BC">
      <w:pPr>
        <w:rPr>
          <w:lang w:val="fr-FR"/>
        </w:rPr>
      </w:pPr>
    </w:p>
    <w:p w14:paraId="4F2F2E9F" w14:textId="77777777" w:rsidR="005A54BC" w:rsidRPr="005A54BC" w:rsidRDefault="005A54BC" w:rsidP="005A54BC">
      <w:pPr>
        <w:numPr>
          <w:ilvl w:val="1"/>
          <w:numId w:val="35"/>
        </w:numPr>
        <w:rPr>
          <w:lang w:val="fr-FR"/>
        </w:rPr>
      </w:pPr>
      <w:r w:rsidRPr="005A54BC">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01C5D3B" w14:textId="77777777" w:rsidR="005A54BC" w:rsidRPr="005A54BC" w:rsidRDefault="005A54BC" w:rsidP="005A54BC">
      <w:pPr>
        <w:rPr>
          <w:lang w:val="fr-FR"/>
        </w:rPr>
      </w:pPr>
    </w:p>
    <w:p w14:paraId="3B31879C" w14:textId="77777777" w:rsidR="005A54BC" w:rsidRPr="005A54BC" w:rsidRDefault="005A54BC" w:rsidP="005A54BC">
      <w:pPr>
        <w:numPr>
          <w:ilvl w:val="1"/>
          <w:numId w:val="35"/>
        </w:numPr>
        <w:rPr>
          <w:lang w:val="fr-FR"/>
        </w:rPr>
      </w:pPr>
      <w:r w:rsidRPr="005A54BC">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62C4A14" w14:textId="77777777" w:rsidR="005A54BC" w:rsidRPr="005A54BC" w:rsidRDefault="005A54BC" w:rsidP="005A54BC">
      <w:pPr>
        <w:rPr>
          <w:lang w:val="fr-FR"/>
        </w:rPr>
      </w:pPr>
    </w:p>
    <w:p w14:paraId="1C22DC60" w14:textId="77777777" w:rsidR="005A54BC" w:rsidRPr="005A54BC" w:rsidRDefault="005A54BC" w:rsidP="005A54BC">
      <w:pPr>
        <w:rPr>
          <w:b/>
          <w:bCs/>
          <w:lang w:val="fr-FR"/>
        </w:rPr>
      </w:pPr>
      <w:r w:rsidRPr="005A54BC">
        <w:rPr>
          <w:b/>
          <w:bCs/>
          <w:lang w:val="fr-FR"/>
        </w:rPr>
        <w:t xml:space="preserve">Article 8 : Droits des personnes concernées </w:t>
      </w:r>
    </w:p>
    <w:p w14:paraId="006D1324" w14:textId="77777777" w:rsidR="005A54BC" w:rsidRPr="005A54BC" w:rsidRDefault="005A54BC" w:rsidP="005A54BC">
      <w:pPr>
        <w:numPr>
          <w:ilvl w:val="1"/>
          <w:numId w:val="36"/>
        </w:numPr>
        <w:rPr>
          <w:lang w:val="fr-FR"/>
        </w:rPr>
      </w:pPr>
      <w:r w:rsidRPr="005A54BC">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383EB65" w14:textId="77777777" w:rsidR="005A54BC" w:rsidRPr="005A54BC" w:rsidRDefault="005A54BC" w:rsidP="005A54BC">
      <w:pPr>
        <w:rPr>
          <w:lang w:val="fr-FR"/>
        </w:rPr>
      </w:pPr>
    </w:p>
    <w:p w14:paraId="26EA7F0D" w14:textId="77777777" w:rsidR="005A54BC" w:rsidRPr="005A54BC" w:rsidRDefault="005A54BC" w:rsidP="005A54BC">
      <w:pPr>
        <w:numPr>
          <w:ilvl w:val="1"/>
          <w:numId w:val="36"/>
        </w:numPr>
        <w:rPr>
          <w:lang w:val="fr-FR"/>
        </w:rPr>
      </w:pPr>
      <w:r w:rsidRPr="005A54BC">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D18D065" w14:textId="77777777" w:rsidR="005A54BC" w:rsidRPr="005A54BC" w:rsidRDefault="005A54BC" w:rsidP="005A54BC">
      <w:pPr>
        <w:rPr>
          <w:lang w:val="fr-FR"/>
        </w:rPr>
      </w:pPr>
    </w:p>
    <w:p w14:paraId="0BFF6ECA" w14:textId="77777777" w:rsidR="005A54BC" w:rsidRPr="005A54BC" w:rsidRDefault="005A54BC" w:rsidP="005A54BC">
      <w:pPr>
        <w:numPr>
          <w:ilvl w:val="0"/>
          <w:numId w:val="23"/>
        </w:numPr>
        <w:rPr>
          <w:lang w:val="fr-FR"/>
        </w:rPr>
      </w:pPr>
      <w:r w:rsidRPr="005A54BC">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149E26B" w14:textId="77777777" w:rsidR="005A54BC" w:rsidRPr="005A54BC" w:rsidRDefault="005A54BC" w:rsidP="005A54BC">
      <w:pPr>
        <w:rPr>
          <w:lang w:val="fr-FR"/>
        </w:rPr>
      </w:pPr>
    </w:p>
    <w:p w14:paraId="6A80150F" w14:textId="77777777" w:rsidR="005A54BC" w:rsidRPr="005A54BC" w:rsidRDefault="005A54BC" w:rsidP="005A54BC">
      <w:pPr>
        <w:numPr>
          <w:ilvl w:val="0"/>
          <w:numId w:val="23"/>
        </w:numPr>
        <w:rPr>
          <w:lang w:val="fr-FR"/>
        </w:rPr>
      </w:pPr>
      <w:r w:rsidRPr="005A54BC">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EB4D9C2" w14:textId="77777777" w:rsidR="005A54BC" w:rsidRPr="005A54BC" w:rsidRDefault="005A54BC" w:rsidP="005A54BC">
      <w:pPr>
        <w:rPr>
          <w:lang w:val="fr-FR"/>
        </w:rPr>
      </w:pPr>
    </w:p>
    <w:p w14:paraId="0B12C43E" w14:textId="77777777" w:rsidR="005A54BC" w:rsidRPr="005A54BC" w:rsidRDefault="005A54BC" w:rsidP="005A54BC">
      <w:pPr>
        <w:numPr>
          <w:ilvl w:val="0"/>
          <w:numId w:val="23"/>
        </w:numPr>
        <w:rPr>
          <w:lang w:val="fr-FR"/>
        </w:rPr>
      </w:pPr>
      <w:r w:rsidRPr="005A54BC">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9FF2D0D" w14:textId="77777777" w:rsidR="005A54BC" w:rsidRPr="005A54BC" w:rsidRDefault="005A54BC" w:rsidP="005A54BC">
      <w:pPr>
        <w:rPr>
          <w:lang w:val="fr-FR"/>
        </w:rPr>
      </w:pPr>
    </w:p>
    <w:p w14:paraId="7D704434" w14:textId="77777777" w:rsidR="005A54BC" w:rsidRPr="005A54BC" w:rsidRDefault="005A54BC" w:rsidP="005A54BC">
      <w:pPr>
        <w:numPr>
          <w:ilvl w:val="1"/>
          <w:numId w:val="36"/>
        </w:numPr>
        <w:rPr>
          <w:lang w:val="fr-FR"/>
        </w:rPr>
      </w:pPr>
      <w:r w:rsidRPr="005A54BC">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6F58217" w14:textId="77777777" w:rsidR="005A54BC" w:rsidRPr="005A54BC" w:rsidRDefault="005A54BC" w:rsidP="005A54BC">
      <w:pPr>
        <w:rPr>
          <w:b/>
          <w:bCs/>
          <w:lang w:val="fr-FR"/>
        </w:rPr>
      </w:pPr>
      <w:r w:rsidRPr="005A54BC">
        <w:rPr>
          <w:b/>
          <w:bCs/>
          <w:lang w:val="fr-FR"/>
        </w:rPr>
        <w:t xml:space="preserve">Article 9 : Mesures de sécurité </w:t>
      </w:r>
    </w:p>
    <w:p w14:paraId="238C884B" w14:textId="77777777" w:rsidR="005A54BC" w:rsidRPr="005A54BC" w:rsidRDefault="005A54BC" w:rsidP="005A54BC">
      <w:pPr>
        <w:numPr>
          <w:ilvl w:val="1"/>
          <w:numId w:val="37"/>
        </w:numPr>
        <w:rPr>
          <w:lang w:val="fr-FR"/>
        </w:rPr>
      </w:pPr>
      <w:r w:rsidRPr="005A54BC">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1557A37" w14:textId="77777777" w:rsidR="005A54BC" w:rsidRPr="005A54BC" w:rsidRDefault="005A54BC" w:rsidP="005A54BC">
      <w:pPr>
        <w:rPr>
          <w:lang w:val="fr-FR"/>
        </w:rPr>
      </w:pPr>
    </w:p>
    <w:p w14:paraId="273E6912" w14:textId="77777777" w:rsidR="005A54BC" w:rsidRPr="005A54BC" w:rsidRDefault="005A54BC" w:rsidP="005A54BC">
      <w:pPr>
        <w:numPr>
          <w:ilvl w:val="1"/>
          <w:numId w:val="37"/>
        </w:numPr>
        <w:rPr>
          <w:lang w:val="fr-FR"/>
        </w:rPr>
      </w:pPr>
      <w:r w:rsidRPr="005A54BC">
        <w:rPr>
          <w:lang w:val="fr-FR"/>
        </w:rPr>
        <w:t xml:space="preserve">L’adjudicataire s’engage à mettre en œuvre les mesures techniques et organisationnelles appropriées pour assurer un niveau de sécurité approprié au risque, conformément à l'article 32 du Règlement. </w:t>
      </w:r>
    </w:p>
    <w:p w14:paraId="2051B042" w14:textId="77777777" w:rsidR="005A54BC" w:rsidRPr="005A54BC" w:rsidRDefault="005A54BC" w:rsidP="005A54BC">
      <w:pPr>
        <w:rPr>
          <w:lang w:val="fr-FR"/>
        </w:rPr>
      </w:pPr>
    </w:p>
    <w:p w14:paraId="78E389D9" w14:textId="77777777" w:rsidR="005A54BC" w:rsidRPr="005A54BC" w:rsidRDefault="005A54BC" w:rsidP="005A54BC">
      <w:pPr>
        <w:numPr>
          <w:ilvl w:val="1"/>
          <w:numId w:val="37"/>
        </w:numPr>
        <w:rPr>
          <w:lang w:val="fr-FR"/>
        </w:rPr>
      </w:pPr>
      <w:r w:rsidRPr="005A54BC">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C2C3AAC" w14:textId="77777777" w:rsidR="005A54BC" w:rsidRPr="005A54BC" w:rsidRDefault="005A54BC" w:rsidP="005A54BC">
      <w:pPr>
        <w:rPr>
          <w:lang w:val="fr-FR"/>
        </w:rPr>
      </w:pPr>
    </w:p>
    <w:p w14:paraId="57D3C79A" w14:textId="77777777" w:rsidR="005A54BC" w:rsidRPr="005A54BC" w:rsidRDefault="005A54BC" w:rsidP="005A54BC">
      <w:pPr>
        <w:numPr>
          <w:ilvl w:val="1"/>
          <w:numId w:val="37"/>
        </w:numPr>
        <w:rPr>
          <w:lang w:val="fr-FR"/>
        </w:rPr>
      </w:pPr>
      <w:r w:rsidRPr="005A54BC">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29D4718" w14:textId="77777777" w:rsidR="005A54BC" w:rsidRPr="005A54BC" w:rsidRDefault="005A54BC" w:rsidP="005A54BC">
      <w:pPr>
        <w:rPr>
          <w:lang w:val="fr-FR"/>
        </w:rPr>
      </w:pPr>
    </w:p>
    <w:p w14:paraId="16BD4FFE" w14:textId="77777777" w:rsidR="005A54BC" w:rsidRPr="005A54BC" w:rsidRDefault="005A54BC" w:rsidP="005A54BC">
      <w:pPr>
        <w:numPr>
          <w:ilvl w:val="1"/>
          <w:numId w:val="37"/>
        </w:numPr>
        <w:rPr>
          <w:lang w:val="fr-FR"/>
        </w:rPr>
      </w:pPr>
      <w:r w:rsidRPr="005A54BC">
        <w:rPr>
          <w:lang w:val="fr-FR"/>
        </w:rPr>
        <w:t>L’adjudicataire fournit au pouvoir adjudicateur une description complète et claire, de manière transparente et compréhensible, de la manière dont il traite les données à caractère personnel de celui-ci (Annexe 3).</w:t>
      </w:r>
    </w:p>
    <w:p w14:paraId="77B288E1" w14:textId="77777777" w:rsidR="005A54BC" w:rsidRPr="005A54BC" w:rsidRDefault="005A54BC" w:rsidP="005A54BC">
      <w:pPr>
        <w:rPr>
          <w:lang w:val="fr-FR"/>
        </w:rPr>
      </w:pPr>
    </w:p>
    <w:p w14:paraId="173A1621" w14:textId="77777777" w:rsidR="005A54BC" w:rsidRPr="005A54BC" w:rsidRDefault="005A54BC" w:rsidP="005A54BC">
      <w:pPr>
        <w:numPr>
          <w:ilvl w:val="1"/>
          <w:numId w:val="37"/>
        </w:numPr>
        <w:rPr>
          <w:lang w:val="fr-FR"/>
        </w:rPr>
      </w:pPr>
      <w:r w:rsidRPr="005A54BC">
        <w:rPr>
          <w:lang w:val="fr-FR"/>
        </w:rPr>
        <w:t>Dans le cas où l’adjudicataire viendrait à modifier les mesures de sécurité appliquées, l’adjudicataire s’engage à le notifier immédiatement au pouvoir adjudicateur ;</w:t>
      </w:r>
    </w:p>
    <w:p w14:paraId="2A6FA32A" w14:textId="77777777" w:rsidR="005A54BC" w:rsidRPr="005A54BC" w:rsidRDefault="005A54BC" w:rsidP="005A54BC">
      <w:pPr>
        <w:rPr>
          <w:lang w:val="fr-FR"/>
        </w:rPr>
      </w:pPr>
    </w:p>
    <w:p w14:paraId="17D35E6C" w14:textId="77777777" w:rsidR="005A54BC" w:rsidRPr="005A54BC" w:rsidRDefault="005A54BC" w:rsidP="005A54BC">
      <w:pPr>
        <w:numPr>
          <w:ilvl w:val="1"/>
          <w:numId w:val="37"/>
        </w:numPr>
        <w:rPr>
          <w:lang w:val="fr-FR"/>
        </w:rPr>
      </w:pPr>
      <w:r w:rsidRPr="005A54BC">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2DA18BF" w14:textId="77777777" w:rsidR="005A54BC" w:rsidRPr="005A54BC" w:rsidRDefault="005A54BC" w:rsidP="005A54BC">
      <w:pPr>
        <w:rPr>
          <w:lang w:val="fr-FR"/>
        </w:rPr>
      </w:pPr>
    </w:p>
    <w:p w14:paraId="23F4241E" w14:textId="77777777" w:rsidR="005A54BC" w:rsidRPr="005A54BC" w:rsidRDefault="005A54BC" w:rsidP="005A54BC">
      <w:pPr>
        <w:rPr>
          <w:b/>
          <w:bCs/>
          <w:lang w:val="fr-FR"/>
        </w:rPr>
      </w:pPr>
      <w:r w:rsidRPr="005A54BC">
        <w:rPr>
          <w:b/>
          <w:bCs/>
          <w:lang w:val="fr-FR"/>
        </w:rPr>
        <w:lastRenderedPageBreak/>
        <w:t xml:space="preserve">Article 10 : Audit </w:t>
      </w:r>
    </w:p>
    <w:p w14:paraId="681A465F" w14:textId="77777777" w:rsidR="005A54BC" w:rsidRPr="005A54BC" w:rsidRDefault="005A54BC" w:rsidP="005A54BC">
      <w:pPr>
        <w:numPr>
          <w:ilvl w:val="1"/>
          <w:numId w:val="38"/>
        </w:numPr>
        <w:rPr>
          <w:lang w:val="fr-FR"/>
        </w:rPr>
      </w:pPr>
      <w:r w:rsidRPr="005A54BC">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30AA28C" w14:textId="77777777" w:rsidR="005A54BC" w:rsidRPr="005A54BC" w:rsidRDefault="005A54BC" w:rsidP="005A54BC">
      <w:pPr>
        <w:rPr>
          <w:lang w:val="fr-FR"/>
        </w:rPr>
      </w:pPr>
    </w:p>
    <w:p w14:paraId="5A0AAE3F" w14:textId="77777777" w:rsidR="005A54BC" w:rsidRPr="005A54BC" w:rsidRDefault="005A54BC" w:rsidP="005A54BC">
      <w:pPr>
        <w:numPr>
          <w:ilvl w:val="1"/>
          <w:numId w:val="38"/>
        </w:numPr>
        <w:rPr>
          <w:lang w:val="fr-FR"/>
        </w:rPr>
      </w:pPr>
      <w:r w:rsidRPr="005A54BC">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6CB9B79" w14:textId="77777777" w:rsidR="005A54BC" w:rsidRPr="005A54BC" w:rsidRDefault="005A54BC" w:rsidP="005A54BC">
      <w:pPr>
        <w:rPr>
          <w:lang w:val="fr-FR"/>
        </w:rPr>
      </w:pPr>
    </w:p>
    <w:p w14:paraId="2C186313" w14:textId="77777777" w:rsidR="005A54BC" w:rsidRPr="005A54BC" w:rsidRDefault="005A54BC" w:rsidP="005A54BC">
      <w:pPr>
        <w:numPr>
          <w:ilvl w:val="1"/>
          <w:numId w:val="38"/>
        </w:numPr>
        <w:rPr>
          <w:lang w:val="fr-FR"/>
        </w:rPr>
      </w:pPr>
      <w:r w:rsidRPr="005A54BC">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E9D9BE1" w14:textId="77777777" w:rsidR="005A54BC" w:rsidRPr="005A54BC" w:rsidRDefault="005A54BC" w:rsidP="005A54BC">
      <w:pPr>
        <w:rPr>
          <w:lang w:val="fr-FR"/>
        </w:rPr>
      </w:pPr>
    </w:p>
    <w:p w14:paraId="3F71E79F" w14:textId="77777777" w:rsidR="005A54BC" w:rsidRPr="005A54BC" w:rsidRDefault="005A54BC" w:rsidP="005A54BC">
      <w:pPr>
        <w:numPr>
          <w:ilvl w:val="1"/>
          <w:numId w:val="38"/>
        </w:numPr>
        <w:rPr>
          <w:lang w:val="fr-FR"/>
        </w:rPr>
      </w:pPr>
      <w:r w:rsidRPr="005A54BC">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FCF9349" w14:textId="77777777" w:rsidR="005A54BC" w:rsidRPr="005A54BC" w:rsidRDefault="005A54BC" w:rsidP="005A54BC">
      <w:pPr>
        <w:rPr>
          <w:lang w:val="fr-FR"/>
        </w:rPr>
      </w:pPr>
    </w:p>
    <w:p w14:paraId="295206CD" w14:textId="77777777" w:rsidR="005A54BC" w:rsidRPr="005A54BC" w:rsidRDefault="005A54BC" w:rsidP="005A54BC">
      <w:pPr>
        <w:numPr>
          <w:ilvl w:val="1"/>
          <w:numId w:val="38"/>
        </w:numPr>
        <w:rPr>
          <w:lang w:val="fr-FR"/>
        </w:rPr>
      </w:pPr>
      <w:r w:rsidRPr="005A54BC">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ADBB18D" w14:textId="77777777" w:rsidR="005A54BC" w:rsidRPr="005A54BC" w:rsidRDefault="005A54BC" w:rsidP="005A54BC">
      <w:pPr>
        <w:rPr>
          <w:lang w:val="fr-FR"/>
        </w:rPr>
      </w:pPr>
    </w:p>
    <w:p w14:paraId="69374836" w14:textId="77777777" w:rsidR="005A54BC" w:rsidRPr="005A54BC" w:rsidRDefault="005A54BC" w:rsidP="005A54BC">
      <w:pPr>
        <w:numPr>
          <w:ilvl w:val="1"/>
          <w:numId w:val="38"/>
        </w:numPr>
        <w:rPr>
          <w:lang w:val="fr-FR"/>
        </w:rPr>
      </w:pPr>
      <w:r w:rsidRPr="005A54BC">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8DA1F3B" w14:textId="77777777" w:rsidR="005A54BC" w:rsidRPr="005A54BC" w:rsidRDefault="005A54BC" w:rsidP="005A54BC">
      <w:pPr>
        <w:rPr>
          <w:b/>
          <w:bCs/>
          <w:lang w:val="fr-FR"/>
        </w:rPr>
      </w:pPr>
      <w:r w:rsidRPr="005A54BC">
        <w:rPr>
          <w:b/>
          <w:bCs/>
          <w:lang w:val="fr-FR"/>
        </w:rPr>
        <w:t xml:space="preserve">Article 11 : Transfert à des tiers </w:t>
      </w:r>
    </w:p>
    <w:p w14:paraId="32ECC538" w14:textId="77777777" w:rsidR="005A54BC" w:rsidRPr="005A54BC" w:rsidRDefault="005A54BC" w:rsidP="005A54BC">
      <w:pPr>
        <w:numPr>
          <w:ilvl w:val="1"/>
          <w:numId w:val="39"/>
        </w:numPr>
        <w:rPr>
          <w:lang w:val="fr-FR"/>
        </w:rPr>
      </w:pPr>
      <w:r w:rsidRPr="005A54BC">
        <w:rPr>
          <w:lang w:val="fr-FR"/>
        </w:rPr>
        <w:lastRenderedPageBreak/>
        <w:t xml:space="preserve">La transmission de données à caractère personnel à des tiers de quelque manière que ce soit est en principe interdite, sauf si la loi l'exige ou si l’adjudicataire a obtenu l’autorisation explicite du pouvoir adjudicateur pour ce faire. </w:t>
      </w:r>
    </w:p>
    <w:p w14:paraId="4056C452" w14:textId="77777777" w:rsidR="005A54BC" w:rsidRPr="005A54BC" w:rsidRDefault="005A54BC" w:rsidP="005A54BC">
      <w:pPr>
        <w:rPr>
          <w:lang w:val="fr-FR"/>
        </w:rPr>
      </w:pPr>
    </w:p>
    <w:p w14:paraId="5BB6427F" w14:textId="77777777" w:rsidR="005A54BC" w:rsidRPr="005A54BC" w:rsidRDefault="005A54BC" w:rsidP="005A54BC">
      <w:pPr>
        <w:numPr>
          <w:ilvl w:val="1"/>
          <w:numId w:val="39"/>
        </w:numPr>
        <w:rPr>
          <w:lang w:val="fr-FR"/>
        </w:rPr>
      </w:pPr>
      <w:r w:rsidRPr="005A54BC">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A21F1A0" w14:textId="77777777" w:rsidR="005A54BC" w:rsidRPr="005A54BC" w:rsidRDefault="005A54BC" w:rsidP="005A54BC">
      <w:pPr>
        <w:rPr>
          <w:b/>
          <w:bCs/>
          <w:lang w:val="fr-FR"/>
        </w:rPr>
      </w:pPr>
      <w:r w:rsidRPr="005A54BC">
        <w:rPr>
          <w:b/>
          <w:bCs/>
          <w:lang w:val="fr-FR"/>
        </w:rPr>
        <w:t>Article 12 : Transfert en dehors de l'EEE</w:t>
      </w:r>
    </w:p>
    <w:p w14:paraId="033F921F" w14:textId="77777777" w:rsidR="005A54BC" w:rsidRPr="005A54BC" w:rsidRDefault="005A54BC" w:rsidP="005A54BC">
      <w:pPr>
        <w:numPr>
          <w:ilvl w:val="1"/>
          <w:numId w:val="40"/>
        </w:numPr>
        <w:rPr>
          <w:lang w:val="fr-FR"/>
        </w:rPr>
      </w:pPr>
      <w:r w:rsidRPr="005A54BC">
        <w:rPr>
          <w:lang w:val="fr-FR"/>
        </w:rPr>
        <w:t xml:space="preserve"> L’adjudicataire traitera les données à caractère personnel du pouvoir adjudicateur uniquement dans un lieu situé dans l'EEE.</w:t>
      </w:r>
    </w:p>
    <w:p w14:paraId="38D560A4" w14:textId="77777777" w:rsidR="005A54BC" w:rsidRPr="005A54BC" w:rsidRDefault="005A54BC" w:rsidP="005A54BC">
      <w:pPr>
        <w:rPr>
          <w:lang w:val="fr-FR"/>
        </w:rPr>
      </w:pPr>
    </w:p>
    <w:p w14:paraId="6CE941F4" w14:textId="77777777" w:rsidR="005A54BC" w:rsidRPr="005A54BC" w:rsidRDefault="005A54BC" w:rsidP="005A54BC">
      <w:pPr>
        <w:numPr>
          <w:ilvl w:val="1"/>
          <w:numId w:val="40"/>
        </w:numPr>
        <w:rPr>
          <w:lang w:val="fr-FR"/>
        </w:rPr>
      </w:pPr>
      <w:r w:rsidRPr="005A54BC">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B941E55" w14:textId="77777777" w:rsidR="005A54BC" w:rsidRPr="005A54BC" w:rsidRDefault="005A54BC" w:rsidP="005A54BC">
      <w:pPr>
        <w:rPr>
          <w:lang w:val="fr-FR"/>
        </w:rPr>
      </w:pPr>
    </w:p>
    <w:p w14:paraId="0C5C83EA" w14:textId="77777777" w:rsidR="005A54BC" w:rsidRPr="005A54BC" w:rsidRDefault="005A54BC" w:rsidP="005A54BC">
      <w:pPr>
        <w:rPr>
          <w:lang w:val="fr-FR"/>
        </w:rPr>
      </w:pPr>
      <w:r w:rsidRPr="005A54BC">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43D6419" w14:textId="77777777" w:rsidR="005A54BC" w:rsidRPr="005A54BC" w:rsidRDefault="005A54BC" w:rsidP="005A54BC">
      <w:pPr>
        <w:rPr>
          <w:b/>
          <w:bCs/>
          <w:lang w:val="fr-FR"/>
        </w:rPr>
      </w:pPr>
      <w:r w:rsidRPr="005A54BC">
        <w:rPr>
          <w:b/>
          <w:bCs/>
          <w:lang w:val="fr-FR"/>
        </w:rPr>
        <w:t>Article 13 : Comportement à l'égard des autorités gouvernementales et judiciaires nationales</w:t>
      </w:r>
    </w:p>
    <w:p w14:paraId="523606D8" w14:textId="77777777" w:rsidR="005A54BC" w:rsidRPr="005A54BC" w:rsidRDefault="005A54BC" w:rsidP="005A54BC">
      <w:pPr>
        <w:numPr>
          <w:ilvl w:val="1"/>
          <w:numId w:val="41"/>
        </w:numPr>
        <w:rPr>
          <w:lang w:val="fr-FR"/>
        </w:rPr>
      </w:pPr>
      <w:r w:rsidRPr="005A54BC">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DB17EA8" w14:textId="77777777" w:rsidR="005A54BC" w:rsidRPr="005A54BC" w:rsidRDefault="005A54BC" w:rsidP="005A54BC">
      <w:pPr>
        <w:rPr>
          <w:b/>
          <w:bCs/>
          <w:lang w:val="fr-FR"/>
        </w:rPr>
      </w:pPr>
      <w:r w:rsidRPr="005A54BC">
        <w:rPr>
          <w:b/>
          <w:bCs/>
          <w:lang w:val="fr-FR"/>
        </w:rPr>
        <w:t xml:space="preserve">Article 14 : Droits de propriété intellectuelle </w:t>
      </w:r>
    </w:p>
    <w:p w14:paraId="1D54EC58" w14:textId="77777777" w:rsidR="005A54BC" w:rsidRPr="005A54BC" w:rsidRDefault="005A54BC" w:rsidP="005A54BC">
      <w:pPr>
        <w:rPr>
          <w:lang w:val="fr-FR"/>
        </w:rPr>
      </w:pPr>
      <w:r w:rsidRPr="005A54BC">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DFBA271" w14:textId="77777777" w:rsidR="005A54BC" w:rsidRPr="005A54BC" w:rsidRDefault="005A54BC" w:rsidP="005A54BC">
      <w:pPr>
        <w:rPr>
          <w:b/>
          <w:bCs/>
          <w:lang w:val="fr-FR"/>
        </w:rPr>
      </w:pPr>
      <w:r w:rsidRPr="005A54BC">
        <w:rPr>
          <w:b/>
          <w:bCs/>
          <w:lang w:val="fr-FR"/>
        </w:rPr>
        <w:t xml:space="preserve">Article 15 : Confidentialité </w:t>
      </w:r>
    </w:p>
    <w:p w14:paraId="1993A4EA" w14:textId="77777777" w:rsidR="005A54BC" w:rsidRPr="005A54BC" w:rsidRDefault="005A54BC" w:rsidP="005A54BC">
      <w:pPr>
        <w:numPr>
          <w:ilvl w:val="1"/>
          <w:numId w:val="42"/>
        </w:numPr>
        <w:rPr>
          <w:bCs/>
          <w:lang w:val="fr-FR"/>
        </w:rPr>
      </w:pPr>
      <w:r w:rsidRPr="005A54BC">
        <w:rPr>
          <w:bCs/>
          <w:lang w:val="fr-FR"/>
        </w:rPr>
        <w:t>L’adjudicataire s’engage à garantir la confidentialité des données à caractère personnel ainsi que leur traitement.</w:t>
      </w:r>
    </w:p>
    <w:p w14:paraId="502A7302" w14:textId="77777777" w:rsidR="005A54BC" w:rsidRPr="005A54BC" w:rsidRDefault="005A54BC" w:rsidP="005A54BC">
      <w:pPr>
        <w:rPr>
          <w:b/>
          <w:lang w:val="fr-FR"/>
        </w:rPr>
      </w:pPr>
    </w:p>
    <w:p w14:paraId="078AF0F1" w14:textId="77777777" w:rsidR="005A54BC" w:rsidRPr="005A54BC" w:rsidRDefault="005A54BC" w:rsidP="005A54BC">
      <w:pPr>
        <w:numPr>
          <w:ilvl w:val="1"/>
          <w:numId w:val="42"/>
        </w:numPr>
        <w:rPr>
          <w:b/>
          <w:lang w:val="fr-FR"/>
        </w:rPr>
      </w:pPr>
      <w:r w:rsidRPr="005A54BC">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849FF86" w14:textId="77777777" w:rsidR="005A54BC" w:rsidRPr="005A54BC" w:rsidRDefault="005A54BC" w:rsidP="005A54BC">
      <w:pPr>
        <w:rPr>
          <w:b/>
          <w:bCs/>
          <w:lang w:val="fr-FR"/>
        </w:rPr>
      </w:pPr>
      <w:r w:rsidRPr="005A54BC">
        <w:rPr>
          <w:b/>
          <w:bCs/>
          <w:lang w:val="fr-FR"/>
        </w:rPr>
        <w:t>Article 16 : Responsabilité</w:t>
      </w:r>
    </w:p>
    <w:p w14:paraId="49DCBDCD" w14:textId="77777777" w:rsidR="005A54BC" w:rsidRPr="005A54BC" w:rsidRDefault="005A54BC" w:rsidP="005A54BC">
      <w:pPr>
        <w:numPr>
          <w:ilvl w:val="1"/>
          <w:numId w:val="43"/>
        </w:numPr>
        <w:rPr>
          <w:lang w:val="fr-FR"/>
        </w:rPr>
      </w:pPr>
      <w:r w:rsidRPr="005A54BC">
        <w:rPr>
          <w:lang w:val="fr-FR"/>
        </w:rPr>
        <w:lastRenderedPageBreak/>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46A40B5" w14:textId="77777777" w:rsidR="005A54BC" w:rsidRPr="005A54BC" w:rsidRDefault="005A54BC" w:rsidP="005A54BC">
      <w:pPr>
        <w:rPr>
          <w:lang w:val="fr-FR"/>
        </w:rPr>
      </w:pPr>
    </w:p>
    <w:p w14:paraId="6B41346C" w14:textId="77777777" w:rsidR="005A54BC" w:rsidRPr="005A54BC" w:rsidRDefault="005A54BC" w:rsidP="005A54BC">
      <w:pPr>
        <w:numPr>
          <w:ilvl w:val="1"/>
          <w:numId w:val="43"/>
        </w:numPr>
        <w:rPr>
          <w:lang w:val="fr-FR"/>
        </w:rPr>
      </w:pPr>
      <w:r w:rsidRPr="005A54BC">
        <w:rPr>
          <w:lang w:val="fr-FR"/>
        </w:rPr>
        <w:t>L’adjudicataire est redevable du paiement des amendes administratives qui découlent d’une infraction à la Réglementation.</w:t>
      </w:r>
    </w:p>
    <w:p w14:paraId="3F84F6D0" w14:textId="77777777" w:rsidR="005A54BC" w:rsidRPr="005A54BC" w:rsidRDefault="005A54BC" w:rsidP="005A54BC">
      <w:pPr>
        <w:rPr>
          <w:lang w:val="fr-FR"/>
        </w:rPr>
      </w:pPr>
    </w:p>
    <w:p w14:paraId="6AFD72D6" w14:textId="77777777" w:rsidR="005A54BC" w:rsidRPr="005A54BC" w:rsidRDefault="005A54BC" w:rsidP="005A54BC">
      <w:pPr>
        <w:numPr>
          <w:ilvl w:val="1"/>
          <w:numId w:val="43"/>
        </w:numPr>
        <w:rPr>
          <w:lang w:val="fr-FR"/>
        </w:rPr>
      </w:pPr>
      <w:r w:rsidRPr="005A54BC">
        <w:rPr>
          <w:lang w:val="fr-FR"/>
        </w:rPr>
        <w:t>L’adjudicataire sera exempt de sa responsabilité uniquement s’il peut prouver qu’il n’est pas responsable de l’évènement à l’origine d’une violation de la Réglementation.</w:t>
      </w:r>
    </w:p>
    <w:p w14:paraId="182B5D74" w14:textId="77777777" w:rsidR="005A54BC" w:rsidRPr="005A54BC" w:rsidRDefault="005A54BC" w:rsidP="005A54BC">
      <w:pPr>
        <w:rPr>
          <w:lang w:val="fr-FR"/>
        </w:rPr>
      </w:pPr>
    </w:p>
    <w:p w14:paraId="52ACD939" w14:textId="77777777" w:rsidR="005A54BC" w:rsidRPr="005A54BC" w:rsidRDefault="005A54BC" w:rsidP="005A54BC">
      <w:pPr>
        <w:numPr>
          <w:ilvl w:val="1"/>
          <w:numId w:val="43"/>
        </w:numPr>
        <w:rPr>
          <w:lang w:val="fr-FR"/>
        </w:rPr>
      </w:pPr>
      <w:r w:rsidRPr="005A54BC">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C162E62" w14:textId="77777777" w:rsidR="005A54BC" w:rsidRPr="005A54BC" w:rsidRDefault="005A54BC" w:rsidP="005A54BC">
      <w:pPr>
        <w:rPr>
          <w:b/>
          <w:bCs/>
          <w:lang w:val="fr-FR"/>
        </w:rPr>
      </w:pPr>
      <w:r w:rsidRPr="005A54BC">
        <w:rPr>
          <w:b/>
          <w:bCs/>
          <w:lang w:val="fr-FR"/>
        </w:rPr>
        <w:t>Article 17 : Fin du contrat</w:t>
      </w:r>
    </w:p>
    <w:p w14:paraId="09FE34CE" w14:textId="77777777" w:rsidR="005A54BC" w:rsidRPr="005A54BC" w:rsidRDefault="005A54BC" w:rsidP="005A54BC">
      <w:pPr>
        <w:numPr>
          <w:ilvl w:val="1"/>
          <w:numId w:val="26"/>
        </w:numPr>
        <w:rPr>
          <w:lang w:val="fr-FR"/>
        </w:rPr>
      </w:pPr>
      <w:r w:rsidRPr="005A54BC">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83C7615" w14:textId="77777777" w:rsidR="005A54BC" w:rsidRPr="005A54BC" w:rsidRDefault="005A54BC" w:rsidP="005A54BC">
      <w:pPr>
        <w:rPr>
          <w:lang w:val="fr-FR"/>
        </w:rPr>
      </w:pPr>
    </w:p>
    <w:p w14:paraId="428B0D1F" w14:textId="77777777" w:rsidR="005A54BC" w:rsidRPr="005A54BC" w:rsidRDefault="005A54BC" w:rsidP="005A54BC">
      <w:pPr>
        <w:numPr>
          <w:ilvl w:val="1"/>
          <w:numId w:val="26"/>
        </w:numPr>
        <w:rPr>
          <w:lang w:val="fr-FR"/>
        </w:rPr>
      </w:pPr>
      <w:r w:rsidRPr="005A54BC">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B834416" w14:textId="77777777" w:rsidR="005A54BC" w:rsidRPr="005A54BC" w:rsidRDefault="005A54BC" w:rsidP="005A54BC">
      <w:pPr>
        <w:rPr>
          <w:lang w:val="fr-FR"/>
        </w:rPr>
      </w:pPr>
    </w:p>
    <w:p w14:paraId="25D7FA6D" w14:textId="77777777" w:rsidR="005A54BC" w:rsidRPr="005A54BC" w:rsidRDefault="005A54BC" w:rsidP="005A54BC">
      <w:pPr>
        <w:numPr>
          <w:ilvl w:val="1"/>
          <w:numId w:val="26"/>
        </w:numPr>
        <w:rPr>
          <w:lang w:val="fr-FR"/>
        </w:rPr>
      </w:pPr>
      <w:r w:rsidRPr="005A54BC">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9AEF9F1" w14:textId="77777777" w:rsidR="005A54BC" w:rsidRPr="005A54BC" w:rsidRDefault="005A54BC" w:rsidP="005A54BC">
      <w:pPr>
        <w:rPr>
          <w:lang w:val="fr-FR"/>
        </w:rPr>
      </w:pPr>
    </w:p>
    <w:p w14:paraId="78B7844A" w14:textId="77777777" w:rsidR="005A54BC" w:rsidRPr="005A54BC" w:rsidRDefault="005A54BC" w:rsidP="005A54BC">
      <w:pPr>
        <w:rPr>
          <w:b/>
          <w:bCs/>
          <w:lang w:val="fr-FR"/>
        </w:rPr>
      </w:pPr>
      <w:r w:rsidRPr="005A54BC">
        <w:rPr>
          <w:b/>
          <w:bCs/>
          <w:lang w:val="fr-FR"/>
        </w:rPr>
        <w:t>Article 18 : Médiation et compétence</w:t>
      </w:r>
    </w:p>
    <w:p w14:paraId="335B00BF" w14:textId="77777777" w:rsidR="005A54BC" w:rsidRPr="005A54BC" w:rsidRDefault="005A54BC" w:rsidP="005A54BC">
      <w:pPr>
        <w:numPr>
          <w:ilvl w:val="1"/>
          <w:numId w:val="44"/>
        </w:numPr>
        <w:rPr>
          <w:lang w:val="fr-FR"/>
        </w:rPr>
      </w:pPr>
      <w:r w:rsidRPr="005A54BC">
        <w:rPr>
          <w:lang w:val="fr-FR"/>
        </w:rPr>
        <w:t>L’adjudicataire convient que si la personne concernée invoque contre elle des demandes de dommages-intérêts en vertu de la présente Convention, l’adjudicataire acceptera la décision de la personne concernée :</w:t>
      </w:r>
    </w:p>
    <w:p w14:paraId="45386E96" w14:textId="77777777" w:rsidR="005A54BC" w:rsidRPr="005A54BC" w:rsidRDefault="005A54BC" w:rsidP="005A54BC">
      <w:pPr>
        <w:numPr>
          <w:ilvl w:val="0"/>
          <w:numId w:val="45"/>
        </w:numPr>
        <w:rPr>
          <w:lang w:val="fr-FR"/>
        </w:rPr>
      </w:pPr>
      <w:r w:rsidRPr="005A54BC">
        <w:rPr>
          <w:lang w:val="fr-FR"/>
        </w:rPr>
        <w:t>De renvoyer le différend à la médiation chez une personne indépendante</w:t>
      </w:r>
    </w:p>
    <w:p w14:paraId="20F74A1C" w14:textId="77777777" w:rsidR="005A54BC" w:rsidRPr="005A54BC" w:rsidRDefault="005A54BC" w:rsidP="005A54BC">
      <w:pPr>
        <w:numPr>
          <w:ilvl w:val="0"/>
          <w:numId w:val="45"/>
        </w:numPr>
        <w:rPr>
          <w:lang w:val="fr-FR"/>
        </w:rPr>
      </w:pPr>
      <w:r w:rsidRPr="005A54BC">
        <w:rPr>
          <w:lang w:val="fr-FR"/>
        </w:rPr>
        <w:lastRenderedPageBreak/>
        <w:t>De renvoyer le litige devant les tribunaux du lieu d'établissement du pouvoir adjudicateur</w:t>
      </w:r>
    </w:p>
    <w:p w14:paraId="49E2D0F0" w14:textId="77777777" w:rsidR="005A54BC" w:rsidRPr="005A54BC" w:rsidRDefault="005A54BC" w:rsidP="005A54BC">
      <w:pPr>
        <w:numPr>
          <w:ilvl w:val="0"/>
          <w:numId w:val="45"/>
        </w:numPr>
        <w:rPr>
          <w:lang w:val="fr-FR"/>
        </w:rPr>
      </w:pPr>
    </w:p>
    <w:p w14:paraId="1D766CF1" w14:textId="77777777" w:rsidR="005A54BC" w:rsidRPr="005A54BC" w:rsidRDefault="005A54BC" w:rsidP="005A54BC">
      <w:pPr>
        <w:numPr>
          <w:ilvl w:val="1"/>
          <w:numId w:val="44"/>
        </w:numPr>
        <w:rPr>
          <w:lang w:val="fr-FR"/>
        </w:rPr>
      </w:pPr>
      <w:r w:rsidRPr="005A54BC">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33E26A6" w14:textId="77777777" w:rsidR="005A54BC" w:rsidRPr="005A54BC" w:rsidRDefault="005A54BC" w:rsidP="005A54BC">
      <w:pPr>
        <w:rPr>
          <w:lang w:val="fr-FR"/>
        </w:rPr>
      </w:pPr>
    </w:p>
    <w:p w14:paraId="625DAAFC" w14:textId="77777777" w:rsidR="005A54BC" w:rsidRPr="005A54BC" w:rsidRDefault="005A54BC" w:rsidP="005A54BC">
      <w:pPr>
        <w:numPr>
          <w:ilvl w:val="1"/>
          <w:numId w:val="25"/>
        </w:numPr>
        <w:rPr>
          <w:lang w:val="fr-FR"/>
        </w:rPr>
      </w:pPr>
      <w:r w:rsidRPr="005A54BC">
        <w:rPr>
          <w:lang w:val="fr-FR"/>
        </w:rPr>
        <w:t>Tout différend entre les Parties au sujet des modalités de la présente entente doit être porté devant les tribunaux compétents, tel que déterminé dans l'entente principale.</w:t>
      </w:r>
    </w:p>
    <w:p w14:paraId="3E7568FA" w14:textId="77777777" w:rsidR="005A54BC" w:rsidRPr="005A54BC" w:rsidRDefault="005A54BC" w:rsidP="005A54BC">
      <w:pPr>
        <w:rPr>
          <w:lang w:val="fr-FR"/>
        </w:rPr>
      </w:pPr>
    </w:p>
    <w:p w14:paraId="39491A15" w14:textId="77777777" w:rsidR="005A54BC" w:rsidRPr="005A54BC" w:rsidRDefault="005A54BC" w:rsidP="005A54BC">
      <w:pPr>
        <w:rPr>
          <w:lang w:val="fr-FR"/>
        </w:rPr>
      </w:pPr>
    </w:p>
    <w:p w14:paraId="447A7A9C" w14:textId="77777777" w:rsidR="005A54BC" w:rsidRPr="005A54BC" w:rsidRDefault="005A54BC" w:rsidP="005A54BC">
      <w:pPr>
        <w:rPr>
          <w:lang w:val="fr-FR"/>
        </w:rPr>
      </w:pPr>
    </w:p>
    <w:p w14:paraId="29BE8A7D" w14:textId="77777777" w:rsidR="005A54BC" w:rsidRPr="005A54BC" w:rsidRDefault="005A54BC" w:rsidP="005A54BC">
      <w:pPr>
        <w:rPr>
          <w:lang w:val="fr-FR"/>
        </w:rPr>
      </w:pPr>
      <w:r w:rsidRPr="005A54BC">
        <w:rPr>
          <w:lang w:val="fr-FR"/>
        </w:rPr>
        <w:t xml:space="preserve">Ainsi, convenu le </w:t>
      </w:r>
      <w:r w:rsidRPr="005A54BC">
        <w:rPr>
          <w:bCs/>
          <w:lang w:val="fr-FR"/>
        </w:rPr>
        <w:t>[……………………………</w:t>
      </w:r>
      <w:proofErr w:type="gramStart"/>
      <w:r w:rsidRPr="005A54BC">
        <w:rPr>
          <w:bCs/>
          <w:lang w:val="fr-FR"/>
        </w:rPr>
        <w:t>…….</w:t>
      </w:r>
      <w:proofErr w:type="gramEnd"/>
      <w:r w:rsidRPr="005A54BC">
        <w:rPr>
          <w:bCs/>
          <w:lang w:val="fr-FR"/>
        </w:rPr>
        <w:t xml:space="preserve">……] </w:t>
      </w:r>
      <w:proofErr w:type="gramStart"/>
      <w:r w:rsidRPr="005A54BC">
        <w:rPr>
          <w:lang w:val="fr-FR"/>
        </w:rPr>
        <w:t>et</w:t>
      </w:r>
      <w:proofErr w:type="gramEnd"/>
      <w:r w:rsidRPr="005A54BC">
        <w:rPr>
          <w:lang w:val="fr-FR"/>
        </w:rPr>
        <w:t xml:space="preserve"> établi en deux exemplaires dont chaque Partie reconnaît avoir reçu un exemplaire signé.</w:t>
      </w:r>
    </w:p>
    <w:p w14:paraId="0DD3B2C2" w14:textId="77777777" w:rsidR="005A54BC" w:rsidRPr="005A54BC" w:rsidRDefault="005A54BC" w:rsidP="005A54BC">
      <w:pPr>
        <w:rPr>
          <w:lang w:val="fr-FR"/>
        </w:rPr>
      </w:pPr>
    </w:p>
    <w:p w14:paraId="0D7D6BAF" w14:textId="77777777" w:rsidR="005A54BC" w:rsidRPr="005A54BC" w:rsidRDefault="005A54BC" w:rsidP="005A54BC">
      <w:pPr>
        <w:rPr>
          <w:lang w:val="fr-FR"/>
        </w:rPr>
      </w:pPr>
    </w:p>
    <w:p w14:paraId="1F98DCB0" w14:textId="77777777" w:rsidR="005A54BC" w:rsidRPr="005A54BC" w:rsidRDefault="005A54BC" w:rsidP="005A54BC">
      <w:pPr>
        <w:rPr>
          <w:lang w:val="fr-FR"/>
        </w:rPr>
      </w:pPr>
    </w:p>
    <w:p w14:paraId="465703AF" w14:textId="77777777" w:rsidR="005A54BC" w:rsidRPr="005A54BC" w:rsidRDefault="005A54BC" w:rsidP="005A54BC">
      <w:pPr>
        <w:rPr>
          <w:lang w:val="fr-FR"/>
        </w:rPr>
      </w:pPr>
      <w:r w:rsidRPr="005A54BC">
        <w:rPr>
          <w:lang w:val="fr-FR"/>
        </w:rPr>
        <w:t>POUR LE POUVOIR ADJUDICATEUR                      POUR L’ADJUDICATAIRE</w:t>
      </w:r>
    </w:p>
    <w:p w14:paraId="13352FD0" w14:textId="77777777" w:rsidR="005A54BC" w:rsidRPr="005A54BC" w:rsidRDefault="005A54BC" w:rsidP="005A54BC">
      <w:pPr>
        <w:rPr>
          <w:lang w:val="fr-FR"/>
        </w:rPr>
      </w:pPr>
    </w:p>
    <w:p w14:paraId="7A77ECDD" w14:textId="77777777" w:rsidR="005A54BC" w:rsidRPr="005A54BC" w:rsidRDefault="005A54BC" w:rsidP="005A54BC">
      <w:pPr>
        <w:rPr>
          <w:lang w:val="fr-FR"/>
        </w:rPr>
      </w:pPr>
    </w:p>
    <w:p w14:paraId="65C6E43A" w14:textId="77777777" w:rsidR="005A54BC" w:rsidRPr="005A54BC" w:rsidRDefault="005A54BC" w:rsidP="005A54BC">
      <w:pPr>
        <w:rPr>
          <w:lang w:val="fr-FR"/>
        </w:rPr>
      </w:pPr>
      <w:r w:rsidRPr="005A54BC">
        <w:rPr>
          <w:lang w:val="fr-FR"/>
        </w:rPr>
        <w:t>____________________________________                     ____________________________________</w:t>
      </w:r>
    </w:p>
    <w:p w14:paraId="1A2E6E59" w14:textId="77777777" w:rsidR="005A54BC" w:rsidRPr="005A54BC" w:rsidRDefault="005A54BC" w:rsidP="005A54BC">
      <w:pPr>
        <w:rPr>
          <w:lang w:val="fr-FR"/>
        </w:rPr>
      </w:pPr>
    </w:p>
    <w:p w14:paraId="024C07AE" w14:textId="77777777" w:rsidR="005A54BC" w:rsidRPr="005A54BC" w:rsidRDefault="005A54BC" w:rsidP="005A54BC">
      <w:pPr>
        <w:rPr>
          <w:lang w:val="fr-FR"/>
        </w:rPr>
      </w:pPr>
      <w:r w:rsidRPr="005A54BC">
        <w:rPr>
          <w:lang w:val="fr-FR"/>
        </w:rPr>
        <w:t>Nom : [………………………</w:t>
      </w:r>
      <w:proofErr w:type="gramStart"/>
      <w:r w:rsidRPr="005A54BC">
        <w:rPr>
          <w:lang w:val="fr-FR"/>
        </w:rPr>
        <w:t>…….</w:t>
      </w:r>
      <w:proofErr w:type="gramEnd"/>
      <w:r w:rsidRPr="005A54BC">
        <w:rPr>
          <w:lang w:val="fr-FR"/>
        </w:rPr>
        <w:t>……....]                         Nom : [………………………</w:t>
      </w:r>
      <w:proofErr w:type="gramStart"/>
      <w:r w:rsidRPr="005A54BC">
        <w:rPr>
          <w:lang w:val="fr-FR"/>
        </w:rPr>
        <w:t>…….</w:t>
      </w:r>
      <w:proofErr w:type="gramEnd"/>
      <w:r w:rsidRPr="005A54BC">
        <w:rPr>
          <w:lang w:val="fr-FR"/>
        </w:rPr>
        <w:t xml:space="preserve">……....]                             </w:t>
      </w:r>
    </w:p>
    <w:p w14:paraId="39CF4C4B" w14:textId="77777777" w:rsidR="005A54BC" w:rsidRPr="005A54BC" w:rsidRDefault="005A54BC" w:rsidP="005A54BC">
      <w:pPr>
        <w:rPr>
          <w:lang w:val="fr-FR"/>
        </w:rPr>
      </w:pPr>
      <w:r w:rsidRPr="005A54BC">
        <w:rPr>
          <w:lang w:val="fr-FR"/>
        </w:rPr>
        <w:t>Fonction : […………………………</w:t>
      </w:r>
      <w:proofErr w:type="gramStart"/>
      <w:r w:rsidRPr="005A54BC">
        <w:rPr>
          <w:lang w:val="fr-FR"/>
        </w:rPr>
        <w:t>…….</w:t>
      </w:r>
      <w:proofErr w:type="gramEnd"/>
      <w:r w:rsidRPr="005A54BC">
        <w:rPr>
          <w:lang w:val="fr-FR"/>
        </w:rPr>
        <w:t>.]                        Fonction : […………………………</w:t>
      </w:r>
      <w:proofErr w:type="gramStart"/>
      <w:r w:rsidRPr="005A54BC">
        <w:rPr>
          <w:lang w:val="fr-FR"/>
        </w:rPr>
        <w:t>…….</w:t>
      </w:r>
      <w:proofErr w:type="gramEnd"/>
      <w:r w:rsidRPr="005A54BC">
        <w:rPr>
          <w:lang w:val="fr-FR"/>
        </w:rPr>
        <w:t xml:space="preserve">.]                                                     </w:t>
      </w:r>
    </w:p>
    <w:p w14:paraId="60AEA7EC" w14:textId="77777777" w:rsidR="005A54BC" w:rsidRPr="005A54BC" w:rsidRDefault="005A54BC" w:rsidP="005A54BC">
      <w:pPr>
        <w:rPr>
          <w:lang w:val="fr-FR"/>
        </w:rPr>
      </w:pPr>
    </w:p>
    <w:p w14:paraId="276CEEF0" w14:textId="77777777" w:rsidR="005A54BC" w:rsidRPr="005A54BC" w:rsidRDefault="005A54BC" w:rsidP="005A54BC">
      <w:pPr>
        <w:rPr>
          <w:lang w:val="fr-FR"/>
        </w:rPr>
      </w:pPr>
    </w:p>
    <w:p w14:paraId="19173DBD" w14:textId="77777777" w:rsidR="005A54BC" w:rsidRPr="005A54BC" w:rsidRDefault="005A54BC" w:rsidP="005A54BC">
      <w:pPr>
        <w:rPr>
          <w:lang w:val="fr-FR"/>
        </w:rPr>
      </w:pPr>
    </w:p>
    <w:p w14:paraId="2BA83941" w14:textId="77777777" w:rsidR="005A54BC" w:rsidRPr="005A54BC" w:rsidRDefault="005A54BC" w:rsidP="005A54BC">
      <w:pPr>
        <w:rPr>
          <w:lang w:val="fr-FR"/>
        </w:rPr>
      </w:pPr>
    </w:p>
    <w:p w14:paraId="6FA931ED" w14:textId="77777777" w:rsidR="005A54BC" w:rsidRPr="005A54BC" w:rsidRDefault="005A54BC" w:rsidP="005A54BC">
      <w:pPr>
        <w:rPr>
          <w:lang w:val="fr-FR"/>
        </w:rPr>
      </w:pPr>
    </w:p>
    <w:p w14:paraId="48ED3D98" w14:textId="77777777" w:rsidR="005A54BC" w:rsidRPr="005A54BC" w:rsidRDefault="005A54BC" w:rsidP="005A54BC">
      <w:pPr>
        <w:rPr>
          <w:lang w:val="fr-FR"/>
        </w:rPr>
      </w:pPr>
    </w:p>
    <w:p w14:paraId="5060CAA8" w14:textId="77777777" w:rsidR="005A54BC" w:rsidRPr="005A54BC" w:rsidRDefault="005A54BC" w:rsidP="005A54BC">
      <w:pPr>
        <w:rPr>
          <w:lang w:val="fr-FR"/>
        </w:rPr>
      </w:pPr>
    </w:p>
    <w:p w14:paraId="2C4B7217" w14:textId="77777777" w:rsidR="005A54BC" w:rsidRPr="005A54BC" w:rsidRDefault="005A54BC" w:rsidP="005A54BC">
      <w:pPr>
        <w:rPr>
          <w:lang w:val="fr-FR"/>
        </w:rPr>
      </w:pPr>
    </w:p>
    <w:p w14:paraId="656494C6" w14:textId="77777777" w:rsidR="005A54BC" w:rsidRPr="005A54BC" w:rsidRDefault="005A54BC" w:rsidP="005A54BC">
      <w:pPr>
        <w:rPr>
          <w:lang w:val="fr-FR"/>
        </w:rPr>
      </w:pPr>
    </w:p>
    <w:p w14:paraId="5EAC6784" w14:textId="77777777" w:rsidR="005A54BC" w:rsidRPr="005A54BC" w:rsidRDefault="005A54BC" w:rsidP="005A54BC">
      <w:pPr>
        <w:rPr>
          <w:lang w:val="fr-FR"/>
        </w:rPr>
      </w:pPr>
    </w:p>
    <w:p w14:paraId="170C08E6" w14:textId="77777777" w:rsidR="005A54BC" w:rsidRPr="005A54BC" w:rsidRDefault="005A54BC" w:rsidP="005A54BC">
      <w:pPr>
        <w:rPr>
          <w:lang w:val="fr-FR"/>
        </w:rPr>
      </w:pPr>
    </w:p>
    <w:p w14:paraId="43BE2025" w14:textId="77777777" w:rsidR="005A54BC" w:rsidRPr="005A54BC" w:rsidRDefault="005A54BC" w:rsidP="005A54BC">
      <w:pPr>
        <w:rPr>
          <w:lang w:val="fr-FR"/>
        </w:rPr>
      </w:pPr>
    </w:p>
    <w:p w14:paraId="6FE3F4F2" w14:textId="77777777" w:rsidR="005A54BC" w:rsidRPr="005A54BC" w:rsidRDefault="005A54BC" w:rsidP="005A54BC">
      <w:pPr>
        <w:rPr>
          <w:lang w:val="fr-FR"/>
        </w:rPr>
      </w:pPr>
    </w:p>
    <w:p w14:paraId="1738C906" w14:textId="77777777" w:rsidR="005A54BC" w:rsidRPr="005A54BC" w:rsidRDefault="005A54BC" w:rsidP="005A54BC">
      <w:pPr>
        <w:rPr>
          <w:lang w:val="fr-FR"/>
        </w:rPr>
      </w:pPr>
    </w:p>
    <w:p w14:paraId="7884AE3D" w14:textId="77777777" w:rsidR="005A54BC" w:rsidRPr="005A54BC" w:rsidRDefault="005A54BC" w:rsidP="005A54BC">
      <w:pPr>
        <w:rPr>
          <w:lang w:val="fr-FR"/>
        </w:rPr>
      </w:pPr>
    </w:p>
    <w:p w14:paraId="151D49CE" w14:textId="77777777" w:rsidR="005A54BC" w:rsidRPr="005A54BC" w:rsidRDefault="005A54BC" w:rsidP="005A54BC">
      <w:pPr>
        <w:rPr>
          <w:lang w:val="fr-FR"/>
        </w:rPr>
      </w:pPr>
    </w:p>
    <w:p w14:paraId="1FA53031" w14:textId="77777777" w:rsidR="005A54BC" w:rsidRPr="005A54BC" w:rsidRDefault="005A54BC" w:rsidP="005A54BC">
      <w:pPr>
        <w:rPr>
          <w:lang w:val="fr-FR"/>
        </w:rPr>
      </w:pPr>
    </w:p>
    <w:p w14:paraId="1F367ECD" w14:textId="77777777" w:rsidR="005A54BC" w:rsidRPr="005A54BC" w:rsidRDefault="005A54BC" w:rsidP="005A54BC">
      <w:pPr>
        <w:rPr>
          <w:lang w:val="fr-FR"/>
        </w:rPr>
      </w:pPr>
    </w:p>
    <w:p w14:paraId="08AB3E64" w14:textId="77777777" w:rsidR="005A54BC" w:rsidRPr="005A54BC" w:rsidRDefault="005A54BC" w:rsidP="005A54BC">
      <w:pPr>
        <w:rPr>
          <w:lang w:val="fr-FR"/>
        </w:rPr>
      </w:pPr>
    </w:p>
    <w:p w14:paraId="2C85337C" w14:textId="77777777" w:rsidR="005A54BC" w:rsidRPr="005A54BC" w:rsidRDefault="005A54BC" w:rsidP="005A54BC">
      <w:pPr>
        <w:rPr>
          <w:lang w:val="fr-FR"/>
        </w:rPr>
      </w:pPr>
    </w:p>
    <w:p w14:paraId="0D14D585" w14:textId="77777777" w:rsidR="005A54BC" w:rsidRPr="005A54BC" w:rsidRDefault="005A54BC" w:rsidP="005A54BC">
      <w:pPr>
        <w:rPr>
          <w:lang w:val="fr-FR"/>
        </w:rPr>
      </w:pPr>
    </w:p>
    <w:p w14:paraId="73500F01" w14:textId="77777777" w:rsidR="005A54BC" w:rsidRPr="005A54BC" w:rsidRDefault="005A54BC" w:rsidP="005A54BC">
      <w:pPr>
        <w:rPr>
          <w:lang w:val="fr-FR"/>
        </w:rPr>
      </w:pPr>
    </w:p>
    <w:p w14:paraId="615C8256" w14:textId="77777777" w:rsidR="005A54BC" w:rsidRPr="005A54BC" w:rsidRDefault="005A54BC" w:rsidP="005A54BC">
      <w:pPr>
        <w:rPr>
          <w:lang w:val="fr-FR"/>
        </w:rPr>
      </w:pPr>
    </w:p>
    <w:p w14:paraId="35010984" w14:textId="77777777" w:rsidR="005A54BC" w:rsidRPr="005A54BC" w:rsidRDefault="005A54BC" w:rsidP="005A54BC">
      <w:pPr>
        <w:rPr>
          <w:lang w:val="fr-FR"/>
        </w:rPr>
      </w:pPr>
    </w:p>
    <w:p w14:paraId="03D6D27E" w14:textId="77777777" w:rsidR="005A54BC" w:rsidRPr="005A54BC" w:rsidRDefault="005A54BC" w:rsidP="005A54BC">
      <w:pPr>
        <w:rPr>
          <w:lang w:val="fr-FR"/>
        </w:rPr>
      </w:pPr>
    </w:p>
    <w:p w14:paraId="6355CE77" w14:textId="77777777" w:rsidR="005A54BC" w:rsidRPr="005A54BC" w:rsidRDefault="005A54BC" w:rsidP="005A54BC">
      <w:pPr>
        <w:rPr>
          <w:lang w:val="fr-FR"/>
        </w:rPr>
      </w:pPr>
    </w:p>
    <w:p w14:paraId="6DDE88E3" w14:textId="77777777" w:rsidR="005A54BC" w:rsidRPr="005A54BC" w:rsidRDefault="005A54BC" w:rsidP="005A54BC">
      <w:pPr>
        <w:rPr>
          <w:lang w:val="fr-FR"/>
        </w:rPr>
      </w:pPr>
    </w:p>
    <w:p w14:paraId="0D366E9E" w14:textId="77777777" w:rsidR="005A54BC" w:rsidRPr="005A54BC" w:rsidRDefault="005A54BC" w:rsidP="005A54BC">
      <w:pPr>
        <w:rPr>
          <w:lang w:val="fr-FR"/>
        </w:rPr>
      </w:pPr>
    </w:p>
    <w:p w14:paraId="7C3E6A81" w14:textId="77777777" w:rsidR="005A54BC" w:rsidRPr="005A54BC" w:rsidRDefault="005A54BC" w:rsidP="005A54BC">
      <w:pPr>
        <w:rPr>
          <w:b/>
          <w:bCs/>
          <w:lang w:val="fr-FR"/>
        </w:rPr>
      </w:pPr>
      <w:r w:rsidRPr="005A54BC">
        <w:rPr>
          <w:b/>
          <w:bCs/>
          <w:lang w:val="fr-FR"/>
        </w:rPr>
        <w:t>Annexe 1 : Description des activités de traitement des données à caractère personnel opérées par l’adjudicataire</w:t>
      </w:r>
      <w:r w:rsidRPr="005A54BC">
        <w:rPr>
          <w:b/>
          <w:bCs/>
          <w:vertAlign w:val="superscript"/>
          <w:lang w:val="fr-FR"/>
        </w:rPr>
        <w:footnoteReference w:id="24"/>
      </w:r>
    </w:p>
    <w:p w14:paraId="0188BF2B" w14:textId="77777777" w:rsidR="005A54BC" w:rsidRPr="005A54BC" w:rsidRDefault="005A54BC" w:rsidP="005A54BC">
      <w:pPr>
        <w:rPr>
          <w:b/>
          <w:i/>
          <w:lang w:val="fr-FR"/>
        </w:rPr>
      </w:pPr>
    </w:p>
    <w:p w14:paraId="761A8219" w14:textId="77777777" w:rsidR="005A54BC" w:rsidRPr="005A54BC" w:rsidRDefault="005A54BC" w:rsidP="005A54BC">
      <w:pPr>
        <w:numPr>
          <w:ilvl w:val="0"/>
          <w:numId w:val="46"/>
        </w:numPr>
        <w:rPr>
          <w:b/>
          <w:bCs/>
          <w:u w:val="single"/>
          <w:lang w:val="fr-FR"/>
        </w:rPr>
      </w:pPr>
      <w:r w:rsidRPr="005A54BC">
        <w:rPr>
          <w:b/>
          <w:bCs/>
          <w:u w:val="single"/>
          <w:lang w:val="fr-FR"/>
        </w:rPr>
        <w:t>Activités de traitement effectuées par le sous-traitant</w:t>
      </w:r>
    </w:p>
    <w:p w14:paraId="71FE0319" w14:textId="77777777" w:rsidR="005A54BC" w:rsidRPr="005A54BC" w:rsidRDefault="005A54BC" w:rsidP="005A54BC">
      <w:pPr>
        <w:rPr>
          <w:b/>
          <w:bCs/>
          <w:lang w:val="fr-FR"/>
        </w:rPr>
      </w:pPr>
    </w:p>
    <w:p w14:paraId="38C9D1CA" w14:textId="77777777" w:rsidR="005A54BC" w:rsidRPr="005A54BC" w:rsidRDefault="005A54BC" w:rsidP="005A54BC">
      <w:pPr>
        <w:rPr>
          <w:bCs/>
          <w:lang w:val="fr-FR"/>
        </w:rPr>
      </w:pPr>
      <w:r w:rsidRPr="005A54BC">
        <w:rPr>
          <w:bCs/>
          <w:lang w:val="fr-FR"/>
        </w:rPr>
        <w:t xml:space="preserve">Objet du traitement : </w:t>
      </w:r>
    </w:p>
    <w:p w14:paraId="31820807" w14:textId="77777777" w:rsidR="005A54BC" w:rsidRPr="005A54BC" w:rsidRDefault="005A54BC" w:rsidP="005A54BC">
      <w:pPr>
        <w:rPr>
          <w:bCs/>
          <w:lang w:val="fr-FR"/>
        </w:rPr>
      </w:pPr>
    </w:p>
    <w:p w14:paraId="647ABF9F" w14:textId="77777777" w:rsidR="005A54BC" w:rsidRPr="005A54BC" w:rsidRDefault="005A54BC" w:rsidP="005A54BC">
      <w:pPr>
        <w:rPr>
          <w:lang w:val="fr-FR"/>
        </w:rPr>
      </w:pPr>
      <w:r w:rsidRPr="005A54BC">
        <w:rPr>
          <w:bCs/>
          <w:lang w:val="fr-FR"/>
        </w:rPr>
        <w:t xml:space="preserve">Nature du traitement : </w:t>
      </w:r>
      <w:r w:rsidRPr="005A54BC">
        <w:rPr>
          <w:i/>
          <w:iCs/>
          <w:lang w:val="fr-FR"/>
        </w:rPr>
        <w:t>[Par exemple : structuration, consultation, stockage et collection, etc.]</w:t>
      </w:r>
      <w:r w:rsidRPr="005A54BC">
        <w:rPr>
          <w:lang w:val="fr-FR"/>
        </w:rPr>
        <w:t xml:space="preserve"> </w:t>
      </w:r>
    </w:p>
    <w:p w14:paraId="541610C0" w14:textId="77777777" w:rsidR="005A54BC" w:rsidRPr="005A54BC" w:rsidRDefault="005A54BC" w:rsidP="005A54BC">
      <w:pPr>
        <w:rPr>
          <w:bCs/>
          <w:lang w:val="fr-FR"/>
        </w:rPr>
      </w:pPr>
    </w:p>
    <w:p w14:paraId="6D8D755B" w14:textId="77777777" w:rsidR="005A54BC" w:rsidRPr="005A54BC" w:rsidRDefault="005A54BC" w:rsidP="005A54BC">
      <w:pPr>
        <w:rPr>
          <w:bCs/>
          <w:lang w:val="fr-FR"/>
        </w:rPr>
      </w:pPr>
      <w:r w:rsidRPr="005A54BC">
        <w:rPr>
          <w:bCs/>
          <w:lang w:val="fr-FR"/>
        </w:rPr>
        <w:t xml:space="preserve">Durée du traitement : </w:t>
      </w:r>
    </w:p>
    <w:p w14:paraId="66DC1B91" w14:textId="77777777" w:rsidR="005A54BC" w:rsidRPr="005A54BC" w:rsidRDefault="005A54BC" w:rsidP="005A54BC">
      <w:pPr>
        <w:rPr>
          <w:bCs/>
          <w:lang w:val="fr-FR"/>
        </w:rPr>
      </w:pPr>
    </w:p>
    <w:p w14:paraId="251A7F17" w14:textId="77777777" w:rsidR="005A54BC" w:rsidRPr="005A54BC" w:rsidRDefault="005A54BC" w:rsidP="005A54BC">
      <w:pPr>
        <w:rPr>
          <w:bCs/>
          <w:lang w:val="fr-FR"/>
        </w:rPr>
      </w:pPr>
      <w:r w:rsidRPr="005A54BC">
        <w:rPr>
          <w:bCs/>
          <w:lang w:val="fr-FR"/>
        </w:rPr>
        <w:lastRenderedPageBreak/>
        <w:t xml:space="preserve">Finalité du traitement : </w:t>
      </w:r>
    </w:p>
    <w:p w14:paraId="048A6109" w14:textId="77777777" w:rsidR="005A54BC" w:rsidRPr="005A54BC" w:rsidRDefault="005A54BC" w:rsidP="005A54BC">
      <w:pPr>
        <w:rPr>
          <w:b/>
          <w:bCs/>
          <w:lang w:val="fr-FR"/>
        </w:rPr>
      </w:pPr>
    </w:p>
    <w:p w14:paraId="4BB95B47" w14:textId="77777777" w:rsidR="005A54BC" w:rsidRPr="005A54BC" w:rsidRDefault="005A54BC" w:rsidP="005A54BC">
      <w:pPr>
        <w:numPr>
          <w:ilvl w:val="0"/>
          <w:numId w:val="46"/>
        </w:numPr>
        <w:rPr>
          <w:b/>
          <w:bCs/>
          <w:u w:val="single"/>
          <w:lang w:val="fr-FR"/>
        </w:rPr>
      </w:pPr>
      <w:r w:rsidRPr="005A54BC">
        <w:rPr>
          <w:b/>
          <w:bCs/>
          <w:u w:val="single"/>
          <w:lang w:val="fr-FR"/>
        </w:rPr>
        <w:t>Les catégories de données à caractère personnel que le sous-traitant va traiter pour le compte du responsable de traitement (*indiquer ce qui est applicable).</w:t>
      </w:r>
    </w:p>
    <w:p w14:paraId="20EF97CC" w14:textId="77777777" w:rsidR="005A54BC" w:rsidRPr="005A54BC" w:rsidRDefault="005A54BC" w:rsidP="005A54BC">
      <w:pPr>
        <w:rPr>
          <w:b/>
          <w:bCs/>
          <w:u w:val="single"/>
          <w:lang w:val="fr-FR"/>
        </w:rPr>
      </w:pPr>
    </w:p>
    <w:p w14:paraId="229F4142" w14:textId="77777777" w:rsidR="005A54BC" w:rsidRPr="005A54BC" w:rsidRDefault="005A54BC" w:rsidP="005A54BC">
      <w:pPr>
        <w:numPr>
          <w:ilvl w:val="0"/>
          <w:numId w:val="48"/>
        </w:numPr>
        <w:rPr>
          <w:bCs/>
          <w:lang w:val="fr-FR"/>
        </w:rPr>
      </w:pPr>
      <w:r w:rsidRPr="005A54BC">
        <w:rPr>
          <w:bCs/>
          <w:lang w:val="fr-FR"/>
        </w:rPr>
        <w:t xml:space="preserve">Données d'identification personnelle (par ex. nom, adresse, téléphone, etc.) </w:t>
      </w:r>
    </w:p>
    <w:p w14:paraId="529733C7" w14:textId="77777777" w:rsidR="005A54BC" w:rsidRPr="005A54BC" w:rsidRDefault="005A54BC" w:rsidP="005A54BC">
      <w:pPr>
        <w:numPr>
          <w:ilvl w:val="0"/>
          <w:numId w:val="48"/>
        </w:numPr>
        <w:rPr>
          <w:bCs/>
          <w:lang w:val="fr-FR"/>
        </w:rPr>
      </w:pPr>
      <w:r w:rsidRPr="005A54BC">
        <w:rPr>
          <w:bCs/>
          <w:lang w:val="fr-FR"/>
        </w:rPr>
        <w:t>Données d'identification électroniques (par ex. adresses e-mail, ID Facebook, ID Twitter, noms d'utilisateur, mots de passe ou autres données de connexion, etc.)</w:t>
      </w:r>
    </w:p>
    <w:p w14:paraId="0DAA38FB" w14:textId="77777777" w:rsidR="005A54BC" w:rsidRPr="005A54BC" w:rsidRDefault="005A54BC" w:rsidP="005A54BC">
      <w:pPr>
        <w:numPr>
          <w:ilvl w:val="0"/>
          <w:numId w:val="48"/>
        </w:numPr>
        <w:rPr>
          <w:bCs/>
          <w:lang w:val="fr-FR"/>
        </w:rPr>
      </w:pPr>
      <w:r w:rsidRPr="005A54BC">
        <w:rPr>
          <w:bCs/>
          <w:lang w:val="fr-FR"/>
        </w:rPr>
        <w:t>Données électroniques de localisation (par ex. adresses IP, GSM, GPS, points de connexion, etc.)</w:t>
      </w:r>
    </w:p>
    <w:p w14:paraId="5658A6EF" w14:textId="77777777" w:rsidR="005A54BC" w:rsidRPr="005A54BC" w:rsidRDefault="005A54BC" w:rsidP="005A54BC">
      <w:pPr>
        <w:numPr>
          <w:ilvl w:val="0"/>
          <w:numId w:val="48"/>
        </w:numPr>
        <w:rPr>
          <w:bCs/>
          <w:lang w:val="fr-FR"/>
        </w:rPr>
      </w:pPr>
      <w:r w:rsidRPr="005A54BC">
        <w:rPr>
          <w:bCs/>
          <w:lang w:val="fr-FR"/>
        </w:rPr>
        <w:t>Données d'identification biométriques (p. ex. empreintes digitales, balayage de l'iris, etc.)</w:t>
      </w:r>
    </w:p>
    <w:p w14:paraId="2209100B" w14:textId="77777777" w:rsidR="005A54BC" w:rsidRPr="005A54BC" w:rsidRDefault="005A54BC" w:rsidP="005A54BC">
      <w:pPr>
        <w:numPr>
          <w:ilvl w:val="0"/>
          <w:numId w:val="48"/>
        </w:numPr>
        <w:rPr>
          <w:bCs/>
          <w:lang w:val="fr-FR"/>
        </w:rPr>
      </w:pPr>
      <w:r w:rsidRPr="005A54BC">
        <w:rPr>
          <w:bCs/>
          <w:lang w:val="fr-FR"/>
        </w:rPr>
        <w:t>Copies des documents d'identité</w:t>
      </w:r>
    </w:p>
    <w:p w14:paraId="50B93B14" w14:textId="77777777" w:rsidR="005A54BC" w:rsidRPr="005A54BC" w:rsidRDefault="005A54BC" w:rsidP="005A54BC">
      <w:pPr>
        <w:numPr>
          <w:ilvl w:val="0"/>
          <w:numId w:val="48"/>
        </w:numPr>
        <w:rPr>
          <w:bCs/>
          <w:lang w:val="fr-FR"/>
        </w:rPr>
      </w:pPr>
      <w:r w:rsidRPr="005A54BC">
        <w:rPr>
          <w:bCs/>
          <w:lang w:val="fr-FR"/>
        </w:rPr>
        <w:t>Données d'identification financière (par ex. numéros de compte (bancaire), numéros de carte de crédit, informations sur le salaire et le paiement, etc.)</w:t>
      </w:r>
    </w:p>
    <w:p w14:paraId="6D1C5A3C" w14:textId="77777777" w:rsidR="005A54BC" w:rsidRPr="005A54BC" w:rsidRDefault="005A54BC" w:rsidP="005A54BC">
      <w:pPr>
        <w:numPr>
          <w:ilvl w:val="0"/>
          <w:numId w:val="48"/>
        </w:numPr>
        <w:rPr>
          <w:bCs/>
          <w:lang w:val="fr-FR"/>
        </w:rPr>
      </w:pPr>
      <w:r w:rsidRPr="005A54BC">
        <w:rPr>
          <w:bCs/>
          <w:lang w:val="fr-FR"/>
        </w:rPr>
        <w:t>Caractéristiques personnelles (p. ex. sexe, âge, date de naissance, état civil, nationalité, etc.)</w:t>
      </w:r>
    </w:p>
    <w:p w14:paraId="73BEA62E" w14:textId="77777777" w:rsidR="005A54BC" w:rsidRPr="005A54BC" w:rsidRDefault="005A54BC" w:rsidP="005A54BC">
      <w:pPr>
        <w:numPr>
          <w:ilvl w:val="0"/>
          <w:numId w:val="48"/>
        </w:numPr>
        <w:rPr>
          <w:bCs/>
          <w:lang w:val="fr-FR"/>
        </w:rPr>
      </w:pPr>
      <w:r w:rsidRPr="005A54BC">
        <w:rPr>
          <w:bCs/>
          <w:lang w:val="fr-FR"/>
        </w:rPr>
        <w:t>Données physiques (par ex. taille, poids, etc.)</w:t>
      </w:r>
    </w:p>
    <w:p w14:paraId="73FA329C" w14:textId="77777777" w:rsidR="005A54BC" w:rsidRPr="005A54BC" w:rsidRDefault="005A54BC" w:rsidP="005A54BC">
      <w:pPr>
        <w:numPr>
          <w:ilvl w:val="0"/>
          <w:numId w:val="48"/>
        </w:numPr>
        <w:rPr>
          <w:bCs/>
          <w:lang w:val="fr-FR"/>
        </w:rPr>
      </w:pPr>
      <w:r w:rsidRPr="005A54BC">
        <w:rPr>
          <w:bCs/>
          <w:lang w:val="fr-FR"/>
        </w:rPr>
        <w:t>Habitudes de vie</w:t>
      </w:r>
    </w:p>
    <w:p w14:paraId="60748D45" w14:textId="77777777" w:rsidR="005A54BC" w:rsidRPr="005A54BC" w:rsidRDefault="005A54BC" w:rsidP="005A54BC">
      <w:pPr>
        <w:numPr>
          <w:ilvl w:val="0"/>
          <w:numId w:val="48"/>
        </w:numPr>
        <w:rPr>
          <w:bCs/>
          <w:lang w:val="fr-FR"/>
        </w:rPr>
      </w:pPr>
      <w:r w:rsidRPr="005A54BC">
        <w:rPr>
          <w:bCs/>
          <w:lang w:val="fr-FR"/>
        </w:rPr>
        <w:t>Données psychologiques (p. ex. personnalité, caractère, etc.)</w:t>
      </w:r>
    </w:p>
    <w:p w14:paraId="725C80FB" w14:textId="77777777" w:rsidR="005A54BC" w:rsidRPr="005A54BC" w:rsidRDefault="005A54BC" w:rsidP="005A54BC">
      <w:pPr>
        <w:numPr>
          <w:ilvl w:val="0"/>
          <w:numId w:val="48"/>
        </w:numPr>
        <w:rPr>
          <w:bCs/>
          <w:lang w:val="fr-FR"/>
        </w:rPr>
      </w:pPr>
      <w:r w:rsidRPr="005A54BC">
        <w:rPr>
          <w:bCs/>
          <w:lang w:val="fr-FR"/>
        </w:rPr>
        <w:t>Composition de la famille</w:t>
      </w:r>
    </w:p>
    <w:p w14:paraId="61CD131E" w14:textId="77777777" w:rsidR="005A54BC" w:rsidRPr="005A54BC" w:rsidRDefault="005A54BC" w:rsidP="005A54BC">
      <w:pPr>
        <w:numPr>
          <w:ilvl w:val="0"/>
          <w:numId w:val="48"/>
        </w:numPr>
        <w:rPr>
          <w:bCs/>
          <w:lang w:val="fr-FR"/>
        </w:rPr>
      </w:pPr>
      <w:r w:rsidRPr="005A54BC">
        <w:rPr>
          <w:bCs/>
          <w:lang w:val="fr-FR"/>
        </w:rPr>
        <w:t>Loisirs et intérêts</w:t>
      </w:r>
    </w:p>
    <w:p w14:paraId="13636282" w14:textId="77777777" w:rsidR="005A54BC" w:rsidRPr="005A54BC" w:rsidRDefault="005A54BC" w:rsidP="005A54BC">
      <w:pPr>
        <w:numPr>
          <w:ilvl w:val="0"/>
          <w:numId w:val="48"/>
        </w:numPr>
        <w:rPr>
          <w:bCs/>
          <w:lang w:val="fr-FR"/>
        </w:rPr>
      </w:pPr>
      <w:r w:rsidRPr="005A54BC">
        <w:rPr>
          <w:bCs/>
          <w:lang w:val="fr-FR"/>
        </w:rPr>
        <w:t>Adhésions</w:t>
      </w:r>
    </w:p>
    <w:p w14:paraId="66C6CB53" w14:textId="77777777" w:rsidR="005A54BC" w:rsidRPr="005A54BC" w:rsidRDefault="005A54BC" w:rsidP="005A54BC">
      <w:pPr>
        <w:numPr>
          <w:ilvl w:val="0"/>
          <w:numId w:val="48"/>
        </w:numPr>
        <w:rPr>
          <w:bCs/>
          <w:lang w:val="fr-FR"/>
        </w:rPr>
      </w:pPr>
      <w:r w:rsidRPr="005A54BC">
        <w:rPr>
          <w:bCs/>
          <w:lang w:val="fr-FR"/>
        </w:rPr>
        <w:t>Les habitudes de consommation</w:t>
      </w:r>
    </w:p>
    <w:p w14:paraId="73730E89" w14:textId="77777777" w:rsidR="005A54BC" w:rsidRPr="005A54BC" w:rsidRDefault="005A54BC" w:rsidP="005A54BC">
      <w:pPr>
        <w:numPr>
          <w:ilvl w:val="0"/>
          <w:numId w:val="48"/>
        </w:numPr>
        <w:rPr>
          <w:bCs/>
          <w:lang w:val="fr-FR"/>
        </w:rPr>
      </w:pPr>
      <w:r w:rsidRPr="005A54BC">
        <w:rPr>
          <w:bCs/>
          <w:lang w:val="fr-FR"/>
        </w:rPr>
        <w:t>L'éducation et la formation</w:t>
      </w:r>
    </w:p>
    <w:p w14:paraId="20018061" w14:textId="77777777" w:rsidR="005A54BC" w:rsidRPr="005A54BC" w:rsidRDefault="005A54BC" w:rsidP="005A54BC">
      <w:pPr>
        <w:numPr>
          <w:ilvl w:val="0"/>
          <w:numId w:val="48"/>
        </w:numPr>
        <w:rPr>
          <w:bCs/>
          <w:lang w:val="fr-FR"/>
        </w:rPr>
      </w:pPr>
      <w:r w:rsidRPr="005A54BC">
        <w:rPr>
          <w:bCs/>
          <w:lang w:val="fr-FR"/>
        </w:rPr>
        <w:t>Profession et occupation (par ex. fonction, titre, etc.)</w:t>
      </w:r>
    </w:p>
    <w:p w14:paraId="74A6BE36" w14:textId="77777777" w:rsidR="005A54BC" w:rsidRPr="005A54BC" w:rsidRDefault="005A54BC" w:rsidP="005A54BC">
      <w:pPr>
        <w:numPr>
          <w:ilvl w:val="0"/>
          <w:numId w:val="48"/>
        </w:numPr>
        <w:rPr>
          <w:bCs/>
          <w:lang w:val="fr-FR"/>
        </w:rPr>
      </w:pPr>
      <w:r w:rsidRPr="005A54BC">
        <w:rPr>
          <w:bCs/>
          <w:lang w:val="fr-FR"/>
        </w:rPr>
        <w:t>Images/photos</w:t>
      </w:r>
    </w:p>
    <w:p w14:paraId="3BDC0791" w14:textId="77777777" w:rsidR="005A54BC" w:rsidRPr="005A54BC" w:rsidRDefault="005A54BC" w:rsidP="005A54BC">
      <w:pPr>
        <w:numPr>
          <w:ilvl w:val="0"/>
          <w:numId w:val="48"/>
        </w:numPr>
        <w:rPr>
          <w:bCs/>
          <w:lang w:val="fr-FR"/>
        </w:rPr>
      </w:pPr>
      <w:r w:rsidRPr="005A54BC">
        <w:rPr>
          <w:bCs/>
          <w:lang w:val="fr-FR"/>
        </w:rPr>
        <w:t>Enregistrements sonores</w:t>
      </w:r>
    </w:p>
    <w:p w14:paraId="031B1986" w14:textId="77777777" w:rsidR="005A54BC" w:rsidRPr="005A54BC" w:rsidRDefault="005A54BC" w:rsidP="005A54BC">
      <w:pPr>
        <w:numPr>
          <w:ilvl w:val="0"/>
          <w:numId w:val="48"/>
        </w:numPr>
        <w:rPr>
          <w:bCs/>
          <w:lang w:val="fr-FR"/>
        </w:rPr>
      </w:pPr>
      <w:r w:rsidRPr="005A54BC">
        <w:rPr>
          <w:bCs/>
          <w:lang w:val="fr-FR"/>
        </w:rPr>
        <w:t>Numéro du registre national de sécurité sociale/numéro d'identification</w:t>
      </w:r>
    </w:p>
    <w:p w14:paraId="41AEE6F9" w14:textId="77777777" w:rsidR="005A54BC" w:rsidRPr="005A54BC" w:rsidRDefault="005A54BC" w:rsidP="005A54BC">
      <w:pPr>
        <w:numPr>
          <w:ilvl w:val="0"/>
          <w:numId w:val="48"/>
        </w:numPr>
        <w:rPr>
          <w:bCs/>
          <w:lang w:val="fr-FR"/>
        </w:rPr>
      </w:pPr>
      <w:r w:rsidRPr="005A54BC">
        <w:rPr>
          <w:bCs/>
          <w:lang w:val="fr-FR"/>
        </w:rPr>
        <w:t xml:space="preserve">Détails du contrat (par ex. relation contractuelle, historique de commande, numéros de commande, facturation et paiement, etc.) </w:t>
      </w:r>
    </w:p>
    <w:p w14:paraId="6DDFA843" w14:textId="77777777" w:rsidR="005A54BC" w:rsidRPr="005A54BC" w:rsidRDefault="005A54BC" w:rsidP="005A54BC">
      <w:pPr>
        <w:numPr>
          <w:ilvl w:val="0"/>
          <w:numId w:val="48"/>
        </w:numPr>
        <w:rPr>
          <w:bCs/>
          <w:lang w:val="fr-FR"/>
        </w:rPr>
      </w:pPr>
      <w:r w:rsidRPr="005A54BC">
        <w:rPr>
          <w:bCs/>
          <w:lang w:val="fr-FR"/>
        </w:rPr>
        <w:t>Autres catégories de données, &lt;Décrivez&gt;</w:t>
      </w:r>
    </w:p>
    <w:p w14:paraId="3846FFF6" w14:textId="77777777" w:rsidR="005A54BC" w:rsidRPr="005A54BC" w:rsidRDefault="005A54BC" w:rsidP="005A54BC">
      <w:pPr>
        <w:rPr>
          <w:bCs/>
          <w:lang w:val="fr-FR"/>
        </w:rPr>
      </w:pPr>
    </w:p>
    <w:p w14:paraId="16D65052" w14:textId="77777777" w:rsidR="005A54BC" w:rsidRPr="005A54BC" w:rsidRDefault="005A54BC" w:rsidP="005A54BC">
      <w:pPr>
        <w:numPr>
          <w:ilvl w:val="0"/>
          <w:numId w:val="46"/>
        </w:numPr>
        <w:rPr>
          <w:b/>
          <w:bCs/>
          <w:u w:val="single"/>
          <w:lang w:val="fr-FR"/>
        </w:rPr>
      </w:pPr>
      <w:r w:rsidRPr="005A54BC">
        <w:rPr>
          <w:b/>
          <w:bCs/>
          <w:u w:val="single"/>
          <w:lang w:val="fr-FR"/>
        </w:rPr>
        <w:lastRenderedPageBreak/>
        <w:t>Les catégories particulières de données à caractère personnel que le sous-traitant va traiter pour le compte du responsable de traitement (le cas échéant) (indiquer ce qui est applicable)</w:t>
      </w:r>
    </w:p>
    <w:p w14:paraId="36D405FF" w14:textId="77777777" w:rsidR="005A54BC" w:rsidRPr="005A54BC" w:rsidRDefault="005A54BC" w:rsidP="005A54BC">
      <w:pPr>
        <w:rPr>
          <w:b/>
          <w:bCs/>
          <w:lang w:val="fr-FR"/>
        </w:rPr>
      </w:pPr>
    </w:p>
    <w:p w14:paraId="7EF6E7EB" w14:textId="77777777" w:rsidR="005A54BC" w:rsidRPr="005A54BC" w:rsidRDefault="005A54BC" w:rsidP="005A54BC">
      <w:pPr>
        <w:numPr>
          <w:ilvl w:val="0"/>
          <w:numId w:val="49"/>
        </w:numPr>
        <w:rPr>
          <w:bCs/>
          <w:lang w:val="fr-FR"/>
        </w:rPr>
      </w:pPr>
      <w:r w:rsidRPr="005A54BC">
        <w:rPr>
          <w:bCs/>
          <w:lang w:val="fr-FR"/>
        </w:rPr>
        <w:t xml:space="preserve">Données sensibles (art. 9 RGPD) </w:t>
      </w:r>
    </w:p>
    <w:p w14:paraId="612C0BDE" w14:textId="77777777" w:rsidR="005A54BC" w:rsidRPr="005A54BC" w:rsidRDefault="005A54BC" w:rsidP="005A54BC">
      <w:pPr>
        <w:numPr>
          <w:ilvl w:val="0"/>
          <w:numId w:val="50"/>
        </w:numPr>
        <w:rPr>
          <w:bCs/>
          <w:lang w:val="fr-FR"/>
        </w:rPr>
      </w:pPr>
      <w:r w:rsidRPr="005A54BC">
        <w:rPr>
          <w:bCs/>
          <w:lang w:val="fr-FR"/>
        </w:rPr>
        <w:t>Données raciales ou ethniques</w:t>
      </w:r>
    </w:p>
    <w:p w14:paraId="71D03A42" w14:textId="77777777" w:rsidR="005A54BC" w:rsidRPr="005A54BC" w:rsidRDefault="005A54BC" w:rsidP="005A54BC">
      <w:pPr>
        <w:numPr>
          <w:ilvl w:val="0"/>
          <w:numId w:val="50"/>
        </w:numPr>
        <w:rPr>
          <w:bCs/>
          <w:lang w:val="fr-FR"/>
        </w:rPr>
      </w:pPr>
      <w:r w:rsidRPr="005A54BC">
        <w:rPr>
          <w:bCs/>
          <w:lang w:val="fr-FR"/>
        </w:rPr>
        <w:t>Données sur la vie sexuelle</w:t>
      </w:r>
    </w:p>
    <w:p w14:paraId="5C57E46B" w14:textId="77777777" w:rsidR="005A54BC" w:rsidRPr="005A54BC" w:rsidRDefault="005A54BC" w:rsidP="005A54BC">
      <w:pPr>
        <w:numPr>
          <w:ilvl w:val="0"/>
          <w:numId w:val="50"/>
        </w:numPr>
        <w:rPr>
          <w:bCs/>
          <w:lang w:val="fr-FR"/>
        </w:rPr>
      </w:pPr>
      <w:r w:rsidRPr="005A54BC">
        <w:rPr>
          <w:bCs/>
          <w:lang w:val="fr-FR"/>
        </w:rPr>
        <w:t>Opinions politiques</w:t>
      </w:r>
    </w:p>
    <w:p w14:paraId="32E2D32F" w14:textId="77777777" w:rsidR="005A54BC" w:rsidRPr="005A54BC" w:rsidRDefault="005A54BC" w:rsidP="005A54BC">
      <w:pPr>
        <w:numPr>
          <w:ilvl w:val="0"/>
          <w:numId w:val="50"/>
        </w:numPr>
        <w:rPr>
          <w:bCs/>
          <w:lang w:val="fr-FR"/>
        </w:rPr>
      </w:pPr>
      <w:r w:rsidRPr="005A54BC">
        <w:rPr>
          <w:bCs/>
          <w:lang w:val="fr-FR"/>
        </w:rPr>
        <w:t>Appartenance à un syndicat</w:t>
      </w:r>
    </w:p>
    <w:p w14:paraId="42CC84A5" w14:textId="77777777" w:rsidR="005A54BC" w:rsidRPr="005A54BC" w:rsidRDefault="005A54BC" w:rsidP="005A54BC">
      <w:pPr>
        <w:numPr>
          <w:ilvl w:val="0"/>
          <w:numId w:val="50"/>
        </w:numPr>
        <w:rPr>
          <w:bCs/>
          <w:lang w:val="fr-FR"/>
        </w:rPr>
      </w:pPr>
      <w:r w:rsidRPr="005A54BC">
        <w:rPr>
          <w:bCs/>
          <w:lang w:val="fr-FR"/>
        </w:rPr>
        <w:t>Croyances philosophiques ou religieuses</w:t>
      </w:r>
    </w:p>
    <w:p w14:paraId="3B098E3A" w14:textId="77777777" w:rsidR="005A54BC" w:rsidRPr="005A54BC" w:rsidRDefault="005A54BC" w:rsidP="005A54BC">
      <w:pPr>
        <w:rPr>
          <w:bCs/>
          <w:lang w:val="fr-FR"/>
        </w:rPr>
      </w:pPr>
    </w:p>
    <w:p w14:paraId="78A20A34" w14:textId="77777777" w:rsidR="005A54BC" w:rsidRPr="005A54BC" w:rsidRDefault="005A54BC" w:rsidP="005A54BC">
      <w:pPr>
        <w:numPr>
          <w:ilvl w:val="0"/>
          <w:numId w:val="49"/>
        </w:numPr>
        <w:rPr>
          <w:bCs/>
          <w:lang w:val="fr-FR"/>
        </w:rPr>
      </w:pPr>
      <w:r w:rsidRPr="005A54BC">
        <w:rPr>
          <w:bCs/>
          <w:lang w:val="fr-FR"/>
        </w:rPr>
        <w:t xml:space="preserve">Données relatives à la santé (art. 9 RGPD) </w:t>
      </w:r>
    </w:p>
    <w:p w14:paraId="7B6E6380" w14:textId="77777777" w:rsidR="005A54BC" w:rsidRPr="005A54BC" w:rsidRDefault="005A54BC" w:rsidP="005A54BC">
      <w:pPr>
        <w:numPr>
          <w:ilvl w:val="0"/>
          <w:numId w:val="51"/>
        </w:numPr>
        <w:rPr>
          <w:bCs/>
          <w:lang w:val="fr-FR"/>
        </w:rPr>
      </w:pPr>
      <w:r w:rsidRPr="005A54BC">
        <w:rPr>
          <w:bCs/>
          <w:lang w:val="fr-FR"/>
        </w:rPr>
        <w:t>Santé physique</w:t>
      </w:r>
    </w:p>
    <w:p w14:paraId="54EC1405" w14:textId="77777777" w:rsidR="005A54BC" w:rsidRPr="005A54BC" w:rsidRDefault="005A54BC" w:rsidP="005A54BC">
      <w:pPr>
        <w:numPr>
          <w:ilvl w:val="0"/>
          <w:numId w:val="51"/>
        </w:numPr>
        <w:rPr>
          <w:bCs/>
          <w:lang w:val="fr-FR"/>
        </w:rPr>
      </w:pPr>
      <w:r w:rsidRPr="005A54BC">
        <w:rPr>
          <w:bCs/>
          <w:lang w:val="fr-FR"/>
        </w:rPr>
        <w:t>Santé psychologique</w:t>
      </w:r>
    </w:p>
    <w:p w14:paraId="7FC8DAA8" w14:textId="77777777" w:rsidR="005A54BC" w:rsidRPr="005A54BC" w:rsidRDefault="005A54BC" w:rsidP="005A54BC">
      <w:pPr>
        <w:numPr>
          <w:ilvl w:val="0"/>
          <w:numId w:val="51"/>
        </w:numPr>
        <w:rPr>
          <w:bCs/>
          <w:lang w:val="fr-FR"/>
        </w:rPr>
      </w:pPr>
      <w:r w:rsidRPr="005A54BC">
        <w:rPr>
          <w:bCs/>
          <w:lang w:val="fr-FR"/>
        </w:rPr>
        <w:t>Situations et comportements à risque</w:t>
      </w:r>
    </w:p>
    <w:p w14:paraId="57794CE0" w14:textId="77777777" w:rsidR="005A54BC" w:rsidRPr="005A54BC" w:rsidRDefault="005A54BC" w:rsidP="005A54BC">
      <w:pPr>
        <w:numPr>
          <w:ilvl w:val="0"/>
          <w:numId w:val="51"/>
        </w:numPr>
        <w:rPr>
          <w:bCs/>
          <w:lang w:val="fr-FR"/>
        </w:rPr>
      </w:pPr>
      <w:r w:rsidRPr="005A54BC">
        <w:rPr>
          <w:bCs/>
          <w:lang w:val="fr-FR"/>
        </w:rPr>
        <w:t>Données génétiques</w:t>
      </w:r>
    </w:p>
    <w:p w14:paraId="6387124D" w14:textId="77777777" w:rsidR="005A54BC" w:rsidRPr="005A54BC" w:rsidRDefault="005A54BC" w:rsidP="005A54BC">
      <w:pPr>
        <w:numPr>
          <w:ilvl w:val="0"/>
          <w:numId w:val="51"/>
        </w:numPr>
        <w:rPr>
          <w:bCs/>
          <w:lang w:val="fr-FR"/>
        </w:rPr>
      </w:pPr>
      <w:r w:rsidRPr="005A54BC">
        <w:rPr>
          <w:bCs/>
          <w:lang w:val="fr-FR"/>
        </w:rPr>
        <w:t>Données relatives aux soins</w:t>
      </w:r>
    </w:p>
    <w:p w14:paraId="4FD60783" w14:textId="77777777" w:rsidR="005A54BC" w:rsidRPr="005A54BC" w:rsidRDefault="005A54BC" w:rsidP="005A54BC">
      <w:pPr>
        <w:rPr>
          <w:bCs/>
          <w:lang w:val="fr-FR"/>
        </w:rPr>
      </w:pPr>
    </w:p>
    <w:p w14:paraId="60EB09E0" w14:textId="77777777" w:rsidR="005A54BC" w:rsidRPr="005A54BC" w:rsidRDefault="005A54BC" w:rsidP="005A54BC">
      <w:pPr>
        <w:numPr>
          <w:ilvl w:val="0"/>
          <w:numId w:val="52"/>
        </w:numPr>
        <w:rPr>
          <w:bCs/>
          <w:lang w:val="fr-FR"/>
        </w:rPr>
      </w:pPr>
      <w:r w:rsidRPr="005A54BC">
        <w:rPr>
          <w:bCs/>
          <w:lang w:val="fr-FR"/>
        </w:rPr>
        <w:t xml:space="preserve">Données judiciaires (article 10 de la loi générale sur la protection des données) </w:t>
      </w:r>
    </w:p>
    <w:p w14:paraId="33E6B5AF" w14:textId="77777777" w:rsidR="005A54BC" w:rsidRPr="005A54BC" w:rsidRDefault="005A54BC" w:rsidP="005A54BC">
      <w:pPr>
        <w:numPr>
          <w:ilvl w:val="0"/>
          <w:numId w:val="53"/>
        </w:numPr>
        <w:rPr>
          <w:bCs/>
          <w:lang w:val="fr-FR"/>
        </w:rPr>
      </w:pPr>
      <w:r w:rsidRPr="005A54BC">
        <w:rPr>
          <w:bCs/>
          <w:lang w:val="fr-FR"/>
        </w:rPr>
        <w:t>Soupçons et actes d'accusation</w:t>
      </w:r>
    </w:p>
    <w:p w14:paraId="34D4D636" w14:textId="77777777" w:rsidR="005A54BC" w:rsidRPr="005A54BC" w:rsidRDefault="005A54BC" w:rsidP="005A54BC">
      <w:pPr>
        <w:numPr>
          <w:ilvl w:val="0"/>
          <w:numId w:val="53"/>
        </w:numPr>
        <w:rPr>
          <w:bCs/>
          <w:lang w:val="fr-FR"/>
        </w:rPr>
      </w:pPr>
      <w:r w:rsidRPr="005A54BC">
        <w:rPr>
          <w:bCs/>
          <w:lang w:val="fr-FR"/>
        </w:rPr>
        <w:t>Condamnations et peines</w:t>
      </w:r>
    </w:p>
    <w:p w14:paraId="642AB513" w14:textId="77777777" w:rsidR="005A54BC" w:rsidRPr="005A54BC" w:rsidRDefault="005A54BC" w:rsidP="005A54BC">
      <w:pPr>
        <w:numPr>
          <w:ilvl w:val="0"/>
          <w:numId w:val="53"/>
        </w:numPr>
        <w:rPr>
          <w:bCs/>
          <w:lang w:val="fr-FR"/>
        </w:rPr>
      </w:pPr>
      <w:r w:rsidRPr="005A54BC">
        <w:rPr>
          <w:bCs/>
          <w:lang w:val="fr-FR"/>
        </w:rPr>
        <w:t>Mesures judiciaires</w:t>
      </w:r>
    </w:p>
    <w:p w14:paraId="5571837A" w14:textId="77777777" w:rsidR="005A54BC" w:rsidRPr="005A54BC" w:rsidRDefault="005A54BC" w:rsidP="005A54BC">
      <w:pPr>
        <w:numPr>
          <w:ilvl w:val="0"/>
          <w:numId w:val="53"/>
        </w:numPr>
        <w:rPr>
          <w:bCs/>
          <w:lang w:val="fr-FR"/>
        </w:rPr>
      </w:pPr>
      <w:r w:rsidRPr="005A54BC">
        <w:rPr>
          <w:bCs/>
          <w:lang w:val="fr-FR"/>
        </w:rPr>
        <w:t>Sanctions administratives</w:t>
      </w:r>
    </w:p>
    <w:p w14:paraId="7ECDB689" w14:textId="77777777" w:rsidR="005A54BC" w:rsidRPr="005A54BC" w:rsidRDefault="005A54BC" w:rsidP="005A54BC">
      <w:pPr>
        <w:numPr>
          <w:ilvl w:val="0"/>
          <w:numId w:val="53"/>
        </w:numPr>
        <w:rPr>
          <w:bCs/>
          <w:lang w:val="fr-FR"/>
        </w:rPr>
      </w:pPr>
      <w:r w:rsidRPr="005A54BC">
        <w:rPr>
          <w:bCs/>
          <w:lang w:val="fr-FR"/>
        </w:rPr>
        <w:t xml:space="preserve">Données ADN </w:t>
      </w:r>
    </w:p>
    <w:p w14:paraId="34E09018" w14:textId="77777777" w:rsidR="005A54BC" w:rsidRPr="005A54BC" w:rsidRDefault="005A54BC" w:rsidP="005A54BC">
      <w:pPr>
        <w:rPr>
          <w:b/>
          <w:bCs/>
          <w:lang w:val="fr-FR"/>
        </w:rPr>
      </w:pPr>
    </w:p>
    <w:p w14:paraId="2604B8F8" w14:textId="77777777" w:rsidR="005A54BC" w:rsidRPr="005A54BC" w:rsidRDefault="005A54BC" w:rsidP="005A54BC">
      <w:pPr>
        <w:numPr>
          <w:ilvl w:val="0"/>
          <w:numId w:val="46"/>
        </w:numPr>
        <w:rPr>
          <w:b/>
          <w:bCs/>
          <w:u w:val="single"/>
          <w:lang w:val="fr-FR"/>
        </w:rPr>
      </w:pPr>
      <w:r w:rsidRPr="005A54BC">
        <w:rPr>
          <w:b/>
          <w:bCs/>
          <w:u w:val="single"/>
          <w:lang w:val="fr-FR"/>
        </w:rPr>
        <w:t>Les catégories de personnes concernées (*indiquer ce qui est applicable)</w:t>
      </w:r>
    </w:p>
    <w:p w14:paraId="1E38CA2D" w14:textId="77777777" w:rsidR="005A54BC" w:rsidRPr="005A54BC" w:rsidRDefault="005A54BC" w:rsidP="005A54BC">
      <w:pPr>
        <w:rPr>
          <w:b/>
          <w:bCs/>
          <w:u w:val="single"/>
          <w:lang w:val="fr-FR"/>
        </w:rPr>
      </w:pPr>
    </w:p>
    <w:p w14:paraId="03B0F026" w14:textId="77777777" w:rsidR="005A54BC" w:rsidRPr="005A54BC" w:rsidRDefault="005A54BC" w:rsidP="005A54BC">
      <w:pPr>
        <w:numPr>
          <w:ilvl w:val="0"/>
          <w:numId w:val="47"/>
        </w:numPr>
        <w:rPr>
          <w:b/>
          <w:bCs/>
          <w:lang w:val="fr-FR"/>
        </w:rPr>
      </w:pPr>
      <w:r w:rsidRPr="005A54BC">
        <w:rPr>
          <w:bCs/>
          <w:lang w:val="fr-FR"/>
        </w:rPr>
        <w:t>(Potentiels)/(anciens) clients</w:t>
      </w:r>
    </w:p>
    <w:p w14:paraId="35F9A671" w14:textId="77777777" w:rsidR="005A54BC" w:rsidRPr="005A54BC" w:rsidRDefault="005A54BC" w:rsidP="005A54BC">
      <w:pPr>
        <w:rPr>
          <w:bCs/>
          <w:lang w:val="fr-FR"/>
        </w:rPr>
      </w:pPr>
      <w:r w:rsidRPr="005A54BC">
        <w:rPr>
          <w:bCs/>
          <w:lang w:val="fr-FR"/>
        </w:rPr>
        <w:t>Si oui, &lt;décrivez&gt;</w:t>
      </w:r>
    </w:p>
    <w:p w14:paraId="4572FF36" w14:textId="77777777" w:rsidR="005A54BC" w:rsidRPr="005A54BC" w:rsidRDefault="005A54BC" w:rsidP="005A54BC">
      <w:pPr>
        <w:numPr>
          <w:ilvl w:val="0"/>
          <w:numId w:val="47"/>
        </w:numPr>
        <w:rPr>
          <w:b/>
          <w:bCs/>
          <w:lang w:val="fr-FR"/>
        </w:rPr>
      </w:pPr>
      <w:r w:rsidRPr="005A54BC">
        <w:rPr>
          <w:bCs/>
          <w:lang w:val="fr-FR"/>
        </w:rPr>
        <w:t>Candidats et (anciens) salariés, stagiaires, etc.</w:t>
      </w:r>
    </w:p>
    <w:p w14:paraId="67B5A35D" w14:textId="77777777" w:rsidR="005A54BC" w:rsidRPr="005A54BC" w:rsidRDefault="005A54BC" w:rsidP="005A54BC">
      <w:pPr>
        <w:rPr>
          <w:bCs/>
          <w:lang w:val="fr-FR"/>
        </w:rPr>
      </w:pPr>
      <w:r w:rsidRPr="005A54BC">
        <w:rPr>
          <w:bCs/>
          <w:lang w:val="fr-FR"/>
        </w:rPr>
        <w:t>Si oui, &lt;décrivez&gt;</w:t>
      </w:r>
    </w:p>
    <w:p w14:paraId="3E492471" w14:textId="77777777" w:rsidR="005A54BC" w:rsidRPr="005A54BC" w:rsidRDefault="005A54BC" w:rsidP="005A54BC">
      <w:pPr>
        <w:numPr>
          <w:ilvl w:val="0"/>
          <w:numId w:val="47"/>
        </w:numPr>
        <w:rPr>
          <w:b/>
          <w:bCs/>
          <w:lang w:val="fr-FR"/>
        </w:rPr>
      </w:pPr>
      <w:r w:rsidRPr="005A54BC">
        <w:rPr>
          <w:bCs/>
          <w:lang w:val="fr-FR"/>
        </w:rPr>
        <w:t>(Potentiels)/(anciens) fournisseurs</w:t>
      </w:r>
    </w:p>
    <w:p w14:paraId="1707CDFB" w14:textId="77777777" w:rsidR="005A54BC" w:rsidRPr="005A54BC" w:rsidRDefault="005A54BC" w:rsidP="005A54BC">
      <w:pPr>
        <w:rPr>
          <w:bCs/>
          <w:lang w:val="fr-FR"/>
        </w:rPr>
      </w:pPr>
      <w:r w:rsidRPr="005A54BC">
        <w:rPr>
          <w:bCs/>
          <w:lang w:val="fr-FR"/>
        </w:rPr>
        <w:t>Si oui, &lt;décrivez&gt;</w:t>
      </w:r>
    </w:p>
    <w:p w14:paraId="2175E23D" w14:textId="77777777" w:rsidR="005A54BC" w:rsidRPr="005A54BC" w:rsidRDefault="005A54BC" w:rsidP="005A54BC">
      <w:pPr>
        <w:numPr>
          <w:ilvl w:val="0"/>
          <w:numId w:val="47"/>
        </w:numPr>
        <w:rPr>
          <w:b/>
          <w:bCs/>
          <w:lang w:val="fr-FR"/>
        </w:rPr>
      </w:pPr>
      <w:r w:rsidRPr="005A54BC">
        <w:rPr>
          <w:bCs/>
          <w:lang w:val="fr-FR"/>
        </w:rPr>
        <w:lastRenderedPageBreak/>
        <w:t xml:space="preserve"> (Potentiels)/ (anciens) partenaires (d’affaires)</w:t>
      </w:r>
    </w:p>
    <w:p w14:paraId="4274FFA6" w14:textId="77777777" w:rsidR="005A54BC" w:rsidRPr="005A54BC" w:rsidRDefault="005A54BC" w:rsidP="005A54BC">
      <w:pPr>
        <w:rPr>
          <w:bCs/>
          <w:lang w:val="fr-FR"/>
        </w:rPr>
      </w:pPr>
      <w:r w:rsidRPr="005A54BC">
        <w:rPr>
          <w:bCs/>
          <w:lang w:val="fr-FR"/>
        </w:rPr>
        <w:t>Si oui, &lt;décrivez&gt;</w:t>
      </w:r>
    </w:p>
    <w:p w14:paraId="1D8053B5" w14:textId="77777777" w:rsidR="005A54BC" w:rsidRPr="005A54BC" w:rsidRDefault="005A54BC" w:rsidP="005A54BC">
      <w:pPr>
        <w:numPr>
          <w:ilvl w:val="0"/>
          <w:numId w:val="47"/>
        </w:numPr>
        <w:rPr>
          <w:bCs/>
          <w:lang w:val="fr-FR"/>
        </w:rPr>
      </w:pPr>
      <w:r w:rsidRPr="005A54BC">
        <w:rPr>
          <w:bCs/>
          <w:lang w:val="fr-FR"/>
        </w:rPr>
        <w:t>Autre catégorie</w:t>
      </w:r>
    </w:p>
    <w:p w14:paraId="5F17F668" w14:textId="77777777" w:rsidR="005A54BC" w:rsidRPr="005A54BC" w:rsidRDefault="005A54BC" w:rsidP="005A54BC">
      <w:pPr>
        <w:rPr>
          <w:bCs/>
          <w:lang w:val="fr-FR"/>
        </w:rPr>
      </w:pPr>
      <w:r w:rsidRPr="005A54BC">
        <w:rPr>
          <w:bCs/>
          <w:lang w:val="fr-FR"/>
        </w:rPr>
        <w:t>Si oui, &lt;décrivez&gt;</w:t>
      </w:r>
    </w:p>
    <w:p w14:paraId="3554E1B4" w14:textId="77777777" w:rsidR="005A54BC" w:rsidRPr="005A54BC" w:rsidRDefault="005A54BC" w:rsidP="005A54BC">
      <w:pPr>
        <w:rPr>
          <w:bCs/>
          <w:lang w:val="fr-FR"/>
        </w:rPr>
      </w:pPr>
    </w:p>
    <w:p w14:paraId="14637BC7" w14:textId="77777777" w:rsidR="005A54BC" w:rsidRPr="005A54BC" w:rsidRDefault="005A54BC" w:rsidP="005A54BC">
      <w:pPr>
        <w:numPr>
          <w:ilvl w:val="0"/>
          <w:numId w:val="46"/>
        </w:numPr>
        <w:rPr>
          <w:b/>
          <w:bCs/>
          <w:lang w:val="fr-FR"/>
        </w:rPr>
      </w:pPr>
      <w:r w:rsidRPr="005A54BC">
        <w:rPr>
          <w:b/>
          <w:bCs/>
          <w:lang w:val="fr-FR"/>
        </w:rPr>
        <w:t>L’ampleur des traitements (nombre d’enregistrements/nombre de personnes concernées)</w:t>
      </w:r>
    </w:p>
    <w:p w14:paraId="47903C69" w14:textId="77777777" w:rsidR="005A54BC" w:rsidRPr="005A54BC" w:rsidRDefault="005A54BC" w:rsidP="005A54BC">
      <w:pPr>
        <w:rPr>
          <w:b/>
          <w:bCs/>
          <w:lang w:val="fr-FR"/>
        </w:rPr>
      </w:pPr>
    </w:p>
    <w:p w14:paraId="036A6E0D" w14:textId="77777777" w:rsidR="005A54BC" w:rsidRPr="005A54BC" w:rsidRDefault="005A54BC" w:rsidP="005A54BC">
      <w:pPr>
        <w:rPr>
          <w:bCs/>
          <w:lang w:val="fr-FR"/>
        </w:rPr>
      </w:pPr>
      <w:r w:rsidRPr="005A54BC">
        <w:rPr>
          <w:bCs/>
          <w:lang w:val="fr-FR"/>
        </w:rPr>
        <w:t>&lt;Décrivez&gt;</w:t>
      </w:r>
    </w:p>
    <w:p w14:paraId="250C9D66" w14:textId="77777777" w:rsidR="005A54BC" w:rsidRPr="005A54BC" w:rsidRDefault="005A54BC" w:rsidP="005A54BC">
      <w:pPr>
        <w:rPr>
          <w:bCs/>
          <w:lang w:val="fr-FR"/>
        </w:rPr>
      </w:pPr>
    </w:p>
    <w:p w14:paraId="6FFF2021" w14:textId="77777777" w:rsidR="005A54BC" w:rsidRPr="005A54BC" w:rsidRDefault="005A54BC" w:rsidP="005A54BC">
      <w:pPr>
        <w:numPr>
          <w:ilvl w:val="0"/>
          <w:numId w:val="46"/>
        </w:numPr>
        <w:rPr>
          <w:b/>
          <w:bCs/>
          <w:lang w:val="fr-FR"/>
        </w:rPr>
      </w:pPr>
      <w:r w:rsidRPr="005A54BC">
        <w:rPr>
          <w:b/>
          <w:bCs/>
          <w:lang w:val="fr-FR"/>
        </w:rPr>
        <w:t>Les périodes d'utilisation et de conservation des (différentes catégories de) données personnelles :</w:t>
      </w:r>
    </w:p>
    <w:p w14:paraId="2980762B" w14:textId="77777777" w:rsidR="005A54BC" w:rsidRPr="005A54BC" w:rsidRDefault="005A54BC" w:rsidP="005A54BC">
      <w:pPr>
        <w:rPr>
          <w:b/>
          <w:bCs/>
          <w:lang w:val="fr-FR"/>
        </w:rPr>
      </w:pPr>
    </w:p>
    <w:p w14:paraId="404223EA" w14:textId="77777777" w:rsidR="005A54BC" w:rsidRPr="005A54BC" w:rsidRDefault="005A54BC" w:rsidP="005A54BC">
      <w:pPr>
        <w:rPr>
          <w:bCs/>
          <w:lang w:val="fr-FR"/>
        </w:rPr>
      </w:pPr>
      <w:r w:rsidRPr="005A54BC">
        <w:rPr>
          <w:bCs/>
          <w:lang w:val="fr-FR"/>
        </w:rPr>
        <w:t>&lt;Décrivez&gt;</w:t>
      </w:r>
    </w:p>
    <w:p w14:paraId="4468AF1C" w14:textId="77777777" w:rsidR="005A54BC" w:rsidRPr="005A54BC" w:rsidRDefault="005A54BC" w:rsidP="005A54BC">
      <w:pPr>
        <w:rPr>
          <w:bCs/>
          <w:lang w:val="fr-FR"/>
        </w:rPr>
      </w:pPr>
    </w:p>
    <w:p w14:paraId="7F129C9C" w14:textId="77777777" w:rsidR="005A54BC" w:rsidRPr="005A54BC" w:rsidRDefault="005A54BC" w:rsidP="005A54BC">
      <w:pPr>
        <w:rPr>
          <w:b/>
          <w:bCs/>
          <w:lang w:val="fr-FR"/>
        </w:rPr>
      </w:pPr>
    </w:p>
    <w:p w14:paraId="080F0BE7" w14:textId="77777777" w:rsidR="005A54BC" w:rsidRPr="005A54BC" w:rsidRDefault="005A54BC" w:rsidP="005A54BC">
      <w:pPr>
        <w:numPr>
          <w:ilvl w:val="0"/>
          <w:numId w:val="46"/>
        </w:numPr>
        <w:rPr>
          <w:b/>
          <w:bCs/>
          <w:lang w:val="fr-FR"/>
        </w:rPr>
      </w:pPr>
      <w:r w:rsidRPr="005A54BC">
        <w:rPr>
          <w:b/>
          <w:bCs/>
          <w:lang w:val="fr-FR"/>
        </w:rPr>
        <w:t>Lieu du traitement :</w:t>
      </w:r>
    </w:p>
    <w:p w14:paraId="444860E1" w14:textId="77777777" w:rsidR="005A54BC" w:rsidRPr="005A54BC" w:rsidRDefault="005A54BC" w:rsidP="005A54BC">
      <w:pPr>
        <w:rPr>
          <w:b/>
          <w:bCs/>
          <w:lang w:val="fr-FR"/>
        </w:rPr>
      </w:pPr>
    </w:p>
    <w:p w14:paraId="27B967EA" w14:textId="77777777" w:rsidR="005A54BC" w:rsidRPr="005A54BC" w:rsidRDefault="005A54BC" w:rsidP="005A54BC">
      <w:pPr>
        <w:rPr>
          <w:bCs/>
          <w:lang w:val="fr-FR"/>
        </w:rPr>
      </w:pPr>
      <w:r w:rsidRPr="005A54BC">
        <w:rPr>
          <w:bCs/>
          <w:lang w:val="fr-FR"/>
        </w:rPr>
        <w:t>&lt;Décrivez&gt;</w:t>
      </w:r>
    </w:p>
    <w:p w14:paraId="0ED43D20" w14:textId="77777777" w:rsidR="005A54BC" w:rsidRPr="005A54BC" w:rsidRDefault="005A54BC" w:rsidP="005A54BC">
      <w:pPr>
        <w:rPr>
          <w:bCs/>
          <w:lang w:val="fr-FR"/>
        </w:rPr>
      </w:pPr>
    </w:p>
    <w:p w14:paraId="7F39A22E" w14:textId="77777777" w:rsidR="005A54BC" w:rsidRPr="005A54BC" w:rsidRDefault="005A54BC" w:rsidP="005A54BC">
      <w:pPr>
        <w:rPr>
          <w:bCs/>
          <w:lang w:val="fr-FR"/>
        </w:rPr>
      </w:pPr>
      <w:r w:rsidRPr="005A54BC">
        <w:rPr>
          <w:bCs/>
          <w:lang w:val="fr-FR"/>
        </w:rPr>
        <w:t>Si le traitement a lieu en dehors de l’EEE, veuillez préciser les garanties appropriées mises en place</w:t>
      </w:r>
    </w:p>
    <w:p w14:paraId="610FA955" w14:textId="77777777" w:rsidR="005A54BC" w:rsidRPr="005A54BC" w:rsidRDefault="005A54BC" w:rsidP="005A54BC">
      <w:pPr>
        <w:rPr>
          <w:bCs/>
          <w:lang w:val="fr-FR"/>
        </w:rPr>
      </w:pPr>
    </w:p>
    <w:p w14:paraId="30E00E00" w14:textId="77777777" w:rsidR="005A54BC" w:rsidRPr="005A54BC" w:rsidRDefault="005A54BC" w:rsidP="005A54BC">
      <w:pPr>
        <w:rPr>
          <w:bCs/>
          <w:lang w:val="fr-FR"/>
        </w:rPr>
      </w:pPr>
      <w:r w:rsidRPr="005A54BC">
        <w:rPr>
          <w:bCs/>
          <w:lang w:val="fr-FR"/>
        </w:rPr>
        <w:t>&lt;Décrivez&gt;</w:t>
      </w:r>
    </w:p>
    <w:p w14:paraId="1E85F3F6" w14:textId="77777777" w:rsidR="005A54BC" w:rsidRPr="005A54BC" w:rsidRDefault="005A54BC" w:rsidP="005A54BC">
      <w:pPr>
        <w:rPr>
          <w:bCs/>
          <w:lang w:val="fr-FR"/>
        </w:rPr>
      </w:pPr>
    </w:p>
    <w:p w14:paraId="13ECF5AB" w14:textId="77777777" w:rsidR="005A54BC" w:rsidRPr="005A54BC" w:rsidRDefault="005A54BC" w:rsidP="005A54BC">
      <w:pPr>
        <w:numPr>
          <w:ilvl w:val="0"/>
          <w:numId w:val="46"/>
        </w:numPr>
        <w:rPr>
          <w:b/>
          <w:bCs/>
          <w:lang w:val="fr-FR"/>
        </w:rPr>
      </w:pPr>
      <w:r w:rsidRPr="005A54BC">
        <w:rPr>
          <w:b/>
          <w:bCs/>
          <w:lang w:val="fr-FR"/>
        </w:rPr>
        <w:t>Engagement des sous-traitants subséquents suivants :</w:t>
      </w:r>
    </w:p>
    <w:p w14:paraId="049957AC" w14:textId="77777777" w:rsidR="005A54BC" w:rsidRPr="005A54BC" w:rsidRDefault="005A54BC" w:rsidP="005A54BC">
      <w:pPr>
        <w:rPr>
          <w:b/>
          <w:bCs/>
          <w:lang w:val="fr-FR"/>
        </w:rPr>
      </w:pPr>
    </w:p>
    <w:p w14:paraId="09C51DF5" w14:textId="77777777" w:rsidR="005A54BC" w:rsidRPr="005A54BC" w:rsidRDefault="005A54BC" w:rsidP="005A54BC">
      <w:pPr>
        <w:rPr>
          <w:b/>
          <w:bCs/>
          <w:lang w:val="fr-FR"/>
        </w:rPr>
      </w:pPr>
      <w:r w:rsidRPr="005A54BC">
        <w:rPr>
          <w:bCs/>
          <w:lang w:val="fr-FR"/>
        </w:rPr>
        <w:t>&lt;Décrivez&gt;</w:t>
      </w:r>
    </w:p>
    <w:p w14:paraId="6A1AE385" w14:textId="77777777" w:rsidR="005A54BC" w:rsidRPr="005A54BC" w:rsidRDefault="005A54BC" w:rsidP="005A54BC">
      <w:pPr>
        <w:rPr>
          <w:b/>
          <w:bCs/>
          <w:lang w:val="fr-FR"/>
        </w:rPr>
      </w:pPr>
    </w:p>
    <w:p w14:paraId="249742E7" w14:textId="77777777" w:rsidR="005A54BC" w:rsidRPr="005A54BC" w:rsidRDefault="005A54BC" w:rsidP="005A54BC">
      <w:pPr>
        <w:numPr>
          <w:ilvl w:val="0"/>
          <w:numId w:val="46"/>
        </w:numPr>
        <w:rPr>
          <w:b/>
          <w:bCs/>
          <w:lang w:val="fr-FR"/>
        </w:rPr>
      </w:pPr>
      <w:r w:rsidRPr="005A54BC">
        <w:rPr>
          <w:b/>
          <w:bCs/>
          <w:lang w:val="fr-FR"/>
        </w:rPr>
        <w:t xml:space="preserve">Coordonnées de la personne de contact responsable chez le responsable du traitement </w:t>
      </w:r>
    </w:p>
    <w:p w14:paraId="59EE6CBC" w14:textId="77777777" w:rsidR="005A54BC" w:rsidRPr="005A54BC" w:rsidRDefault="005A54BC" w:rsidP="005A54BC">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EA206CD" w14:textId="77777777" w:rsidTr="00267BB5">
        <w:tc>
          <w:tcPr>
            <w:tcW w:w="4531" w:type="dxa"/>
            <w:shd w:val="clear" w:color="auto" w:fill="auto"/>
          </w:tcPr>
          <w:p w14:paraId="2ACE59D1"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49586185" w14:textId="77777777" w:rsidR="005A54BC" w:rsidRPr="005A54BC" w:rsidRDefault="005A54BC" w:rsidP="005A54BC">
            <w:pPr>
              <w:rPr>
                <w:bCs/>
                <w:lang w:val="fr-FR"/>
              </w:rPr>
            </w:pPr>
          </w:p>
        </w:tc>
      </w:tr>
      <w:tr w:rsidR="005A54BC" w:rsidRPr="005A54BC" w14:paraId="2BE579D8" w14:textId="77777777" w:rsidTr="00267BB5">
        <w:tc>
          <w:tcPr>
            <w:tcW w:w="4531" w:type="dxa"/>
            <w:shd w:val="clear" w:color="auto" w:fill="auto"/>
          </w:tcPr>
          <w:p w14:paraId="08EBDE5D" w14:textId="77777777" w:rsidR="005A54BC" w:rsidRPr="005A54BC" w:rsidRDefault="005A54BC" w:rsidP="005A54BC">
            <w:pPr>
              <w:rPr>
                <w:bCs/>
                <w:lang w:val="fr-FR"/>
              </w:rPr>
            </w:pPr>
            <w:r w:rsidRPr="005A54BC">
              <w:rPr>
                <w:bCs/>
                <w:lang w:val="fr-FR"/>
              </w:rPr>
              <w:lastRenderedPageBreak/>
              <w:t>Titre :</w:t>
            </w:r>
          </w:p>
        </w:tc>
        <w:tc>
          <w:tcPr>
            <w:tcW w:w="4531" w:type="dxa"/>
            <w:shd w:val="clear" w:color="auto" w:fill="auto"/>
          </w:tcPr>
          <w:p w14:paraId="5BBE3AE0" w14:textId="77777777" w:rsidR="005A54BC" w:rsidRPr="005A54BC" w:rsidRDefault="005A54BC" w:rsidP="005A54BC">
            <w:pPr>
              <w:rPr>
                <w:bCs/>
                <w:lang w:val="fr-FR"/>
              </w:rPr>
            </w:pPr>
          </w:p>
        </w:tc>
      </w:tr>
      <w:tr w:rsidR="005A54BC" w:rsidRPr="005A54BC" w14:paraId="2F668C8D" w14:textId="77777777" w:rsidTr="00267BB5">
        <w:trPr>
          <w:trHeight w:val="70"/>
        </w:trPr>
        <w:tc>
          <w:tcPr>
            <w:tcW w:w="4531" w:type="dxa"/>
            <w:shd w:val="clear" w:color="auto" w:fill="auto"/>
          </w:tcPr>
          <w:p w14:paraId="1D801E7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71DDAFA" w14:textId="77777777" w:rsidR="005A54BC" w:rsidRPr="005A54BC" w:rsidRDefault="005A54BC" w:rsidP="005A54BC">
            <w:pPr>
              <w:rPr>
                <w:bCs/>
                <w:lang w:val="fr-FR"/>
              </w:rPr>
            </w:pPr>
          </w:p>
        </w:tc>
      </w:tr>
      <w:tr w:rsidR="005A54BC" w:rsidRPr="005A54BC" w14:paraId="29E62BAB" w14:textId="77777777" w:rsidTr="00267BB5">
        <w:tc>
          <w:tcPr>
            <w:tcW w:w="4531" w:type="dxa"/>
            <w:shd w:val="clear" w:color="auto" w:fill="auto"/>
          </w:tcPr>
          <w:p w14:paraId="0C2ACE00"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612D8222" w14:textId="77777777" w:rsidR="005A54BC" w:rsidRPr="005A54BC" w:rsidRDefault="005A54BC" w:rsidP="005A54BC">
            <w:pPr>
              <w:rPr>
                <w:bCs/>
                <w:lang w:val="fr-FR"/>
              </w:rPr>
            </w:pPr>
          </w:p>
        </w:tc>
      </w:tr>
      <w:tr w:rsidR="005A54BC" w:rsidRPr="005A54BC" w14:paraId="13CF871D" w14:textId="77777777" w:rsidTr="00267BB5">
        <w:tc>
          <w:tcPr>
            <w:tcW w:w="9062" w:type="dxa"/>
            <w:gridSpan w:val="2"/>
            <w:shd w:val="clear" w:color="auto" w:fill="auto"/>
          </w:tcPr>
          <w:p w14:paraId="7E260660" w14:textId="77777777" w:rsidR="005A54BC" w:rsidRPr="005A54BC" w:rsidRDefault="005A54BC" w:rsidP="005A54BC">
            <w:pPr>
              <w:rPr>
                <w:bCs/>
                <w:lang w:val="fr-FR"/>
              </w:rPr>
            </w:pPr>
          </w:p>
        </w:tc>
      </w:tr>
      <w:tr w:rsidR="005A54BC" w:rsidRPr="005A54BC" w14:paraId="0BF5D9CF" w14:textId="77777777" w:rsidTr="00267BB5">
        <w:tc>
          <w:tcPr>
            <w:tcW w:w="4531" w:type="dxa"/>
            <w:shd w:val="clear" w:color="auto" w:fill="auto"/>
          </w:tcPr>
          <w:p w14:paraId="1B7F2F4A" w14:textId="77777777" w:rsidR="005A54BC" w:rsidRPr="005A54BC" w:rsidRDefault="005A54BC" w:rsidP="005A54BC">
            <w:pPr>
              <w:rPr>
                <w:bCs/>
                <w:lang w:val="fr-FR"/>
              </w:rPr>
            </w:pPr>
            <w:r w:rsidRPr="005A54BC">
              <w:rPr>
                <w:bCs/>
                <w:lang w:val="fr-FR"/>
              </w:rPr>
              <w:t>Nom :</w:t>
            </w:r>
            <w:r w:rsidRPr="005A54BC">
              <w:rPr>
                <w:bCs/>
                <w:vertAlign w:val="superscript"/>
                <w:lang w:val="fr-FR"/>
              </w:rPr>
              <w:footnoteReference w:id="25"/>
            </w:r>
          </w:p>
        </w:tc>
        <w:tc>
          <w:tcPr>
            <w:tcW w:w="4531" w:type="dxa"/>
            <w:shd w:val="clear" w:color="auto" w:fill="auto"/>
          </w:tcPr>
          <w:p w14:paraId="7945F5DB" w14:textId="77777777" w:rsidR="005A54BC" w:rsidRPr="005A54BC" w:rsidRDefault="005A54BC" w:rsidP="005A54BC">
            <w:pPr>
              <w:rPr>
                <w:bCs/>
                <w:lang w:val="fr-FR"/>
              </w:rPr>
            </w:pPr>
          </w:p>
        </w:tc>
      </w:tr>
      <w:tr w:rsidR="005A54BC" w:rsidRPr="005A54BC" w14:paraId="1DA78E5D" w14:textId="77777777" w:rsidTr="00267BB5">
        <w:tc>
          <w:tcPr>
            <w:tcW w:w="4531" w:type="dxa"/>
            <w:shd w:val="clear" w:color="auto" w:fill="auto"/>
          </w:tcPr>
          <w:p w14:paraId="71B1886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42CBC093" w14:textId="77777777" w:rsidR="005A54BC" w:rsidRPr="005A54BC" w:rsidRDefault="005A54BC" w:rsidP="005A54BC">
            <w:pPr>
              <w:rPr>
                <w:bCs/>
                <w:lang w:val="fr-FR"/>
              </w:rPr>
            </w:pPr>
          </w:p>
        </w:tc>
      </w:tr>
      <w:tr w:rsidR="005A54BC" w:rsidRPr="005A54BC" w14:paraId="6F66DEB6" w14:textId="77777777" w:rsidTr="00267BB5">
        <w:tc>
          <w:tcPr>
            <w:tcW w:w="4531" w:type="dxa"/>
            <w:shd w:val="clear" w:color="auto" w:fill="auto"/>
          </w:tcPr>
          <w:p w14:paraId="400D39C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66EB01B" w14:textId="77777777" w:rsidR="005A54BC" w:rsidRPr="005A54BC" w:rsidRDefault="005A54BC" w:rsidP="005A54BC">
            <w:pPr>
              <w:rPr>
                <w:bCs/>
                <w:lang w:val="fr-FR"/>
              </w:rPr>
            </w:pPr>
          </w:p>
        </w:tc>
      </w:tr>
      <w:tr w:rsidR="005A54BC" w:rsidRPr="005A54BC" w14:paraId="48FFE03F" w14:textId="77777777" w:rsidTr="00267BB5">
        <w:tc>
          <w:tcPr>
            <w:tcW w:w="4531" w:type="dxa"/>
            <w:shd w:val="clear" w:color="auto" w:fill="auto"/>
          </w:tcPr>
          <w:p w14:paraId="587AE354"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7D6FE70D" w14:textId="77777777" w:rsidR="005A54BC" w:rsidRPr="005A54BC" w:rsidRDefault="005A54BC" w:rsidP="005A54BC">
            <w:pPr>
              <w:rPr>
                <w:bCs/>
                <w:lang w:val="fr-FR"/>
              </w:rPr>
            </w:pPr>
          </w:p>
        </w:tc>
      </w:tr>
    </w:tbl>
    <w:p w14:paraId="1B4ABAEA" w14:textId="77777777" w:rsidR="005A54BC" w:rsidRPr="005A54BC" w:rsidRDefault="005A54BC" w:rsidP="005A54BC">
      <w:pPr>
        <w:rPr>
          <w:b/>
          <w:bCs/>
          <w:lang w:val="fr-FR"/>
        </w:rPr>
      </w:pPr>
    </w:p>
    <w:p w14:paraId="1CF1574F" w14:textId="77777777" w:rsidR="005A54BC" w:rsidRPr="005A54BC" w:rsidRDefault="005A54BC" w:rsidP="005A54BC">
      <w:pPr>
        <w:numPr>
          <w:ilvl w:val="0"/>
          <w:numId w:val="46"/>
        </w:numPr>
        <w:rPr>
          <w:b/>
          <w:bCs/>
          <w:lang w:val="fr-FR"/>
        </w:rPr>
      </w:pPr>
      <w:r w:rsidRPr="005A54BC">
        <w:rPr>
          <w:b/>
          <w:bCs/>
          <w:lang w:val="fr-FR"/>
        </w:rPr>
        <w:t xml:space="preserve">Coordonnées de la personne de contact responsable chez le sous-traitant : </w:t>
      </w:r>
      <w:r w:rsidRPr="005A54BC">
        <w:rPr>
          <w:b/>
          <w:bCs/>
          <w:lang w:val="fr-FR"/>
        </w:rPr>
        <w:tab/>
      </w:r>
    </w:p>
    <w:p w14:paraId="71AF434B" w14:textId="77777777" w:rsidR="005A54BC" w:rsidRPr="005A54BC" w:rsidRDefault="005A54BC" w:rsidP="005A54BC">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1910F11" w14:textId="77777777" w:rsidTr="00267BB5">
        <w:tc>
          <w:tcPr>
            <w:tcW w:w="4531" w:type="dxa"/>
            <w:shd w:val="clear" w:color="auto" w:fill="auto"/>
          </w:tcPr>
          <w:p w14:paraId="6BB58D07"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2EF03E41" w14:textId="77777777" w:rsidR="005A54BC" w:rsidRPr="005A54BC" w:rsidRDefault="005A54BC" w:rsidP="005A54BC">
            <w:pPr>
              <w:rPr>
                <w:bCs/>
                <w:lang w:val="fr-FR"/>
              </w:rPr>
            </w:pPr>
          </w:p>
        </w:tc>
      </w:tr>
      <w:tr w:rsidR="005A54BC" w:rsidRPr="005A54BC" w14:paraId="0A6547F0" w14:textId="77777777" w:rsidTr="00267BB5">
        <w:tc>
          <w:tcPr>
            <w:tcW w:w="4531" w:type="dxa"/>
            <w:shd w:val="clear" w:color="auto" w:fill="auto"/>
          </w:tcPr>
          <w:p w14:paraId="44FBD5A5"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0C3FE5F3" w14:textId="77777777" w:rsidR="005A54BC" w:rsidRPr="005A54BC" w:rsidRDefault="005A54BC" w:rsidP="005A54BC">
            <w:pPr>
              <w:rPr>
                <w:bCs/>
                <w:lang w:val="fr-FR"/>
              </w:rPr>
            </w:pPr>
          </w:p>
        </w:tc>
      </w:tr>
      <w:tr w:rsidR="005A54BC" w:rsidRPr="005A54BC" w14:paraId="78A10AEA" w14:textId="77777777" w:rsidTr="00267BB5">
        <w:trPr>
          <w:trHeight w:val="70"/>
        </w:trPr>
        <w:tc>
          <w:tcPr>
            <w:tcW w:w="4531" w:type="dxa"/>
            <w:shd w:val="clear" w:color="auto" w:fill="auto"/>
          </w:tcPr>
          <w:p w14:paraId="6A857F8D"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1E7B3B5C" w14:textId="77777777" w:rsidR="005A54BC" w:rsidRPr="005A54BC" w:rsidRDefault="005A54BC" w:rsidP="005A54BC">
            <w:pPr>
              <w:rPr>
                <w:bCs/>
                <w:lang w:val="fr-FR"/>
              </w:rPr>
            </w:pPr>
          </w:p>
        </w:tc>
      </w:tr>
      <w:tr w:rsidR="005A54BC" w:rsidRPr="005A54BC" w14:paraId="75993B09" w14:textId="77777777" w:rsidTr="00267BB5">
        <w:tc>
          <w:tcPr>
            <w:tcW w:w="4531" w:type="dxa"/>
            <w:shd w:val="clear" w:color="auto" w:fill="auto"/>
          </w:tcPr>
          <w:p w14:paraId="552CB2AF"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ECFD132" w14:textId="77777777" w:rsidR="005A54BC" w:rsidRPr="005A54BC" w:rsidRDefault="005A54BC" w:rsidP="005A54BC">
            <w:pPr>
              <w:rPr>
                <w:bCs/>
                <w:lang w:val="fr-FR"/>
              </w:rPr>
            </w:pPr>
          </w:p>
        </w:tc>
      </w:tr>
      <w:tr w:rsidR="005A54BC" w:rsidRPr="005A54BC" w14:paraId="09477448" w14:textId="77777777" w:rsidTr="00267BB5">
        <w:tc>
          <w:tcPr>
            <w:tcW w:w="9062" w:type="dxa"/>
            <w:gridSpan w:val="2"/>
            <w:shd w:val="clear" w:color="auto" w:fill="auto"/>
          </w:tcPr>
          <w:p w14:paraId="127ABA3D" w14:textId="77777777" w:rsidR="005A54BC" w:rsidRPr="005A54BC" w:rsidRDefault="005A54BC" w:rsidP="005A54BC">
            <w:pPr>
              <w:rPr>
                <w:bCs/>
                <w:lang w:val="fr-FR"/>
              </w:rPr>
            </w:pPr>
          </w:p>
        </w:tc>
      </w:tr>
      <w:tr w:rsidR="005A54BC" w:rsidRPr="005A54BC" w14:paraId="58C72093" w14:textId="77777777" w:rsidTr="00267BB5">
        <w:tc>
          <w:tcPr>
            <w:tcW w:w="4531" w:type="dxa"/>
            <w:shd w:val="clear" w:color="auto" w:fill="auto"/>
          </w:tcPr>
          <w:p w14:paraId="15449186"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028F9155" w14:textId="77777777" w:rsidR="005A54BC" w:rsidRPr="005A54BC" w:rsidRDefault="005A54BC" w:rsidP="005A54BC">
            <w:pPr>
              <w:rPr>
                <w:bCs/>
                <w:lang w:val="fr-FR"/>
              </w:rPr>
            </w:pPr>
          </w:p>
        </w:tc>
      </w:tr>
      <w:tr w:rsidR="005A54BC" w:rsidRPr="005A54BC" w14:paraId="2844D765" w14:textId="77777777" w:rsidTr="00267BB5">
        <w:tc>
          <w:tcPr>
            <w:tcW w:w="4531" w:type="dxa"/>
            <w:shd w:val="clear" w:color="auto" w:fill="auto"/>
          </w:tcPr>
          <w:p w14:paraId="6A39982B"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3E8FA8A0" w14:textId="77777777" w:rsidR="005A54BC" w:rsidRPr="005A54BC" w:rsidRDefault="005A54BC" w:rsidP="005A54BC">
            <w:pPr>
              <w:rPr>
                <w:bCs/>
                <w:lang w:val="fr-FR"/>
              </w:rPr>
            </w:pPr>
          </w:p>
        </w:tc>
      </w:tr>
      <w:tr w:rsidR="005A54BC" w:rsidRPr="005A54BC" w14:paraId="02C4630F" w14:textId="77777777" w:rsidTr="00267BB5">
        <w:tc>
          <w:tcPr>
            <w:tcW w:w="4531" w:type="dxa"/>
            <w:shd w:val="clear" w:color="auto" w:fill="auto"/>
          </w:tcPr>
          <w:p w14:paraId="74080C4A"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73CC6179" w14:textId="77777777" w:rsidR="005A54BC" w:rsidRPr="005A54BC" w:rsidRDefault="005A54BC" w:rsidP="005A54BC">
            <w:pPr>
              <w:rPr>
                <w:bCs/>
                <w:lang w:val="fr-FR"/>
              </w:rPr>
            </w:pPr>
          </w:p>
        </w:tc>
      </w:tr>
      <w:tr w:rsidR="005A54BC" w:rsidRPr="005A54BC" w14:paraId="42ECEAD7" w14:textId="77777777" w:rsidTr="00267BB5">
        <w:tc>
          <w:tcPr>
            <w:tcW w:w="4531" w:type="dxa"/>
            <w:shd w:val="clear" w:color="auto" w:fill="auto"/>
          </w:tcPr>
          <w:p w14:paraId="4318F2EB"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F2BEB41" w14:textId="77777777" w:rsidR="005A54BC" w:rsidRPr="005A54BC" w:rsidRDefault="005A54BC" w:rsidP="005A54BC">
            <w:pPr>
              <w:rPr>
                <w:bCs/>
                <w:lang w:val="fr-FR"/>
              </w:rPr>
            </w:pPr>
          </w:p>
        </w:tc>
      </w:tr>
    </w:tbl>
    <w:p w14:paraId="15FA05DC" w14:textId="77777777" w:rsidR="005A54BC" w:rsidRPr="005A54BC" w:rsidRDefault="005A54BC" w:rsidP="005A54BC">
      <w:pPr>
        <w:rPr>
          <w:bCs/>
          <w:lang w:val="fr-FR"/>
        </w:rPr>
      </w:pPr>
    </w:p>
    <w:p w14:paraId="33BF94E6" w14:textId="77777777" w:rsidR="005A54BC" w:rsidRPr="005A54BC" w:rsidRDefault="005A54BC" w:rsidP="005A54BC">
      <w:pPr>
        <w:rPr>
          <w:bCs/>
          <w:lang w:val="fr-FR"/>
        </w:rPr>
      </w:pPr>
    </w:p>
    <w:p w14:paraId="57C01C70" w14:textId="77777777" w:rsidR="005A54BC" w:rsidRPr="005A54BC" w:rsidRDefault="005A54BC" w:rsidP="005A54BC">
      <w:pPr>
        <w:rPr>
          <w:lang w:val="fr-FR"/>
        </w:rPr>
      </w:pPr>
    </w:p>
    <w:p w14:paraId="000FC936" w14:textId="77777777" w:rsidR="005A54BC" w:rsidRPr="005A54BC" w:rsidRDefault="005A54BC" w:rsidP="005A54BC">
      <w:pPr>
        <w:rPr>
          <w:lang w:val="fr-FR"/>
        </w:rPr>
      </w:pPr>
    </w:p>
    <w:p w14:paraId="78A6CBE5" w14:textId="77777777" w:rsidR="005A54BC" w:rsidRPr="005A54BC" w:rsidRDefault="005A54BC" w:rsidP="005A54BC">
      <w:pPr>
        <w:rPr>
          <w:b/>
          <w:bCs/>
          <w:lang w:val="fr-FR"/>
        </w:rPr>
      </w:pPr>
      <w:r w:rsidRPr="005A54BC">
        <w:rPr>
          <w:b/>
          <w:bCs/>
          <w:lang w:val="fr-FR"/>
        </w:rPr>
        <w:t>Annexe 2 : Sécurité du traitement</w:t>
      </w:r>
      <w:r w:rsidRPr="005A54BC">
        <w:rPr>
          <w:b/>
          <w:bCs/>
          <w:vertAlign w:val="superscript"/>
          <w:lang w:val="fr-FR"/>
        </w:rPr>
        <w:footnoteReference w:id="26"/>
      </w:r>
    </w:p>
    <w:p w14:paraId="31E901A3" w14:textId="77777777" w:rsidR="005A54BC" w:rsidRPr="005A54BC" w:rsidRDefault="005A54BC" w:rsidP="005A54BC">
      <w:pPr>
        <w:rPr>
          <w:lang w:val="fr-FR"/>
        </w:rPr>
      </w:pPr>
    </w:p>
    <w:p w14:paraId="52F08BA0" w14:textId="77777777" w:rsidR="005A54BC" w:rsidRPr="005A54BC" w:rsidRDefault="005A54BC" w:rsidP="005A54BC">
      <w:pPr>
        <w:rPr>
          <w:lang w:val="fr-FR"/>
        </w:rPr>
      </w:pPr>
      <w:r w:rsidRPr="005A54BC">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5A54BC">
        <w:rPr>
          <w:vertAlign w:val="superscript"/>
          <w:lang w:val="fr-FR"/>
        </w:rPr>
        <w:footnoteReference w:id="27"/>
      </w:r>
    </w:p>
    <w:p w14:paraId="712968EA" w14:textId="77777777" w:rsidR="005A54BC" w:rsidRPr="005A54BC" w:rsidRDefault="005A54BC" w:rsidP="005A54BC">
      <w:pPr>
        <w:rPr>
          <w:lang w:val="fr-FR"/>
        </w:rPr>
      </w:pPr>
    </w:p>
    <w:p w14:paraId="5CAAD982" w14:textId="77777777" w:rsidR="005A54BC" w:rsidRPr="005A54BC" w:rsidRDefault="005A54BC" w:rsidP="005A54BC">
      <w:pPr>
        <w:rPr>
          <w:lang w:val="fr-FR"/>
        </w:rPr>
      </w:pPr>
      <w:r w:rsidRPr="005A54BC">
        <w:rPr>
          <w:lang w:val="fr-FR"/>
        </w:rPr>
        <w:lastRenderedPageBreak/>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1673DD9" w14:textId="77777777" w:rsidR="005A54BC" w:rsidRPr="005A54BC" w:rsidRDefault="005A54BC" w:rsidP="005A54BC">
      <w:pPr>
        <w:rPr>
          <w:lang w:val="fr-FR"/>
        </w:rPr>
      </w:pPr>
    </w:p>
    <w:p w14:paraId="10BC7DB5" w14:textId="77777777" w:rsidR="005A54BC" w:rsidRPr="005A54BC" w:rsidRDefault="005A54BC" w:rsidP="005A54BC">
      <w:pPr>
        <w:rPr>
          <w:lang w:val="fr-FR"/>
        </w:rPr>
      </w:pPr>
      <w:r w:rsidRPr="005A54BC">
        <w:rPr>
          <w:lang w:val="fr-FR"/>
        </w:rPr>
        <w:t>Ces mesures de sécurité comprennent, entre autres, ce qui suit :</w:t>
      </w:r>
    </w:p>
    <w:p w14:paraId="2A2F545C" w14:textId="77777777" w:rsidR="005A54BC" w:rsidRPr="005A54BC" w:rsidRDefault="005A54BC" w:rsidP="005A54BC">
      <w:pPr>
        <w:rPr>
          <w:lang w:val="fr-FR"/>
        </w:rPr>
      </w:pPr>
    </w:p>
    <w:p w14:paraId="74C40B76" w14:textId="77777777" w:rsidR="005A54BC" w:rsidRPr="005A54BC" w:rsidRDefault="005A54BC" w:rsidP="005A54BC">
      <w:pPr>
        <w:numPr>
          <w:ilvl w:val="0"/>
          <w:numId w:val="28"/>
        </w:numPr>
        <w:rPr>
          <w:bCs/>
          <w:lang w:val="fr-FR"/>
        </w:rPr>
      </w:pPr>
      <w:r w:rsidRPr="005A54BC">
        <w:rPr>
          <w:bCs/>
          <w:lang w:val="fr-FR"/>
        </w:rPr>
        <w:t>[Décrivez]</w:t>
      </w:r>
    </w:p>
    <w:p w14:paraId="1FF896FE" w14:textId="77777777" w:rsidR="005A54BC" w:rsidRPr="005A54BC" w:rsidRDefault="005A54BC" w:rsidP="005A54BC">
      <w:pPr>
        <w:rPr>
          <w:lang w:val="fr-FR"/>
        </w:rPr>
      </w:pPr>
    </w:p>
    <w:p w14:paraId="1EC5621F" w14:textId="77777777" w:rsidR="005A54BC" w:rsidRPr="005A54BC" w:rsidRDefault="005A54BC" w:rsidP="005A54BC">
      <w:pPr>
        <w:rPr>
          <w:lang w:val="fr-FR"/>
        </w:rPr>
      </w:pPr>
    </w:p>
    <w:p w14:paraId="535AE7D7" w14:textId="77777777" w:rsidR="005A54BC" w:rsidRPr="005A54BC" w:rsidRDefault="005A54BC" w:rsidP="005A54BC"/>
    <w:sectPr w:rsidR="005A54BC" w:rsidRPr="005A54BC"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21D7" w14:textId="77777777" w:rsidR="00A82064" w:rsidRDefault="00A82064" w:rsidP="00C913B3">
      <w:pPr>
        <w:spacing w:after="0" w:line="240" w:lineRule="auto"/>
      </w:pPr>
      <w:r>
        <w:separator/>
      </w:r>
    </w:p>
  </w:endnote>
  <w:endnote w:type="continuationSeparator" w:id="0">
    <w:p w14:paraId="250649B4" w14:textId="77777777" w:rsidR="00A82064" w:rsidRDefault="00A82064" w:rsidP="00C913B3">
      <w:pPr>
        <w:spacing w:after="0" w:line="240" w:lineRule="auto"/>
      </w:pPr>
      <w:r>
        <w:continuationSeparator/>
      </w:r>
    </w:p>
  </w:endnote>
  <w:endnote w:type="continuationNotice" w:id="1">
    <w:p w14:paraId="0DCDAB74" w14:textId="77777777" w:rsidR="00A82064" w:rsidRDefault="00A82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SymbolMT">
    <w:altName w:val="Microsoft JhengHei"/>
    <w:panose1 w:val="00000000000000000000"/>
    <w:charset w:val="88"/>
    <w:family w:val="auto"/>
    <w:notTrueType/>
    <w:pitch w:val="default"/>
    <w:sig w:usb0="00000001" w:usb1="08080000" w:usb2="00000010" w:usb3="00000000" w:csb0="00100000" w:csb1="00000000"/>
  </w:font>
  <w:font w:name="Georgia-Bold">
    <w:altName w:val="Georg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42A298F"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EA7CA1">
      <w:rPr>
        <w:sz w:val="16"/>
        <w:szCs w:val="16"/>
      </w:rPr>
      <w:t>COD2299611SH6-10012</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1E80" w14:textId="77777777" w:rsidR="00A82064" w:rsidRDefault="00A82064" w:rsidP="00C913B3">
      <w:pPr>
        <w:spacing w:after="0" w:line="240" w:lineRule="auto"/>
      </w:pPr>
      <w:r>
        <w:separator/>
      </w:r>
    </w:p>
  </w:footnote>
  <w:footnote w:type="continuationSeparator" w:id="0">
    <w:p w14:paraId="4C483346" w14:textId="77777777" w:rsidR="00A82064" w:rsidRDefault="00A82064" w:rsidP="00C913B3">
      <w:pPr>
        <w:spacing w:after="0" w:line="240" w:lineRule="auto"/>
      </w:pPr>
      <w:r>
        <w:continuationSeparator/>
      </w:r>
    </w:p>
  </w:footnote>
  <w:footnote w:type="continuationNotice" w:id="1">
    <w:p w14:paraId="29348A58" w14:textId="77777777" w:rsidR="00A82064" w:rsidRDefault="00A82064">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 w:id="23">
    <w:p w14:paraId="1551FC8E" w14:textId="77777777" w:rsidR="005A54BC" w:rsidRPr="006F526A" w:rsidRDefault="005A54BC" w:rsidP="005A54B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05529D65" w14:textId="77777777" w:rsidR="005A54BC" w:rsidRPr="008A6F29" w:rsidRDefault="005A54BC" w:rsidP="005A54B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4D6CDBF2" w14:textId="77777777" w:rsidR="005A54BC" w:rsidRPr="006544B6" w:rsidRDefault="005A54BC" w:rsidP="005A54B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643EABDA" w14:textId="77777777" w:rsidR="005A54BC" w:rsidRPr="007F2CCD" w:rsidRDefault="005A54BC" w:rsidP="005A54B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353BB56" w14:textId="77777777" w:rsidR="005A54BC" w:rsidRPr="008A6F29" w:rsidRDefault="005A54BC" w:rsidP="005A54B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95B67"/>
    <w:multiLevelType w:val="multilevel"/>
    <w:tmpl w:val="A86CAC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A534CF"/>
    <w:multiLevelType w:val="hybridMultilevel"/>
    <w:tmpl w:val="2BD883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370A6"/>
    <w:multiLevelType w:val="hybridMultilevel"/>
    <w:tmpl w:val="11ECCB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172F5"/>
    <w:multiLevelType w:val="hybridMultilevel"/>
    <w:tmpl w:val="C110FAEA"/>
    <w:lvl w:ilvl="0" w:tplc="CB4A602A">
      <w:start w:val="2"/>
      <w:numFmt w:val="bullet"/>
      <w:lvlText w:val="-"/>
      <w:lvlJc w:val="left"/>
      <w:pPr>
        <w:ind w:left="720" w:hanging="360"/>
      </w:pPr>
      <w:rPr>
        <w:rFonts w:ascii="Georgia" w:eastAsia="Calibri" w:hAnsi="Georgia"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31C76AD"/>
    <w:multiLevelType w:val="hybridMultilevel"/>
    <w:tmpl w:val="D9C4D13C"/>
    <w:lvl w:ilvl="0" w:tplc="BD6C6AC4">
      <w:start w:val="1"/>
      <w:numFmt w:val="bullet"/>
      <w:lvlText w:val="-"/>
      <w:lvlJc w:val="left"/>
      <w:pPr>
        <w:tabs>
          <w:tab w:val="num" w:pos="360"/>
        </w:tabs>
        <w:ind w:left="360" w:hanging="360"/>
      </w:pPr>
      <w:rPr>
        <w:rFonts w:ascii="Times New Roman" w:hAnsi="Times New Roman" w:hint="default"/>
      </w:rPr>
    </w:lvl>
    <w:lvl w:ilvl="1" w:tplc="41909A2A">
      <w:start w:val="1"/>
      <w:numFmt w:val="bullet"/>
      <w:lvlText w:val="-"/>
      <w:lvlJc w:val="left"/>
      <w:pPr>
        <w:tabs>
          <w:tab w:val="num" w:pos="1080"/>
        </w:tabs>
        <w:ind w:left="1080" w:hanging="360"/>
      </w:pPr>
      <w:rPr>
        <w:rFonts w:ascii="Times New Roman" w:hAnsi="Times New Roman" w:hint="default"/>
      </w:rPr>
    </w:lvl>
    <w:lvl w:ilvl="2" w:tplc="E1A28BC6" w:tentative="1">
      <w:start w:val="1"/>
      <w:numFmt w:val="bullet"/>
      <w:lvlText w:val="-"/>
      <w:lvlJc w:val="left"/>
      <w:pPr>
        <w:tabs>
          <w:tab w:val="num" w:pos="1800"/>
        </w:tabs>
        <w:ind w:left="1800" w:hanging="360"/>
      </w:pPr>
      <w:rPr>
        <w:rFonts w:ascii="Times New Roman" w:hAnsi="Times New Roman" w:hint="default"/>
      </w:rPr>
    </w:lvl>
    <w:lvl w:ilvl="3" w:tplc="ABB26824" w:tentative="1">
      <w:start w:val="1"/>
      <w:numFmt w:val="bullet"/>
      <w:lvlText w:val="-"/>
      <w:lvlJc w:val="left"/>
      <w:pPr>
        <w:tabs>
          <w:tab w:val="num" w:pos="2520"/>
        </w:tabs>
        <w:ind w:left="2520" w:hanging="360"/>
      </w:pPr>
      <w:rPr>
        <w:rFonts w:ascii="Times New Roman" w:hAnsi="Times New Roman" w:hint="default"/>
      </w:rPr>
    </w:lvl>
    <w:lvl w:ilvl="4" w:tplc="C0F867F4" w:tentative="1">
      <w:start w:val="1"/>
      <w:numFmt w:val="bullet"/>
      <w:lvlText w:val="-"/>
      <w:lvlJc w:val="left"/>
      <w:pPr>
        <w:tabs>
          <w:tab w:val="num" w:pos="3240"/>
        </w:tabs>
        <w:ind w:left="3240" w:hanging="360"/>
      </w:pPr>
      <w:rPr>
        <w:rFonts w:ascii="Times New Roman" w:hAnsi="Times New Roman" w:hint="default"/>
      </w:rPr>
    </w:lvl>
    <w:lvl w:ilvl="5" w:tplc="5254F592" w:tentative="1">
      <w:start w:val="1"/>
      <w:numFmt w:val="bullet"/>
      <w:lvlText w:val="-"/>
      <w:lvlJc w:val="left"/>
      <w:pPr>
        <w:tabs>
          <w:tab w:val="num" w:pos="3960"/>
        </w:tabs>
        <w:ind w:left="3960" w:hanging="360"/>
      </w:pPr>
      <w:rPr>
        <w:rFonts w:ascii="Times New Roman" w:hAnsi="Times New Roman" w:hint="default"/>
      </w:rPr>
    </w:lvl>
    <w:lvl w:ilvl="6" w:tplc="6C8CD3E8" w:tentative="1">
      <w:start w:val="1"/>
      <w:numFmt w:val="bullet"/>
      <w:lvlText w:val="-"/>
      <w:lvlJc w:val="left"/>
      <w:pPr>
        <w:tabs>
          <w:tab w:val="num" w:pos="4680"/>
        </w:tabs>
        <w:ind w:left="4680" w:hanging="360"/>
      </w:pPr>
      <w:rPr>
        <w:rFonts w:ascii="Times New Roman" w:hAnsi="Times New Roman" w:hint="default"/>
      </w:rPr>
    </w:lvl>
    <w:lvl w:ilvl="7" w:tplc="F9221F66" w:tentative="1">
      <w:start w:val="1"/>
      <w:numFmt w:val="bullet"/>
      <w:lvlText w:val="-"/>
      <w:lvlJc w:val="left"/>
      <w:pPr>
        <w:tabs>
          <w:tab w:val="num" w:pos="5400"/>
        </w:tabs>
        <w:ind w:left="5400" w:hanging="360"/>
      </w:pPr>
      <w:rPr>
        <w:rFonts w:ascii="Times New Roman" w:hAnsi="Times New Roman" w:hint="default"/>
      </w:rPr>
    </w:lvl>
    <w:lvl w:ilvl="8" w:tplc="FEC215AC"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A35275"/>
    <w:multiLevelType w:val="hybridMultilevel"/>
    <w:tmpl w:val="6526FBF0"/>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DBB7FBB"/>
    <w:multiLevelType w:val="hybridMultilevel"/>
    <w:tmpl w:val="F83C980E"/>
    <w:lvl w:ilvl="0" w:tplc="080C0005">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5" w15:restartNumberingAfterBreak="0">
    <w:nsid w:val="3ED52F91"/>
    <w:multiLevelType w:val="hybridMultilevel"/>
    <w:tmpl w:val="258A869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5870B30"/>
    <w:multiLevelType w:val="multilevel"/>
    <w:tmpl w:val="A86CAC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7A376F9"/>
    <w:multiLevelType w:val="hybridMultilevel"/>
    <w:tmpl w:val="232E1884"/>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522A4C"/>
    <w:multiLevelType w:val="hybridMultilevel"/>
    <w:tmpl w:val="81B8D2FA"/>
    <w:lvl w:ilvl="0" w:tplc="37F0817E">
      <w:numFmt w:val="bullet"/>
      <w:lvlText w:val="-"/>
      <w:lvlJc w:val="left"/>
      <w:pPr>
        <w:ind w:left="720" w:hanging="360"/>
      </w:pPr>
      <w:rPr>
        <w:rFonts w:ascii="SymbolMT" w:eastAsia="SymbolMT" w:hAnsi="Georgia-Bold" w:cs="SymbolMT" w:hint="eastAsia"/>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1236716"/>
    <w:multiLevelType w:val="hybridMultilevel"/>
    <w:tmpl w:val="D3AE32A4"/>
    <w:lvl w:ilvl="0" w:tplc="38546E3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AE4067"/>
    <w:multiLevelType w:val="hybridMultilevel"/>
    <w:tmpl w:val="F5B609AA"/>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2F133E"/>
    <w:multiLevelType w:val="hybridMultilevel"/>
    <w:tmpl w:val="B08EDE6A"/>
    <w:lvl w:ilvl="0" w:tplc="FFFFFFFF">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08611799">
    <w:abstractNumId w:val="50"/>
  </w:num>
  <w:num w:numId="2" w16cid:durableId="2142191184">
    <w:abstractNumId w:val="10"/>
  </w:num>
  <w:num w:numId="3" w16cid:durableId="1023633597">
    <w:abstractNumId w:val="31"/>
  </w:num>
  <w:num w:numId="4" w16cid:durableId="185025457">
    <w:abstractNumId w:val="27"/>
  </w:num>
  <w:num w:numId="5" w16cid:durableId="159154172">
    <w:abstractNumId w:val="10"/>
    <w:lvlOverride w:ilvl="0">
      <w:startOverride w:val="2"/>
    </w:lvlOverride>
  </w:num>
  <w:num w:numId="6" w16cid:durableId="1850757851">
    <w:abstractNumId w:val="7"/>
  </w:num>
  <w:num w:numId="7" w16cid:durableId="1248612918">
    <w:abstractNumId w:val="11"/>
  </w:num>
  <w:num w:numId="8" w16cid:durableId="1373338812">
    <w:abstractNumId w:val="49"/>
  </w:num>
  <w:num w:numId="9" w16cid:durableId="1357147816">
    <w:abstractNumId w:val="24"/>
  </w:num>
  <w:num w:numId="10" w16cid:durableId="1598098725">
    <w:abstractNumId w:val="61"/>
  </w:num>
  <w:num w:numId="11" w16cid:durableId="987900746">
    <w:abstractNumId w:val="25"/>
  </w:num>
  <w:num w:numId="12" w16cid:durableId="631177827">
    <w:abstractNumId w:val="0"/>
  </w:num>
  <w:num w:numId="13" w16cid:durableId="479150884">
    <w:abstractNumId w:val="35"/>
  </w:num>
  <w:num w:numId="14" w16cid:durableId="292910170">
    <w:abstractNumId w:val="17"/>
  </w:num>
  <w:num w:numId="15" w16cid:durableId="997461919">
    <w:abstractNumId w:val="51"/>
  </w:num>
  <w:num w:numId="16" w16cid:durableId="1063066692">
    <w:abstractNumId w:val="19"/>
  </w:num>
  <w:num w:numId="17" w16cid:durableId="588125610">
    <w:abstractNumId w:val="15"/>
  </w:num>
  <w:num w:numId="18" w16cid:durableId="820657238">
    <w:abstractNumId w:val="60"/>
  </w:num>
  <w:num w:numId="19" w16cid:durableId="639965907">
    <w:abstractNumId w:val="13"/>
  </w:num>
  <w:num w:numId="20" w16cid:durableId="1278367458">
    <w:abstractNumId w:val="65"/>
  </w:num>
  <w:num w:numId="21" w16cid:durableId="47803265">
    <w:abstractNumId w:val="1"/>
  </w:num>
  <w:num w:numId="22" w16cid:durableId="1262564779">
    <w:abstractNumId w:val="54"/>
  </w:num>
  <w:num w:numId="23" w16cid:durableId="1369529355">
    <w:abstractNumId w:val="18"/>
  </w:num>
  <w:num w:numId="24" w16cid:durableId="535656453">
    <w:abstractNumId w:val="12"/>
  </w:num>
  <w:num w:numId="25" w16cid:durableId="1756853665">
    <w:abstractNumId w:val="56"/>
  </w:num>
  <w:num w:numId="26" w16cid:durableId="849954227">
    <w:abstractNumId w:val="44"/>
  </w:num>
  <w:num w:numId="27" w16cid:durableId="1037897729">
    <w:abstractNumId w:val="58"/>
  </w:num>
  <w:num w:numId="28" w16cid:durableId="552886973">
    <w:abstractNumId w:val="22"/>
  </w:num>
  <w:num w:numId="29" w16cid:durableId="840001651">
    <w:abstractNumId w:val="32"/>
  </w:num>
  <w:num w:numId="30" w16cid:durableId="714934650">
    <w:abstractNumId w:val="59"/>
  </w:num>
  <w:num w:numId="31" w16cid:durableId="849873331">
    <w:abstractNumId w:val="33"/>
  </w:num>
  <w:num w:numId="32" w16cid:durableId="1292399978">
    <w:abstractNumId w:val="46"/>
  </w:num>
  <w:num w:numId="33" w16cid:durableId="108090362">
    <w:abstractNumId w:val="47"/>
  </w:num>
  <w:num w:numId="34" w16cid:durableId="1774476167">
    <w:abstractNumId w:val="9"/>
  </w:num>
  <w:num w:numId="35" w16cid:durableId="1746950155">
    <w:abstractNumId w:val="6"/>
  </w:num>
  <w:num w:numId="36" w16cid:durableId="316880321">
    <w:abstractNumId w:val="4"/>
  </w:num>
  <w:num w:numId="37" w16cid:durableId="1580552220">
    <w:abstractNumId w:val="2"/>
  </w:num>
  <w:num w:numId="38" w16cid:durableId="1621184673">
    <w:abstractNumId w:val="20"/>
  </w:num>
  <w:num w:numId="39" w16cid:durableId="831991954">
    <w:abstractNumId w:val="43"/>
  </w:num>
  <w:num w:numId="40" w16cid:durableId="1750426858">
    <w:abstractNumId w:val="55"/>
  </w:num>
  <w:num w:numId="41" w16cid:durableId="297534428">
    <w:abstractNumId w:val="39"/>
  </w:num>
  <w:num w:numId="42" w16cid:durableId="24258635">
    <w:abstractNumId w:val="16"/>
  </w:num>
  <w:num w:numId="43" w16cid:durableId="2115778882">
    <w:abstractNumId w:val="57"/>
  </w:num>
  <w:num w:numId="44" w16cid:durableId="204753596">
    <w:abstractNumId w:val="48"/>
  </w:num>
  <w:num w:numId="45" w16cid:durableId="56900469">
    <w:abstractNumId w:val="45"/>
  </w:num>
  <w:num w:numId="46" w16cid:durableId="1195116929">
    <w:abstractNumId w:val="14"/>
  </w:num>
  <w:num w:numId="47" w16cid:durableId="1044990306">
    <w:abstractNumId w:val="42"/>
  </w:num>
  <w:num w:numId="48" w16cid:durableId="1681464632">
    <w:abstractNumId w:val="41"/>
  </w:num>
  <w:num w:numId="49" w16cid:durableId="676008408">
    <w:abstractNumId w:val="62"/>
  </w:num>
  <w:num w:numId="50" w16cid:durableId="878013850">
    <w:abstractNumId w:val="29"/>
  </w:num>
  <w:num w:numId="51" w16cid:durableId="1883978125">
    <w:abstractNumId w:val="53"/>
  </w:num>
  <w:num w:numId="52" w16cid:durableId="771557684">
    <w:abstractNumId w:val="64"/>
  </w:num>
  <w:num w:numId="53" w16cid:durableId="885064216">
    <w:abstractNumId w:val="5"/>
  </w:num>
  <w:num w:numId="54" w16cid:durableId="1996254154">
    <w:abstractNumId w:val="30"/>
  </w:num>
  <w:num w:numId="55" w16cid:durableId="273485675">
    <w:abstractNumId w:val="10"/>
  </w:num>
  <w:num w:numId="56" w16cid:durableId="2110537357">
    <w:abstractNumId w:val="52"/>
  </w:num>
  <w:num w:numId="57" w16cid:durableId="189684316">
    <w:abstractNumId w:val="37"/>
  </w:num>
  <w:num w:numId="58" w16cid:durableId="1628705198">
    <w:abstractNumId w:val="3"/>
  </w:num>
  <w:num w:numId="59" w16cid:durableId="2129622387">
    <w:abstractNumId w:val="63"/>
  </w:num>
  <w:num w:numId="60" w16cid:durableId="1153257336">
    <w:abstractNumId w:val="38"/>
  </w:num>
  <w:num w:numId="61" w16cid:durableId="1321538038">
    <w:abstractNumId w:val="26"/>
  </w:num>
  <w:num w:numId="62" w16cid:durableId="286550239">
    <w:abstractNumId w:val="28"/>
  </w:num>
  <w:num w:numId="63" w16cid:durableId="591398465">
    <w:abstractNumId w:val="34"/>
  </w:num>
  <w:num w:numId="64" w16cid:durableId="236477236">
    <w:abstractNumId w:val="8"/>
  </w:num>
  <w:num w:numId="65" w16cid:durableId="1735204530">
    <w:abstractNumId w:val="40"/>
  </w:num>
  <w:num w:numId="66" w16cid:durableId="1626085903">
    <w:abstractNumId w:val="36"/>
  </w:num>
  <w:num w:numId="67" w16cid:durableId="1093550135">
    <w:abstractNumId w:val="23"/>
  </w:num>
  <w:num w:numId="68" w16cid:durableId="268004206">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20305"/>
    <w:rsid w:val="0002587C"/>
    <w:rsid w:val="000377C6"/>
    <w:rsid w:val="000451D3"/>
    <w:rsid w:val="000534B9"/>
    <w:rsid w:val="00055B71"/>
    <w:rsid w:val="000753B2"/>
    <w:rsid w:val="00075C28"/>
    <w:rsid w:val="000836DD"/>
    <w:rsid w:val="00085BE5"/>
    <w:rsid w:val="00096B53"/>
    <w:rsid w:val="000A1A2D"/>
    <w:rsid w:val="000A378C"/>
    <w:rsid w:val="000A5016"/>
    <w:rsid w:val="000C14CC"/>
    <w:rsid w:val="000C7915"/>
    <w:rsid w:val="000D1B41"/>
    <w:rsid w:val="000E0623"/>
    <w:rsid w:val="000E1557"/>
    <w:rsid w:val="0011781A"/>
    <w:rsid w:val="001239E9"/>
    <w:rsid w:val="0013597E"/>
    <w:rsid w:val="001545C9"/>
    <w:rsid w:val="00160338"/>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E5E1C"/>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43751"/>
    <w:rsid w:val="00243A56"/>
    <w:rsid w:val="0025086A"/>
    <w:rsid w:val="00251977"/>
    <w:rsid w:val="00261A70"/>
    <w:rsid w:val="00263751"/>
    <w:rsid w:val="00267BB5"/>
    <w:rsid w:val="00271CBE"/>
    <w:rsid w:val="00281573"/>
    <w:rsid w:val="00282284"/>
    <w:rsid w:val="002824A2"/>
    <w:rsid w:val="00297B78"/>
    <w:rsid w:val="002A1F15"/>
    <w:rsid w:val="002A4737"/>
    <w:rsid w:val="002B4B97"/>
    <w:rsid w:val="002B61D5"/>
    <w:rsid w:val="002B7D5A"/>
    <w:rsid w:val="002C4003"/>
    <w:rsid w:val="002D1EFB"/>
    <w:rsid w:val="002D5BA6"/>
    <w:rsid w:val="002E061F"/>
    <w:rsid w:val="002E1E30"/>
    <w:rsid w:val="002E31EB"/>
    <w:rsid w:val="002E6840"/>
    <w:rsid w:val="002F37A8"/>
    <w:rsid w:val="00304334"/>
    <w:rsid w:val="003229BC"/>
    <w:rsid w:val="0033204F"/>
    <w:rsid w:val="0033376D"/>
    <w:rsid w:val="00334F90"/>
    <w:rsid w:val="0034799E"/>
    <w:rsid w:val="003523F7"/>
    <w:rsid w:val="0036235B"/>
    <w:rsid w:val="003664E0"/>
    <w:rsid w:val="00366789"/>
    <w:rsid w:val="00367799"/>
    <w:rsid w:val="003775C7"/>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20655"/>
    <w:rsid w:val="00422A8B"/>
    <w:rsid w:val="0042412C"/>
    <w:rsid w:val="00425E03"/>
    <w:rsid w:val="00431ADF"/>
    <w:rsid w:val="0045170C"/>
    <w:rsid w:val="00454A3C"/>
    <w:rsid w:val="0046721F"/>
    <w:rsid w:val="00467874"/>
    <w:rsid w:val="00473011"/>
    <w:rsid w:val="00475BF7"/>
    <w:rsid w:val="00476D16"/>
    <w:rsid w:val="00495502"/>
    <w:rsid w:val="004B0850"/>
    <w:rsid w:val="004B5180"/>
    <w:rsid w:val="004C0294"/>
    <w:rsid w:val="004C3576"/>
    <w:rsid w:val="004C709F"/>
    <w:rsid w:val="004C7DCF"/>
    <w:rsid w:val="004D16E6"/>
    <w:rsid w:val="004F311F"/>
    <w:rsid w:val="004F327F"/>
    <w:rsid w:val="00503D7C"/>
    <w:rsid w:val="0051154E"/>
    <w:rsid w:val="00513514"/>
    <w:rsid w:val="00515E9D"/>
    <w:rsid w:val="00521F38"/>
    <w:rsid w:val="0052583C"/>
    <w:rsid w:val="0052591D"/>
    <w:rsid w:val="0053045A"/>
    <w:rsid w:val="005334BB"/>
    <w:rsid w:val="00536C49"/>
    <w:rsid w:val="00542E04"/>
    <w:rsid w:val="005441CA"/>
    <w:rsid w:val="00557219"/>
    <w:rsid w:val="0057243F"/>
    <w:rsid w:val="00573991"/>
    <w:rsid w:val="005770DB"/>
    <w:rsid w:val="005975EE"/>
    <w:rsid w:val="0059776B"/>
    <w:rsid w:val="005A54BC"/>
    <w:rsid w:val="005B46CB"/>
    <w:rsid w:val="005C33F3"/>
    <w:rsid w:val="005D080C"/>
    <w:rsid w:val="005D1C02"/>
    <w:rsid w:val="005D280A"/>
    <w:rsid w:val="005D38FA"/>
    <w:rsid w:val="005F2003"/>
    <w:rsid w:val="005F41D2"/>
    <w:rsid w:val="005F4706"/>
    <w:rsid w:val="005F4C56"/>
    <w:rsid w:val="005F7219"/>
    <w:rsid w:val="00600DA7"/>
    <w:rsid w:val="00602197"/>
    <w:rsid w:val="00605D1C"/>
    <w:rsid w:val="00610090"/>
    <w:rsid w:val="006166B1"/>
    <w:rsid w:val="00624F93"/>
    <w:rsid w:val="006272A9"/>
    <w:rsid w:val="00632EAC"/>
    <w:rsid w:val="00633898"/>
    <w:rsid w:val="0064646F"/>
    <w:rsid w:val="0067285B"/>
    <w:rsid w:val="006A46F9"/>
    <w:rsid w:val="006C4396"/>
    <w:rsid w:val="006D5449"/>
    <w:rsid w:val="006E3368"/>
    <w:rsid w:val="006E5D09"/>
    <w:rsid w:val="006E6324"/>
    <w:rsid w:val="006F0F35"/>
    <w:rsid w:val="007004D7"/>
    <w:rsid w:val="0070353A"/>
    <w:rsid w:val="00715AE9"/>
    <w:rsid w:val="00715E8A"/>
    <w:rsid w:val="00720D06"/>
    <w:rsid w:val="00733CC4"/>
    <w:rsid w:val="007536C6"/>
    <w:rsid w:val="00764668"/>
    <w:rsid w:val="00764869"/>
    <w:rsid w:val="0077036E"/>
    <w:rsid w:val="007749A0"/>
    <w:rsid w:val="00776F9D"/>
    <w:rsid w:val="00785E76"/>
    <w:rsid w:val="007A262B"/>
    <w:rsid w:val="007A3149"/>
    <w:rsid w:val="007A3711"/>
    <w:rsid w:val="007A3A3A"/>
    <w:rsid w:val="007A4576"/>
    <w:rsid w:val="007B186A"/>
    <w:rsid w:val="007C01E4"/>
    <w:rsid w:val="0080343C"/>
    <w:rsid w:val="00803A94"/>
    <w:rsid w:val="00807F5E"/>
    <w:rsid w:val="00820445"/>
    <w:rsid w:val="008367A0"/>
    <w:rsid w:val="00854F04"/>
    <w:rsid w:val="00874B20"/>
    <w:rsid w:val="00883144"/>
    <w:rsid w:val="00893F70"/>
    <w:rsid w:val="00895FAA"/>
    <w:rsid w:val="00896FEE"/>
    <w:rsid w:val="0089753C"/>
    <w:rsid w:val="008B1DD6"/>
    <w:rsid w:val="008B3346"/>
    <w:rsid w:val="008C4A21"/>
    <w:rsid w:val="008E7327"/>
    <w:rsid w:val="008E7E40"/>
    <w:rsid w:val="008F078F"/>
    <w:rsid w:val="008F0836"/>
    <w:rsid w:val="008F4769"/>
    <w:rsid w:val="008F4FD5"/>
    <w:rsid w:val="00900075"/>
    <w:rsid w:val="00920B80"/>
    <w:rsid w:val="00920BEE"/>
    <w:rsid w:val="00921701"/>
    <w:rsid w:val="0092630F"/>
    <w:rsid w:val="00933EFC"/>
    <w:rsid w:val="00942EC8"/>
    <w:rsid w:val="00944FF0"/>
    <w:rsid w:val="00952034"/>
    <w:rsid w:val="009804F1"/>
    <w:rsid w:val="009852CA"/>
    <w:rsid w:val="009852D9"/>
    <w:rsid w:val="0098672F"/>
    <w:rsid w:val="00995701"/>
    <w:rsid w:val="009A0DC1"/>
    <w:rsid w:val="009B4B2F"/>
    <w:rsid w:val="009C3B9A"/>
    <w:rsid w:val="009D0D3D"/>
    <w:rsid w:val="009D2978"/>
    <w:rsid w:val="009E49AE"/>
    <w:rsid w:val="00A04E33"/>
    <w:rsid w:val="00A05A7D"/>
    <w:rsid w:val="00A14400"/>
    <w:rsid w:val="00A14D53"/>
    <w:rsid w:val="00A20192"/>
    <w:rsid w:val="00A379B8"/>
    <w:rsid w:val="00A42E3E"/>
    <w:rsid w:val="00A533CE"/>
    <w:rsid w:val="00A57C50"/>
    <w:rsid w:val="00A65D6A"/>
    <w:rsid w:val="00A71FDE"/>
    <w:rsid w:val="00A732CE"/>
    <w:rsid w:val="00A82064"/>
    <w:rsid w:val="00A87563"/>
    <w:rsid w:val="00AA2056"/>
    <w:rsid w:val="00AB1DAB"/>
    <w:rsid w:val="00AE6A1F"/>
    <w:rsid w:val="00B058DA"/>
    <w:rsid w:val="00B06B44"/>
    <w:rsid w:val="00B13029"/>
    <w:rsid w:val="00B13411"/>
    <w:rsid w:val="00B21C66"/>
    <w:rsid w:val="00B24F54"/>
    <w:rsid w:val="00B35CCE"/>
    <w:rsid w:val="00B40BA7"/>
    <w:rsid w:val="00B41B89"/>
    <w:rsid w:val="00B434A1"/>
    <w:rsid w:val="00B55977"/>
    <w:rsid w:val="00B62E1E"/>
    <w:rsid w:val="00B64CF6"/>
    <w:rsid w:val="00B851F8"/>
    <w:rsid w:val="00B90610"/>
    <w:rsid w:val="00BB7268"/>
    <w:rsid w:val="00BF3D92"/>
    <w:rsid w:val="00C048D9"/>
    <w:rsid w:val="00C077D9"/>
    <w:rsid w:val="00C20B78"/>
    <w:rsid w:val="00C25390"/>
    <w:rsid w:val="00C32464"/>
    <w:rsid w:val="00C33378"/>
    <w:rsid w:val="00C33BE2"/>
    <w:rsid w:val="00C34AC0"/>
    <w:rsid w:val="00C45EFE"/>
    <w:rsid w:val="00C55D53"/>
    <w:rsid w:val="00C72B94"/>
    <w:rsid w:val="00C72D78"/>
    <w:rsid w:val="00C85114"/>
    <w:rsid w:val="00C91137"/>
    <w:rsid w:val="00C913B3"/>
    <w:rsid w:val="00C93621"/>
    <w:rsid w:val="00CA7A0A"/>
    <w:rsid w:val="00CD3AF0"/>
    <w:rsid w:val="00CE033F"/>
    <w:rsid w:val="00CE1724"/>
    <w:rsid w:val="00CE7883"/>
    <w:rsid w:val="00CF0222"/>
    <w:rsid w:val="00CF40E1"/>
    <w:rsid w:val="00CF7C26"/>
    <w:rsid w:val="00D07797"/>
    <w:rsid w:val="00D314DB"/>
    <w:rsid w:val="00D357E9"/>
    <w:rsid w:val="00D41E24"/>
    <w:rsid w:val="00D447EB"/>
    <w:rsid w:val="00D44A3B"/>
    <w:rsid w:val="00D50BEA"/>
    <w:rsid w:val="00D652E1"/>
    <w:rsid w:val="00D6578E"/>
    <w:rsid w:val="00D707B6"/>
    <w:rsid w:val="00D71303"/>
    <w:rsid w:val="00D84B77"/>
    <w:rsid w:val="00D9136D"/>
    <w:rsid w:val="00D913B2"/>
    <w:rsid w:val="00D97B74"/>
    <w:rsid w:val="00DA5CC7"/>
    <w:rsid w:val="00DB00F2"/>
    <w:rsid w:val="00DB5165"/>
    <w:rsid w:val="00DC1553"/>
    <w:rsid w:val="00DC5B1E"/>
    <w:rsid w:val="00DC7B65"/>
    <w:rsid w:val="00DD1C62"/>
    <w:rsid w:val="00DE1076"/>
    <w:rsid w:val="00DF1F28"/>
    <w:rsid w:val="00E169F8"/>
    <w:rsid w:val="00E17A82"/>
    <w:rsid w:val="00E410FD"/>
    <w:rsid w:val="00E417BB"/>
    <w:rsid w:val="00E41E2D"/>
    <w:rsid w:val="00E451B0"/>
    <w:rsid w:val="00E55995"/>
    <w:rsid w:val="00E55C39"/>
    <w:rsid w:val="00E66A7C"/>
    <w:rsid w:val="00E67B3E"/>
    <w:rsid w:val="00E7022B"/>
    <w:rsid w:val="00E74E08"/>
    <w:rsid w:val="00E75AC9"/>
    <w:rsid w:val="00EA26BB"/>
    <w:rsid w:val="00EA7CA1"/>
    <w:rsid w:val="00EB72C1"/>
    <w:rsid w:val="00EC18C3"/>
    <w:rsid w:val="00EC46A1"/>
    <w:rsid w:val="00EC69E6"/>
    <w:rsid w:val="00ED338C"/>
    <w:rsid w:val="00ED6E54"/>
    <w:rsid w:val="00EE03A0"/>
    <w:rsid w:val="00EE29E2"/>
    <w:rsid w:val="00EE468D"/>
    <w:rsid w:val="00EF1EFC"/>
    <w:rsid w:val="00EF2884"/>
    <w:rsid w:val="00F023A4"/>
    <w:rsid w:val="00F04881"/>
    <w:rsid w:val="00F07FD9"/>
    <w:rsid w:val="00F14B6C"/>
    <w:rsid w:val="00F15AED"/>
    <w:rsid w:val="00F230FA"/>
    <w:rsid w:val="00F23C85"/>
    <w:rsid w:val="00F26534"/>
    <w:rsid w:val="00F27842"/>
    <w:rsid w:val="00F30294"/>
    <w:rsid w:val="00F331D4"/>
    <w:rsid w:val="00F43783"/>
    <w:rsid w:val="00F45612"/>
    <w:rsid w:val="00F609F8"/>
    <w:rsid w:val="00F71A96"/>
    <w:rsid w:val="00F727B5"/>
    <w:rsid w:val="00F96D74"/>
    <w:rsid w:val="00FA1D2C"/>
    <w:rsid w:val="00FB321B"/>
    <w:rsid w:val="00FB4DBA"/>
    <w:rsid w:val="00FC2718"/>
    <w:rsid w:val="00FC5907"/>
    <w:rsid w:val="00FD0EDC"/>
    <w:rsid w:val="00FD1272"/>
    <w:rsid w:val="00FD486D"/>
    <w:rsid w:val="00FD4D56"/>
    <w:rsid w:val="00FD703E"/>
    <w:rsid w:val="00FE1D6D"/>
    <w:rsid w:val="00FE552B"/>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paragraph" w:customStyle="1" w:styleId="Default">
    <w:name w:val="Default"/>
    <w:rsid w:val="00764869"/>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83&amp;bron=doc" TargetMode="External"/><Relationship Id="rId39"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http://www.mercatus.be/secure/documentview.aspx?id=lf190813&amp;anchor=lf190813-43&amp;bron=doc" TargetMode="External"/><Relationship Id="rId34" Type="http://schemas.openxmlformats.org/officeDocument/2006/relationships/image" Target="media/image2.emf"/><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55&amp;bron=doc" TargetMode="External"/><Relationship Id="rId33" Type="http://schemas.openxmlformats.org/officeDocument/2006/relationships/hyperlink" Target="mailto:info.cdcdck@minfin.fed.be"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mailto:procurement.cod@enabel.be" TargetMode="External"/><Relationship Id="rId20" Type="http://schemas.openxmlformats.org/officeDocument/2006/relationships/hyperlink" Target="http://www.mercatus.be/secure/documentview.aspx?id=lf190813&amp;anchor=lf190813-42&amp;bron=doc" TargetMode="External"/><Relationship Id="rId2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rcatus.be/secure/documentview.aspx?id=lf190813&amp;anchor=lf190813-54&amp;bron=doc" TargetMode="External"/><Relationship Id="rId32" Type="http://schemas.openxmlformats.org/officeDocument/2006/relationships/hyperlink" Target="https://finances.belgium.be/sites/default/files/01_marche_public.pdf" TargetMode="External"/><Relationship Id="rId37" Type="http://schemas.openxmlformats.org/officeDocument/2006/relationships/footer" Target="footer3.xm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http://www.mercatus.be/secure/documentview.aspx?id=lf190813&amp;anchor=lf190813-48&amp;bron=doc" TargetMode="External"/><Relationship Id="rId28" Type="http://schemas.openxmlformats.org/officeDocument/2006/relationships/hyperlink" Target="http://www.mercatus.be/secure/documentview.aspx?id=lf182396&amp;anchor=lf182396-14&amp;bron=doc"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rcatus.be/secure/documentview.aspx?id=lf190813&amp;anchor=lf190813-38&amp;bron=doc" TargetMode="External"/><Relationship Id="rId31" Type="http://schemas.openxmlformats.org/officeDocument/2006/relationships/hyperlink" Target="mailto:luc.demeester@enabel.be"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rcatus.be/secure/documentview.aspx?id=lf190813&amp;anchor=lf190813-44&amp;bron=doc" TargetMode="External"/><Relationship Id="rId27" Type="http://schemas.openxmlformats.org/officeDocument/2006/relationships/hyperlink" Target="http://www.mercatus.be/secure/documentview.aspx?id=lf190813&amp;anchor=lf190813-92&amp;bron=doc" TargetMode="External"/><Relationship Id="rId3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5" Type="http://schemas.openxmlformats.org/officeDocument/2006/relationships/package" Target="embeddings/Microsoft_PowerPoint_Slide.sldx"/><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CODENABEL-1382660127-39612</_dlc_DocId>
    <_dlc_DocIdUrl xmlns="508ba6eb-9e09-4fd5-92f2-2d9921329f2d">
      <Url>https://enabelbe.sharepoint.com/sites/COD/_layouts/15/DocIdRedir.aspx?ID=CODENABEL-1382660127-39612</Url>
      <Description>CODENABEL-1382660127-39612</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COD2299611SH6-10012</TermName>
          <TermId xmlns="http://schemas.microsoft.com/office/infopath/2007/PartnerControls">82daea74-6379-4553-be31-40cc14a4f1ac</TermId>
        </TermInfo>
      </Terms>
    </l9d65098618b4a8fbbe87718e7187e6b>
  </documentManagement>
</p:properties>
</file>

<file path=customXml/itemProps1.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2.xml><?xml version="1.0" encoding="utf-8"?>
<ds:datastoreItem xmlns:ds="http://schemas.openxmlformats.org/officeDocument/2006/customXml" ds:itemID="{DE63F71F-9705-4350-9BD3-A99946650B1A}"/>
</file>

<file path=customXml/itemProps3.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4.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10</TotalTime>
  <Pages>69</Pages>
  <Words>24383</Words>
  <Characters>134109</Characters>
  <Application>Microsoft Office Word</Application>
  <DocSecurity>0</DocSecurity>
  <Lines>1117</Lines>
  <Paragraphs>316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2</cp:revision>
  <cp:lastPrinted>2018-01-17T22:52:00Z</cp:lastPrinted>
  <dcterms:created xsi:type="dcterms:W3CDTF">2023-11-07T10:24:00Z</dcterms:created>
  <dcterms:modified xsi:type="dcterms:W3CDTF">2023-11-07T10:24:00Z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b549a401-31ca-4d4b-9e1a-1775a5e7f25d</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ENABEL_Service">
    <vt:lpwstr/>
  </property>
  <property fmtid="{D5CDD505-2E9C-101B-9397-08002B2CF9AE}" pid="21" name="Document_Language">
    <vt:lpwstr>7</vt:lpwstr>
  </property>
  <property fmtid="{D5CDD505-2E9C-101B-9397-08002B2CF9AE}" pid="22" name="Country">
    <vt:i4>1</vt:i4>
  </property>
  <property fmtid="{D5CDD505-2E9C-101B-9397-08002B2CF9AE}" pid="23" name="Contract_reference">
    <vt:lpwstr>497</vt:lpwstr>
  </property>
  <property fmtid="{D5CDD505-2E9C-101B-9397-08002B2CF9AE}" pid="24" name="Project_code">
    <vt:lpwstr>424</vt:lpwstr>
  </property>
</Properties>
</file>