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5FBD90EB" w14:textId="77777777" w:rsidR="00C06A66" w:rsidRDefault="00C06A66" w:rsidP="00C06A66">
      <w:r>
        <w:rPr>
          <w:noProof/>
        </w:rPr>
        <mc:AlternateContent>
          <mc:Choice Requires="wps">
            <w:drawing>
              <wp:anchor distT="0" distB="0" distL="114300" distR="114300" simplePos="0" relativeHeight="251659264" behindDoc="0" locked="1" layoutInCell="1" allowOverlap="1" wp14:anchorId="61828B1F" wp14:editId="54F44FFB">
                <wp:simplePos x="0" y="0"/>
                <wp:positionH relativeFrom="column">
                  <wp:posOffset>-281305</wp:posOffset>
                </wp:positionH>
                <wp:positionV relativeFrom="page">
                  <wp:posOffset>3078480</wp:posOffset>
                </wp:positionV>
                <wp:extent cx="412242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2272030"/>
                        </a:xfrm>
                        <a:prstGeom prst="rect">
                          <a:avLst/>
                        </a:prstGeom>
                        <a:solidFill>
                          <a:sysClr val="window" lastClr="FFFFFF"/>
                        </a:solidFill>
                        <a:ln w="6350">
                          <a:noFill/>
                        </a:ln>
                        <a:effectLst/>
                      </wps:spPr>
                      <wps:txbx>
                        <w:txbxContent>
                          <w:p w14:paraId="162FED2E" w14:textId="77777777" w:rsidR="00302E01" w:rsidRDefault="00870957" w:rsidP="00870957">
                            <w:pPr>
                              <w:autoSpaceDE w:val="0"/>
                              <w:autoSpaceDN w:val="0"/>
                              <w:adjustRightInd w:val="0"/>
                              <w:spacing w:after="0" w:line="240" w:lineRule="auto"/>
                              <w:rPr>
                                <w:rFonts w:cs="Calibri"/>
                                <w:b/>
                                <w:bCs/>
                                <w:sz w:val="28"/>
                                <w:szCs w:val="28"/>
                                <w:lang w:val="fr-BI"/>
                              </w:rPr>
                            </w:pPr>
                            <w:r w:rsidRPr="003E67A6">
                              <w:rPr>
                                <w:rFonts w:eastAsia="Calibri" w:cs="Times New Roman"/>
                                <w:b/>
                                <w:bCs/>
                                <w:sz w:val="28"/>
                                <w:szCs w:val="28"/>
                              </w:rPr>
                              <w:t>ADDENDUM N° 1 AU CAHIER SPECIAL DES CHARGES  2108BDI-10074_</w:t>
                            </w:r>
                            <w:r w:rsidRPr="003E67A6">
                              <w:rPr>
                                <w:rFonts w:cs="Calibri"/>
                                <w:b/>
                                <w:bCs/>
                                <w:sz w:val="28"/>
                                <w:szCs w:val="28"/>
                                <w:lang w:val="fr-BI"/>
                              </w:rPr>
                              <w:t xml:space="preserve">MARCHÉ DE SERVICES RELATIF À </w:t>
                            </w:r>
                          </w:p>
                          <w:p w14:paraId="0E6102D1" w14:textId="145EDC23" w:rsidR="00870957" w:rsidRPr="003E67A6" w:rsidRDefault="00870957" w:rsidP="00870957">
                            <w:pPr>
                              <w:autoSpaceDE w:val="0"/>
                              <w:autoSpaceDN w:val="0"/>
                              <w:adjustRightInd w:val="0"/>
                              <w:spacing w:after="0" w:line="240" w:lineRule="auto"/>
                              <w:rPr>
                                <w:b/>
                                <w:bCs/>
                                <w:sz w:val="28"/>
                                <w:szCs w:val="28"/>
                                <w:lang w:val="fr-BI"/>
                              </w:rPr>
                            </w:pPr>
                            <w:proofErr w:type="gramStart"/>
                            <w:r w:rsidRPr="003E67A6">
                              <w:rPr>
                                <w:rFonts w:cs="Calibri"/>
                                <w:b/>
                                <w:bCs/>
                                <w:sz w:val="28"/>
                                <w:szCs w:val="28"/>
                                <w:lang w:val="fr-BI"/>
                              </w:rPr>
                              <w:t>L’ «</w:t>
                            </w:r>
                            <w:proofErr w:type="gramEnd"/>
                            <w:r w:rsidRPr="003E67A6">
                              <w:rPr>
                                <w:rFonts w:cs="Calibri"/>
                                <w:b/>
                                <w:bCs/>
                                <w:sz w:val="28"/>
                                <w:szCs w:val="28"/>
                                <w:lang w:val="fr-BI"/>
                              </w:rPr>
                              <w:t xml:space="preserve"> </w:t>
                            </w:r>
                            <w:r>
                              <w:rPr>
                                <w:rFonts w:cs="Calibri"/>
                                <w:b/>
                                <w:bCs/>
                                <w:sz w:val="28"/>
                                <w:szCs w:val="28"/>
                                <w:lang w:val="fr-FR"/>
                              </w:rPr>
                              <w:t>A</w:t>
                            </w:r>
                            <w:r w:rsidRPr="003E67A6">
                              <w:rPr>
                                <w:rFonts w:cs="Calibri"/>
                                <w:b/>
                                <w:bCs/>
                                <w:sz w:val="28"/>
                                <w:szCs w:val="28"/>
                                <w:lang w:val="fr-BI"/>
                              </w:rPr>
                              <w:t>SSURANCE</w:t>
                            </w:r>
                            <w:r w:rsidRPr="003E67A6">
                              <w:rPr>
                                <w:rFonts w:cs="Calibri"/>
                                <w:b/>
                                <w:bCs/>
                                <w:sz w:val="28"/>
                                <w:szCs w:val="28"/>
                                <w:lang w:val="fr-FR"/>
                              </w:rPr>
                              <w:t xml:space="preserve"> </w:t>
                            </w:r>
                            <w:r w:rsidRPr="003E67A6">
                              <w:rPr>
                                <w:b/>
                                <w:bCs/>
                                <w:sz w:val="28"/>
                                <w:szCs w:val="28"/>
                                <w:lang w:val="fr-BI"/>
                              </w:rPr>
                              <w:t>MULTIRISQUE DES VÉHICULES D’ENABEL AU BURUNDI ».</w:t>
                            </w:r>
                          </w:p>
                          <w:p w14:paraId="3AB5B36A" w14:textId="77777777" w:rsidR="00870957" w:rsidRPr="003E67A6" w:rsidRDefault="00870957" w:rsidP="00870957">
                            <w:pPr>
                              <w:autoSpaceDE w:val="0"/>
                              <w:autoSpaceDN w:val="0"/>
                              <w:adjustRightInd w:val="0"/>
                              <w:spacing w:after="0" w:line="240" w:lineRule="auto"/>
                              <w:rPr>
                                <w:b/>
                                <w:spacing w:val="-3"/>
                                <w:sz w:val="28"/>
                                <w:szCs w:val="28"/>
                                <w:u w:val="single"/>
                              </w:rPr>
                            </w:pPr>
                          </w:p>
                          <w:p w14:paraId="32207460" w14:textId="77777777" w:rsidR="00195DB0" w:rsidRDefault="00195DB0" w:rsidP="00C06A66">
                            <w:pPr>
                              <w:pStyle w:val="Titrecouverture"/>
                              <w:rPr>
                                <w:sz w:val="36"/>
                              </w:rPr>
                            </w:pPr>
                          </w:p>
                          <w:p w14:paraId="221D6549" w14:textId="1AB52ADE" w:rsidR="00195DB0" w:rsidRPr="00333023" w:rsidRDefault="00195DB0" w:rsidP="00C06A66">
                            <w:pPr>
                              <w:pStyle w:val="Titrecouverture"/>
                              <w:rPr>
                                <w:b/>
                                <w:bCs/>
                                <w:color w:val="auto"/>
                                <w:sz w:val="24"/>
                                <w:szCs w:val="24"/>
                              </w:rPr>
                            </w:pPr>
                            <w:r w:rsidRPr="00333023">
                              <w:rPr>
                                <w:b/>
                                <w:bCs/>
                                <w:color w:val="auto"/>
                                <w:sz w:val="24"/>
                                <w:szCs w:val="24"/>
                              </w:rPr>
                              <w:t xml:space="preserve">Code Navision : </w:t>
                            </w:r>
                            <w:r w:rsidR="0061604C">
                              <w:rPr>
                                <w:b/>
                                <w:bCs/>
                                <w:color w:val="auto"/>
                                <w:sz w:val="24"/>
                                <w:szCs w:val="24"/>
                              </w:rPr>
                              <w:t>2108BDI</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proofErr w:type="gramStart"/>
                            <w:r>
                              <w:rPr>
                                <w:sz w:val="24"/>
                                <w:szCs w:val="24"/>
                              </w:rPr>
                              <w:t>²</w:t>
                            </w:r>
                            <w:proofErr w:type="gramEnd"/>
                            <w:r>
                              <w:rPr>
                                <w:sz w:val="24"/>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4pt;width:324.6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" fillcolor="window" stroked="f" strokeweight=".5pt">
                <v:textbox>
                  <w:txbxContent>
                    <w:p w14:paraId="162FED2E" w14:textId="77777777" w:rsidR="00302E01" w:rsidRDefault="00870957" w:rsidP="00870957">
                      <w:pPr>
                        <w:autoSpaceDE w:val="0"/>
                        <w:autoSpaceDN w:val="0"/>
                        <w:adjustRightInd w:val="0"/>
                        <w:spacing w:after="0" w:line="240" w:lineRule="auto"/>
                        <w:rPr>
                          <w:rFonts w:cs="Calibri"/>
                          <w:b/>
                          <w:bCs/>
                          <w:sz w:val="28"/>
                          <w:szCs w:val="28"/>
                          <w:lang w:val="fr-BI"/>
                        </w:rPr>
                      </w:pPr>
                      <w:r w:rsidRPr="003E67A6">
                        <w:rPr>
                          <w:rFonts w:eastAsia="Calibri" w:cs="Times New Roman"/>
                          <w:b/>
                          <w:bCs/>
                          <w:sz w:val="28"/>
                          <w:szCs w:val="28"/>
                        </w:rPr>
                        <w:t>ADDENDUM N° 1 AU CAHIER SPECIAL DES CHARGES  2108BDI-10074_</w:t>
                      </w:r>
                      <w:r w:rsidRPr="003E67A6">
                        <w:rPr>
                          <w:rFonts w:cs="Calibri"/>
                          <w:b/>
                          <w:bCs/>
                          <w:sz w:val="28"/>
                          <w:szCs w:val="28"/>
                          <w:lang w:val="fr-BI"/>
                        </w:rPr>
                        <w:t xml:space="preserve">MARCHÉ DE SERVICES RELATIF À </w:t>
                      </w:r>
                    </w:p>
                    <w:p w14:paraId="0E6102D1" w14:textId="145EDC23" w:rsidR="00870957" w:rsidRPr="003E67A6" w:rsidRDefault="00870957" w:rsidP="00870957">
                      <w:pPr>
                        <w:autoSpaceDE w:val="0"/>
                        <w:autoSpaceDN w:val="0"/>
                        <w:adjustRightInd w:val="0"/>
                        <w:spacing w:after="0" w:line="240" w:lineRule="auto"/>
                        <w:rPr>
                          <w:b/>
                          <w:bCs/>
                          <w:sz w:val="28"/>
                          <w:szCs w:val="28"/>
                          <w:lang w:val="fr-BI"/>
                        </w:rPr>
                      </w:pPr>
                      <w:proofErr w:type="gramStart"/>
                      <w:r w:rsidRPr="003E67A6">
                        <w:rPr>
                          <w:rFonts w:cs="Calibri"/>
                          <w:b/>
                          <w:bCs/>
                          <w:sz w:val="28"/>
                          <w:szCs w:val="28"/>
                          <w:lang w:val="fr-BI"/>
                        </w:rPr>
                        <w:t>L’ «</w:t>
                      </w:r>
                      <w:proofErr w:type="gramEnd"/>
                      <w:r w:rsidRPr="003E67A6">
                        <w:rPr>
                          <w:rFonts w:cs="Calibri"/>
                          <w:b/>
                          <w:bCs/>
                          <w:sz w:val="28"/>
                          <w:szCs w:val="28"/>
                          <w:lang w:val="fr-BI"/>
                        </w:rPr>
                        <w:t xml:space="preserve"> </w:t>
                      </w:r>
                      <w:r>
                        <w:rPr>
                          <w:rFonts w:cs="Calibri"/>
                          <w:b/>
                          <w:bCs/>
                          <w:sz w:val="28"/>
                          <w:szCs w:val="28"/>
                          <w:lang w:val="fr-FR"/>
                        </w:rPr>
                        <w:t>A</w:t>
                      </w:r>
                      <w:r w:rsidRPr="003E67A6">
                        <w:rPr>
                          <w:rFonts w:cs="Calibri"/>
                          <w:b/>
                          <w:bCs/>
                          <w:sz w:val="28"/>
                          <w:szCs w:val="28"/>
                          <w:lang w:val="fr-BI"/>
                        </w:rPr>
                        <w:t>SSURANCE</w:t>
                      </w:r>
                      <w:r w:rsidRPr="003E67A6">
                        <w:rPr>
                          <w:rFonts w:cs="Calibri"/>
                          <w:b/>
                          <w:bCs/>
                          <w:sz w:val="28"/>
                          <w:szCs w:val="28"/>
                          <w:lang w:val="fr-FR"/>
                        </w:rPr>
                        <w:t xml:space="preserve"> </w:t>
                      </w:r>
                      <w:r w:rsidRPr="003E67A6">
                        <w:rPr>
                          <w:b/>
                          <w:bCs/>
                          <w:sz w:val="28"/>
                          <w:szCs w:val="28"/>
                          <w:lang w:val="fr-BI"/>
                        </w:rPr>
                        <w:t>MULTIRISQUE DES VÉHICULES D’ENABEL AU BURUNDI ».</w:t>
                      </w:r>
                    </w:p>
                    <w:p w14:paraId="3AB5B36A" w14:textId="77777777" w:rsidR="00870957" w:rsidRPr="003E67A6" w:rsidRDefault="00870957" w:rsidP="00870957">
                      <w:pPr>
                        <w:autoSpaceDE w:val="0"/>
                        <w:autoSpaceDN w:val="0"/>
                        <w:adjustRightInd w:val="0"/>
                        <w:spacing w:after="0" w:line="240" w:lineRule="auto"/>
                        <w:rPr>
                          <w:b/>
                          <w:spacing w:val="-3"/>
                          <w:sz w:val="28"/>
                          <w:szCs w:val="28"/>
                          <w:u w:val="single"/>
                        </w:rPr>
                      </w:pPr>
                    </w:p>
                    <w:p w14:paraId="32207460" w14:textId="77777777" w:rsidR="00195DB0" w:rsidRDefault="00195DB0" w:rsidP="00C06A66">
                      <w:pPr>
                        <w:pStyle w:val="Titrecouverture"/>
                        <w:rPr>
                          <w:sz w:val="36"/>
                        </w:rPr>
                      </w:pPr>
                    </w:p>
                    <w:p w14:paraId="221D6549" w14:textId="1AB52ADE" w:rsidR="00195DB0" w:rsidRPr="00333023" w:rsidRDefault="00195DB0" w:rsidP="00C06A66">
                      <w:pPr>
                        <w:pStyle w:val="Titrecouverture"/>
                        <w:rPr>
                          <w:b/>
                          <w:bCs/>
                          <w:color w:val="auto"/>
                          <w:sz w:val="24"/>
                          <w:szCs w:val="24"/>
                        </w:rPr>
                      </w:pPr>
                      <w:r w:rsidRPr="00333023">
                        <w:rPr>
                          <w:b/>
                          <w:bCs/>
                          <w:color w:val="auto"/>
                          <w:sz w:val="24"/>
                          <w:szCs w:val="24"/>
                        </w:rPr>
                        <w:t xml:space="preserve">Code Navision : </w:t>
                      </w:r>
                      <w:r w:rsidR="0061604C">
                        <w:rPr>
                          <w:b/>
                          <w:bCs/>
                          <w:color w:val="auto"/>
                          <w:sz w:val="24"/>
                          <w:szCs w:val="24"/>
                        </w:rPr>
                        <w:t>2108BDI</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proofErr w:type="gramStart"/>
                      <w:r>
                        <w:rPr>
                          <w:sz w:val="24"/>
                          <w:szCs w:val="24"/>
                        </w:rPr>
                        <w:t>²</w:t>
                      </w:r>
                      <w:proofErr w:type="gramEnd"/>
                      <w:r>
                        <w:rPr>
                          <w:sz w:val="24"/>
                          <w:szCs w:val="24"/>
                        </w:rPr>
                        <w:tab/>
                        <w:t xml:space="preserve">  </w:t>
                      </w:r>
                    </w:p>
                  </w:txbxContent>
                </v:textbox>
                <w10:wrap anchory="page"/>
                <w10:anchorlock/>
              </v:shape>
            </w:pict>
          </mc:Fallback>
        </mc:AlternateContent>
      </w:r>
    </w:p>
    <w:p w14:paraId="3F2543EC" w14:textId="77777777" w:rsidR="008F14C2" w:rsidRPr="008F14C2" w:rsidRDefault="008F14C2" w:rsidP="008F14C2"/>
    <w:p w14:paraId="3838C730" w14:textId="77777777" w:rsidR="008F14C2" w:rsidRPr="008F14C2" w:rsidRDefault="008F14C2" w:rsidP="008F14C2"/>
    <w:p w14:paraId="7041F8D6" w14:textId="77777777" w:rsidR="008F14C2" w:rsidRPr="008F14C2" w:rsidRDefault="008F14C2" w:rsidP="008F14C2"/>
    <w:p w14:paraId="0B2DB856" w14:textId="77777777" w:rsidR="008F14C2" w:rsidRPr="008F14C2" w:rsidRDefault="008F14C2" w:rsidP="008F14C2"/>
    <w:p w14:paraId="10D12ADF" w14:textId="77777777" w:rsidR="008F14C2" w:rsidRPr="008F14C2" w:rsidRDefault="008F14C2" w:rsidP="008F14C2"/>
    <w:p w14:paraId="4984ED99" w14:textId="77777777" w:rsidR="008F14C2" w:rsidRPr="008F14C2" w:rsidRDefault="008F14C2" w:rsidP="008F14C2"/>
    <w:p w14:paraId="7864853A" w14:textId="77777777" w:rsidR="008F14C2" w:rsidRPr="008F14C2" w:rsidRDefault="008F14C2" w:rsidP="008F14C2"/>
    <w:p w14:paraId="225C092E" w14:textId="77777777" w:rsidR="008F14C2" w:rsidRDefault="008F14C2" w:rsidP="008F14C2"/>
    <w:p w14:paraId="7EA460DB" w14:textId="77777777" w:rsidR="008F14C2" w:rsidRPr="008F14C2" w:rsidRDefault="008F14C2" w:rsidP="008F14C2"/>
    <w:p w14:paraId="2FB64F2E" w14:textId="1D2767AC" w:rsidR="008F14C2" w:rsidRDefault="008F14C2" w:rsidP="008F14C2">
      <w:pPr>
        <w:ind w:firstLine="708"/>
      </w:pPr>
    </w:p>
    <w:p w14:paraId="62FF9D0E" w14:textId="77777777" w:rsidR="008F14C2" w:rsidRPr="00047B90" w:rsidRDefault="008F14C2" w:rsidP="008F14C2">
      <w:pPr>
        <w:jc w:val="center"/>
        <w:rPr>
          <w:rFonts w:ascii="Arial Black" w:hAnsi="Arial Black" w:cs="Arial Black"/>
          <w:b/>
          <w:bCs/>
          <w:i/>
          <w:iCs/>
          <w:sz w:val="28"/>
          <w:szCs w:val="28"/>
        </w:rPr>
      </w:pPr>
    </w:p>
    <w:p w14:paraId="0BC0F0BA" w14:textId="77777777" w:rsidR="008F14C2" w:rsidRDefault="008F14C2" w:rsidP="008F14C2">
      <w:pPr>
        <w:ind w:firstLine="708"/>
      </w:pPr>
    </w:p>
    <w:p w14:paraId="5CF0CE4E" w14:textId="77777777" w:rsidR="008F14C2" w:rsidRDefault="008F14C2" w:rsidP="008F14C2"/>
    <w:p w14:paraId="248B70D4" w14:textId="000863FF" w:rsidR="008F14C2" w:rsidRPr="008F14C2" w:rsidRDefault="008F14C2" w:rsidP="008F14C2">
      <w:pPr>
        <w:sectPr w:rsidR="008F14C2" w:rsidRPr="008F14C2"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7F2FBAF" w14:textId="727B5C4E" w:rsidR="006205CD" w:rsidRPr="003E67A6" w:rsidRDefault="003E67A6" w:rsidP="003E67A6">
      <w:pPr>
        <w:autoSpaceDE w:val="0"/>
        <w:autoSpaceDN w:val="0"/>
        <w:adjustRightInd w:val="0"/>
        <w:spacing w:after="0" w:line="240" w:lineRule="auto"/>
        <w:rPr>
          <w:b/>
          <w:bCs/>
          <w:sz w:val="28"/>
          <w:szCs w:val="28"/>
          <w:lang w:val="fr-BI"/>
        </w:rPr>
      </w:pPr>
      <w:bookmarkStart w:id="1" w:name="Index_Signet"/>
      <w:bookmarkStart w:id="2" w:name="_Hlk155880800"/>
      <w:bookmarkEnd w:id="1"/>
      <w:r w:rsidRPr="003E67A6">
        <w:rPr>
          <w:rFonts w:eastAsia="Calibri" w:cs="Times New Roman"/>
          <w:b/>
          <w:bCs/>
          <w:sz w:val="28"/>
          <w:szCs w:val="28"/>
        </w:rPr>
        <w:lastRenderedPageBreak/>
        <w:t>ADDENDUM N° 1 AU CAHIER SPECIAL DES CHARGES  2108BDI-10074_</w:t>
      </w:r>
      <w:r w:rsidRPr="003E67A6">
        <w:rPr>
          <w:rFonts w:cs="Calibri"/>
          <w:b/>
          <w:bCs/>
          <w:sz w:val="28"/>
          <w:szCs w:val="28"/>
          <w:lang w:val="fr-BI"/>
        </w:rPr>
        <w:t xml:space="preserve">MARCHÉ DE SERVICES RELATIF À </w:t>
      </w:r>
      <w:proofErr w:type="gramStart"/>
      <w:r w:rsidRPr="003E67A6">
        <w:rPr>
          <w:rFonts w:cs="Calibri"/>
          <w:b/>
          <w:bCs/>
          <w:sz w:val="28"/>
          <w:szCs w:val="28"/>
          <w:lang w:val="fr-BI"/>
        </w:rPr>
        <w:t>L’ «</w:t>
      </w:r>
      <w:proofErr w:type="gramEnd"/>
      <w:r w:rsidRPr="003E67A6">
        <w:rPr>
          <w:rFonts w:cs="Calibri"/>
          <w:b/>
          <w:bCs/>
          <w:sz w:val="28"/>
          <w:szCs w:val="28"/>
          <w:lang w:val="fr-BI"/>
        </w:rPr>
        <w:t xml:space="preserve"> ASSURANCE</w:t>
      </w:r>
      <w:r w:rsidRPr="003E67A6">
        <w:rPr>
          <w:rFonts w:cs="Calibri"/>
          <w:b/>
          <w:bCs/>
          <w:sz w:val="28"/>
          <w:szCs w:val="28"/>
          <w:lang w:val="fr-FR"/>
        </w:rPr>
        <w:t xml:space="preserve"> </w:t>
      </w:r>
      <w:r w:rsidRPr="003E67A6">
        <w:rPr>
          <w:b/>
          <w:bCs/>
          <w:sz w:val="28"/>
          <w:szCs w:val="28"/>
          <w:lang w:val="fr-BI"/>
        </w:rPr>
        <w:t>MULTIRISQUE DES VÉHICULES D’ENABEL AU BURUNDI ».</w:t>
      </w:r>
    </w:p>
    <w:p w14:paraId="11BC9F1D" w14:textId="77777777" w:rsidR="003E67A6" w:rsidRPr="003E67A6" w:rsidRDefault="003E67A6" w:rsidP="003E67A6">
      <w:pPr>
        <w:autoSpaceDE w:val="0"/>
        <w:autoSpaceDN w:val="0"/>
        <w:adjustRightInd w:val="0"/>
        <w:spacing w:after="0" w:line="240" w:lineRule="auto"/>
        <w:rPr>
          <w:b/>
          <w:spacing w:val="-3"/>
          <w:sz w:val="28"/>
          <w:szCs w:val="28"/>
          <w:u w:val="single"/>
        </w:rPr>
      </w:pPr>
    </w:p>
    <w:bookmarkEnd w:id="2"/>
    <w:p w14:paraId="5E1A85E7" w14:textId="3BDFFF97" w:rsidR="00E637E8" w:rsidRDefault="00E637E8" w:rsidP="006205CD">
      <w:pPr>
        <w:rPr>
          <w:b/>
          <w:bCs/>
          <w:lang w:val="fr-FR"/>
        </w:rPr>
      </w:pPr>
      <w:r w:rsidRPr="00E637E8">
        <w:rPr>
          <w:b/>
          <w:bCs/>
          <w:lang w:val="fr-FR"/>
        </w:rPr>
        <w:t>L’Addendum porte uniquement sur</w:t>
      </w:r>
      <w:r w:rsidR="0061604C">
        <w:rPr>
          <w:b/>
          <w:bCs/>
          <w:lang w:val="fr-FR"/>
        </w:rPr>
        <w:t xml:space="preserve"> les postes</w:t>
      </w:r>
      <w:r w:rsidR="00A02BE5">
        <w:rPr>
          <w:b/>
          <w:bCs/>
          <w:lang w:val="fr-FR"/>
        </w:rPr>
        <w:t xml:space="preserve">, la dérogation du dépôt des offres via e-procurement, </w:t>
      </w:r>
      <w:r w:rsidR="00B8359D">
        <w:rPr>
          <w:b/>
          <w:bCs/>
          <w:lang w:val="fr-FR"/>
        </w:rPr>
        <w:t xml:space="preserve">sur les critères d’attributions (il n’y a plus de minium de 45/60 exigé), </w:t>
      </w:r>
      <w:r w:rsidR="00A02BE5">
        <w:rPr>
          <w:b/>
          <w:bCs/>
          <w:lang w:val="fr-FR"/>
        </w:rPr>
        <w:t>précision sur les capitaux assurés pour IOV individus occupant du véhicule</w:t>
      </w:r>
      <w:r w:rsidR="003E67A6">
        <w:rPr>
          <w:b/>
          <w:bCs/>
          <w:lang w:val="fr-FR"/>
        </w:rPr>
        <w:t xml:space="preserve"> </w:t>
      </w:r>
      <w:r w:rsidR="00A02BE5">
        <w:rPr>
          <w:b/>
          <w:bCs/>
          <w:lang w:val="fr-FR"/>
        </w:rPr>
        <w:t xml:space="preserve">et sur la monnaie de </w:t>
      </w:r>
      <w:r w:rsidR="003E67A6">
        <w:rPr>
          <w:b/>
          <w:bCs/>
          <w:lang w:val="fr-FR"/>
        </w:rPr>
        <w:t>paiement.</w:t>
      </w:r>
    </w:p>
    <w:p w14:paraId="0A63AFB3" w14:textId="4311FFC6" w:rsidR="00D5612A" w:rsidRPr="00CE217F" w:rsidRDefault="00FC4A85" w:rsidP="00CE217F">
      <w:pPr>
        <w:pStyle w:val="Titre1"/>
        <w:ind w:left="432" w:hanging="432"/>
      </w:pPr>
      <w:r w:rsidRPr="00CE217F">
        <w:t>1. Généralités</w:t>
      </w:r>
    </w:p>
    <w:p w14:paraId="248E289F" w14:textId="36182B38" w:rsidR="00FC4A85" w:rsidRPr="00CE217F" w:rsidRDefault="00FC4A85" w:rsidP="00CE217F">
      <w:pPr>
        <w:pStyle w:val="Titre2"/>
        <w:ind w:left="576" w:hanging="576"/>
      </w:pPr>
      <w:r w:rsidRPr="00CE217F">
        <w:t>1.</w:t>
      </w:r>
      <w:r w:rsidR="0061604C">
        <w:t>4</w:t>
      </w:r>
      <w:r w:rsidRPr="00CE217F">
        <w:t xml:space="preserve"> </w:t>
      </w:r>
      <w:r w:rsidR="00A02BE5">
        <w:t>Règles régissant le marché</w:t>
      </w:r>
      <w:r w:rsidRPr="00CE217F">
        <w:t>.</w:t>
      </w:r>
    </w:p>
    <w:p w14:paraId="32CDC28F" w14:textId="78C6DB4E" w:rsidR="00CE217F" w:rsidRPr="00326418" w:rsidRDefault="00A02BE5" w:rsidP="006205CD">
      <w:pPr>
        <w:rPr>
          <w:lang w:val="fr-FR"/>
        </w:rPr>
      </w:pPr>
      <w:r>
        <w:rPr>
          <w:lang w:val="fr-FR"/>
        </w:rPr>
        <w:t> Ce texte est en complément aux règles du CSC)</w:t>
      </w:r>
    </w:p>
    <w:p w14:paraId="428011C5" w14:textId="77777777" w:rsidR="00CE217F" w:rsidRPr="00326418" w:rsidRDefault="00CE217F" w:rsidP="00CE217F">
      <w:pPr>
        <w:pStyle w:val="Corpsdetexte"/>
        <w:shd w:val="clear" w:color="auto" w:fill="FFFFFF" w:themeFill="background1"/>
        <w:rPr>
          <w:rFonts w:ascii="Georgia" w:eastAsia="Calibri" w:hAnsi="Georgia" w:cs="Times New Roman"/>
          <w:iCs/>
          <w:kern w:val="0"/>
          <w:sz w:val="21"/>
          <w:szCs w:val="22"/>
          <w:lang w:val="fr-BE"/>
        </w:rPr>
      </w:pPr>
      <w:r w:rsidRPr="00326418">
        <w:rPr>
          <w:rFonts w:ascii="Georgia" w:eastAsia="Calibri" w:hAnsi="Georgia" w:cs="Times New Roman"/>
          <w:iCs/>
          <w:kern w:val="0"/>
          <w:sz w:val="21"/>
          <w:szCs w:val="22"/>
          <w:lang w:val="fr-BE"/>
        </w:rPr>
        <w:t xml:space="preserve">Cependant, il est dérogé </w:t>
      </w:r>
      <w:r w:rsidRPr="00326418">
        <w:rPr>
          <w:rFonts w:ascii="Georgia" w:hAnsi="Georgia"/>
          <w:sz w:val="21"/>
          <w:szCs w:val="21"/>
        </w:rPr>
        <w:t xml:space="preserve">à l’article 14 de la loi du 17 juin 2016 relative </w:t>
      </w:r>
      <w:r w:rsidRPr="00326418">
        <w:rPr>
          <w:rFonts w:ascii="Georgia" w:eastAsia="Calibri" w:hAnsi="Georgia" w:cs="Times New Roman"/>
          <w:iCs/>
          <w:kern w:val="0"/>
          <w:sz w:val="21"/>
          <w:szCs w:val="22"/>
          <w:lang w:val="fr-BE"/>
        </w:rPr>
        <w:t>aux règles applicables aux moyens de communication.</w:t>
      </w:r>
    </w:p>
    <w:p w14:paraId="4636977F" w14:textId="77777777" w:rsidR="00CE217F" w:rsidRPr="00326418" w:rsidRDefault="00CE217F" w:rsidP="00CE217F">
      <w:pPr>
        <w:pStyle w:val="Corpsdetexte"/>
        <w:shd w:val="clear" w:color="auto" w:fill="FFFFFF" w:themeFill="background1"/>
        <w:rPr>
          <w:rFonts w:ascii="Georgia" w:eastAsia="Calibri" w:hAnsi="Georgia" w:cs="Times New Roman"/>
          <w:iCs/>
          <w:kern w:val="0"/>
          <w:sz w:val="21"/>
          <w:szCs w:val="22"/>
          <w:lang w:val="fr-BE"/>
        </w:rPr>
      </w:pPr>
      <w:r w:rsidRPr="00326418">
        <w:rPr>
          <w:rFonts w:ascii="Georgia" w:eastAsia="Calibri" w:hAnsi="Georgia" w:cs="Times New Roman"/>
          <w:iCs/>
          <w:kern w:val="0"/>
          <w:sz w:val="21"/>
          <w:szCs w:val="22"/>
          <w:lang w:val="fr-BE"/>
        </w:rPr>
        <w:t>Considérant l’article 14, §2, 1° de la loi du 17 juin 2016 relative aux marchés publics, il ne serait pas approprié d’imposer l’obligation d’utiliser les moyens de communication électroniques visée à l’article 14, § 7, de la loi.</w:t>
      </w:r>
    </w:p>
    <w:p w14:paraId="375EB050" w14:textId="77777777" w:rsidR="00CE217F" w:rsidRPr="00326418" w:rsidRDefault="00CE217F" w:rsidP="00CE217F">
      <w:pPr>
        <w:pStyle w:val="Corpsdetexte"/>
        <w:shd w:val="clear" w:color="auto" w:fill="FFFFFF" w:themeFill="background1"/>
        <w:rPr>
          <w:rFonts w:ascii="Georgia" w:eastAsia="Calibri" w:hAnsi="Georgia" w:cs="Times New Roman"/>
          <w:iCs/>
          <w:kern w:val="0"/>
          <w:sz w:val="21"/>
          <w:szCs w:val="22"/>
          <w:lang w:val="fr-BE"/>
        </w:rPr>
      </w:pPr>
      <w:r w:rsidRPr="00326418">
        <w:rPr>
          <w:rFonts w:ascii="Georgia" w:eastAsia="Calibri" w:hAnsi="Georgia" w:cs="Times New Roman"/>
          <w:iCs/>
          <w:kern w:val="0"/>
          <w:sz w:val="21"/>
          <w:szCs w:val="22"/>
          <w:lang w:val="fr-BE"/>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469ECA59" w14:textId="77777777" w:rsidR="00CE217F" w:rsidRPr="00326418" w:rsidRDefault="00CE217F" w:rsidP="00CE217F">
      <w:pPr>
        <w:pStyle w:val="Corpsdetexte"/>
        <w:shd w:val="clear" w:color="auto" w:fill="FFFFFF" w:themeFill="background1"/>
        <w:rPr>
          <w:rFonts w:ascii="Georgia" w:eastAsia="Calibri" w:hAnsi="Georgia" w:cs="Times New Roman"/>
          <w:iCs/>
          <w:kern w:val="0"/>
          <w:sz w:val="21"/>
          <w:szCs w:val="22"/>
          <w:lang w:val="fr-BE"/>
        </w:rPr>
      </w:pPr>
      <w:r w:rsidRPr="00326418">
        <w:rPr>
          <w:rFonts w:ascii="Georgia" w:eastAsia="Calibri" w:hAnsi="Georgia" w:cs="Times New Roman"/>
          <w:iCs/>
          <w:kern w:val="0"/>
          <w:sz w:val="21"/>
          <w:szCs w:val="22"/>
          <w:lang w:val="fr-BE"/>
        </w:rPr>
        <w:t>De plus, les formes particulières prévus par cette plateforme du point de vue de la signature électronique ne sont pas encore compatibles avec les TIC généralement utilisées.</w:t>
      </w:r>
    </w:p>
    <w:p w14:paraId="54C597A4" w14:textId="77777777" w:rsidR="00CE217F" w:rsidRPr="00326418" w:rsidRDefault="00CE217F" w:rsidP="00CE217F">
      <w:pPr>
        <w:pStyle w:val="Corpsdetexte"/>
        <w:shd w:val="clear" w:color="auto" w:fill="FFFFFF" w:themeFill="background1"/>
        <w:rPr>
          <w:rFonts w:ascii="Georgia" w:eastAsia="Calibri" w:hAnsi="Georgia" w:cs="Times New Roman"/>
          <w:iCs/>
          <w:kern w:val="0"/>
          <w:sz w:val="21"/>
          <w:szCs w:val="22"/>
          <w:lang w:val="fr-BE"/>
        </w:rPr>
      </w:pPr>
      <w:r w:rsidRPr="00326418">
        <w:rPr>
          <w:rFonts w:ascii="Georgia" w:eastAsia="Calibri" w:hAnsi="Georgia" w:cs="Times New Roman"/>
          <w:iCs/>
          <w:kern w:val="0"/>
          <w:sz w:val="21"/>
          <w:szCs w:val="22"/>
          <w:lang w:val="fr-BE"/>
        </w:rPr>
        <w:t>Sur la même motivation, pour les marchés publics lancés dans les pays partenaires, nous n’utilisons pas encore e-</w:t>
      </w:r>
      <w:proofErr w:type="spellStart"/>
      <w:r w:rsidRPr="00326418">
        <w:rPr>
          <w:rFonts w:ascii="Georgia" w:eastAsia="Calibri" w:hAnsi="Georgia" w:cs="Times New Roman"/>
          <w:iCs/>
          <w:kern w:val="0"/>
          <w:sz w:val="21"/>
          <w:szCs w:val="22"/>
          <w:lang w:val="fr-BE"/>
        </w:rPr>
        <w:t>tendering</w:t>
      </w:r>
      <w:proofErr w:type="spellEnd"/>
      <w:r w:rsidRPr="00326418">
        <w:rPr>
          <w:rFonts w:ascii="Georgia" w:eastAsia="Calibri" w:hAnsi="Georgia" w:cs="Times New Roman"/>
          <w:iCs/>
          <w:kern w:val="0"/>
          <w:sz w:val="21"/>
          <w:szCs w:val="22"/>
          <w:lang w:val="fr-BE"/>
        </w:rPr>
        <w:t xml:space="preserve"> (réception et ouverture des offres via la plateforme).</w:t>
      </w:r>
    </w:p>
    <w:p w14:paraId="50E82288" w14:textId="1626D675" w:rsidR="00CE217F" w:rsidRDefault="00CE217F" w:rsidP="006205CD">
      <w:pPr>
        <w:rPr>
          <w:b/>
          <w:bCs/>
        </w:rPr>
      </w:pPr>
    </w:p>
    <w:p w14:paraId="6AFE0212" w14:textId="191E7E8C" w:rsidR="00CE217F" w:rsidRPr="00CE217F" w:rsidRDefault="00CE217F" w:rsidP="00CE217F">
      <w:pPr>
        <w:pStyle w:val="Titre1"/>
        <w:ind w:left="432" w:hanging="432"/>
      </w:pPr>
      <w:r w:rsidRPr="00CE217F">
        <w:t>2. Objet et portée du marchée</w:t>
      </w:r>
    </w:p>
    <w:p w14:paraId="2DF91903" w14:textId="2FDF37F0" w:rsidR="00CE217F" w:rsidRDefault="00CE217F" w:rsidP="00CE217F">
      <w:pPr>
        <w:pStyle w:val="Titre2"/>
        <w:ind w:left="576" w:hanging="576"/>
      </w:pPr>
      <w:r w:rsidRPr="00CE217F">
        <w:t>2.4 Postes</w:t>
      </w:r>
    </w:p>
    <w:p w14:paraId="740501FA" w14:textId="6DBF83A3" w:rsidR="009128B1" w:rsidRPr="00326418" w:rsidRDefault="00326418" w:rsidP="003E67A6">
      <w:pPr>
        <w:pStyle w:val="Corpsdetexte"/>
        <w:shd w:val="clear" w:color="auto" w:fill="FFFFFF" w:themeFill="background1"/>
        <w:rPr>
          <w:rFonts w:ascii="Georgia" w:eastAsia="Calibri" w:hAnsi="Georgia" w:cs="Times New Roman"/>
          <w:b/>
          <w:bCs/>
          <w:iCs/>
          <w:kern w:val="0"/>
          <w:sz w:val="21"/>
          <w:szCs w:val="22"/>
          <w:lang w:val="fr-BE"/>
        </w:rPr>
      </w:pPr>
      <w:r w:rsidRPr="00326418">
        <w:rPr>
          <w:rFonts w:ascii="Georgia" w:eastAsia="Calibri" w:hAnsi="Georgia" w:cs="Times New Roman"/>
          <w:iCs/>
          <w:kern w:val="0"/>
          <w:sz w:val="21"/>
          <w:szCs w:val="22"/>
          <w:lang w:val="fr-BE"/>
        </w:rPr>
        <w:t>Le marché est composé des postes</w:t>
      </w:r>
      <w:r w:rsidR="00A02BE5">
        <w:rPr>
          <w:rFonts w:ascii="Georgia" w:eastAsia="Calibri" w:hAnsi="Georgia" w:cs="Times New Roman"/>
          <w:iCs/>
          <w:kern w:val="0"/>
          <w:sz w:val="21"/>
          <w:szCs w:val="22"/>
          <w:lang w:val="fr-BE"/>
        </w:rPr>
        <w:t xml:space="preserve"> qui correspondent au nombre de véhicules. Chaque ligne pour véhicule </w:t>
      </w:r>
      <w:r w:rsidR="003E67A6">
        <w:rPr>
          <w:rFonts w:ascii="Georgia" w:eastAsia="Calibri" w:hAnsi="Georgia" w:cs="Times New Roman"/>
          <w:iCs/>
          <w:kern w:val="0"/>
          <w:sz w:val="21"/>
          <w:szCs w:val="22"/>
          <w:lang w:val="fr-BE"/>
        </w:rPr>
        <w:t>constitue</w:t>
      </w:r>
      <w:r w:rsidR="00A02BE5">
        <w:rPr>
          <w:rFonts w:ascii="Georgia" w:eastAsia="Calibri" w:hAnsi="Georgia" w:cs="Times New Roman"/>
          <w:iCs/>
          <w:kern w:val="0"/>
          <w:sz w:val="21"/>
          <w:szCs w:val="22"/>
          <w:lang w:val="fr-BE"/>
        </w:rPr>
        <w:t xml:space="preserve"> un poste.</w:t>
      </w:r>
      <w:r w:rsidRPr="00326418">
        <w:rPr>
          <w:rFonts w:ascii="Georgia" w:eastAsia="Calibri" w:hAnsi="Georgia" w:cs="Times New Roman"/>
          <w:iCs/>
          <w:kern w:val="0"/>
          <w:sz w:val="21"/>
          <w:szCs w:val="22"/>
          <w:lang w:val="fr-BE"/>
        </w:rPr>
        <w:t xml:space="preserve"> </w:t>
      </w:r>
      <w:bookmarkStart w:id="3" w:name="_Hlk155795262"/>
    </w:p>
    <w:bookmarkEnd w:id="3"/>
    <w:p w14:paraId="0D51506A" w14:textId="2AF34BCB" w:rsidR="00CE217F" w:rsidRDefault="009A38B9" w:rsidP="009A38B9">
      <w:pPr>
        <w:pStyle w:val="Titre2"/>
        <w:ind w:left="576" w:hanging="576"/>
      </w:pPr>
      <w:r w:rsidRPr="009A38B9">
        <w:t>2.8 Quantités</w:t>
      </w:r>
    </w:p>
    <w:p w14:paraId="52AF7586" w14:textId="5421E92A" w:rsidR="009A38B9" w:rsidRDefault="009A38B9" w:rsidP="009A38B9">
      <w:r>
        <w:t>« ... ».</w:t>
      </w:r>
    </w:p>
    <w:p w14:paraId="33FADBC8" w14:textId="7AA6632D" w:rsidR="009A38B9" w:rsidRDefault="009A38B9" w:rsidP="00A71EE0">
      <w:pPr>
        <w:rPr>
          <w:b/>
          <w:bCs/>
        </w:rPr>
      </w:pPr>
      <w:r w:rsidRPr="009A38B9">
        <w:rPr>
          <w:b/>
          <w:bCs/>
        </w:rPr>
        <w:t xml:space="preserve">Toutefois, la quantité maximale vaut au plus </w:t>
      </w:r>
      <w:r w:rsidR="00A02BE5">
        <w:rPr>
          <w:b/>
          <w:bCs/>
        </w:rPr>
        <w:t>142</w:t>
      </w:r>
      <w:r w:rsidR="0009690D">
        <w:rPr>
          <w:b/>
          <w:bCs/>
        </w:rPr>
        <w:t xml:space="preserve"> </w:t>
      </w:r>
      <w:r w:rsidR="00A02BE5">
        <w:rPr>
          <w:b/>
          <w:bCs/>
        </w:rPr>
        <w:t>000</w:t>
      </w:r>
      <w:r w:rsidRPr="009A38B9">
        <w:rPr>
          <w:b/>
          <w:bCs/>
        </w:rPr>
        <w:t xml:space="preserve"> euros HTVA sur toute la durée de l’Accord cadre.</w:t>
      </w:r>
    </w:p>
    <w:p w14:paraId="5C37A750" w14:textId="77777777" w:rsidR="0009690D" w:rsidRDefault="0009690D" w:rsidP="00A71EE0">
      <w:pPr>
        <w:rPr>
          <w:b/>
          <w:bCs/>
        </w:rPr>
      </w:pPr>
    </w:p>
    <w:p w14:paraId="10A12611" w14:textId="3453C33D" w:rsidR="009A38B9" w:rsidRPr="009A38B9" w:rsidRDefault="009A38B9" w:rsidP="009A38B9">
      <w:pPr>
        <w:pStyle w:val="Titre1"/>
        <w:ind w:left="432" w:hanging="432"/>
      </w:pPr>
      <w:r w:rsidRPr="009A38B9">
        <w:lastRenderedPageBreak/>
        <w:t>3. Mode de passation</w:t>
      </w:r>
    </w:p>
    <w:p w14:paraId="0DB88363" w14:textId="70368F08" w:rsidR="009A38B9" w:rsidRDefault="009A38B9" w:rsidP="009A38B9">
      <w:pPr>
        <w:pStyle w:val="Titre2"/>
        <w:ind w:left="576" w:hanging="576"/>
      </w:pPr>
      <w:r>
        <w:t>3.2 Publication</w:t>
      </w:r>
    </w:p>
    <w:p w14:paraId="0607B1A4" w14:textId="768FC684" w:rsidR="009A38B9" w:rsidRPr="009A38B9" w:rsidRDefault="009A38B9" w:rsidP="009A38B9">
      <w:pPr>
        <w:rPr>
          <w:b/>
          <w:bCs/>
          <w:u w:val="single"/>
        </w:rPr>
      </w:pPr>
      <w:r>
        <w:t>Ce marché est publié sur le site d’</w:t>
      </w:r>
      <w:proofErr w:type="spellStart"/>
      <w:r>
        <w:t>Enabel</w:t>
      </w:r>
      <w:proofErr w:type="spellEnd"/>
      <w:r>
        <w:t xml:space="preserve"> (</w:t>
      </w:r>
      <w:hyperlink r:id="rId16" w:history="1">
        <w:r w:rsidRPr="007D5335">
          <w:rPr>
            <w:rStyle w:val="Lienhypertexte"/>
          </w:rPr>
          <w:t>www.enabel.be</w:t>
        </w:r>
      </w:hyperlink>
      <w:r>
        <w:t xml:space="preserve">) </w:t>
      </w:r>
      <w:r w:rsidRPr="009A38B9">
        <w:rPr>
          <w:b/>
          <w:bCs/>
          <w:u w:val="single"/>
        </w:rPr>
        <w:t>du 05/01/2024 au 17/01/2024.</w:t>
      </w:r>
    </w:p>
    <w:p w14:paraId="1256DB36" w14:textId="4C75DDF4" w:rsidR="006205CD" w:rsidRPr="00D5612A" w:rsidRDefault="00CB5C64" w:rsidP="00D5612A">
      <w:pPr>
        <w:rPr>
          <w:b/>
          <w:bCs/>
          <w:lang w:val="fr-FR"/>
        </w:rPr>
      </w:pPr>
      <w:r w:rsidRPr="00D5612A">
        <w:rPr>
          <w:b/>
          <w:bCs/>
          <w:lang w:val="fr-FR"/>
        </w:rPr>
        <w:t>3.4.5 I</w:t>
      </w:r>
      <w:r w:rsidR="006205CD" w:rsidRPr="00D5612A">
        <w:rPr>
          <w:b/>
          <w:bCs/>
          <w:lang w:val="fr-FR"/>
        </w:rPr>
        <w:t>ntroduction des offres</w:t>
      </w:r>
    </w:p>
    <w:p w14:paraId="550673C6" w14:textId="77777777" w:rsidR="00C553C5" w:rsidRDefault="00C553C5" w:rsidP="00C553C5">
      <w:pPr>
        <w:autoSpaceDE w:val="0"/>
        <w:autoSpaceDN w:val="0"/>
        <w:adjustRightInd w:val="0"/>
        <w:spacing w:after="0" w:line="240" w:lineRule="auto"/>
        <w:rPr>
          <w:rFonts w:cs="Georgia"/>
          <w:sz w:val="20"/>
          <w:szCs w:val="20"/>
        </w:rPr>
      </w:pPr>
      <w:r>
        <w:rPr>
          <w:rFonts w:cs="Georgia"/>
          <w:sz w:val="20"/>
          <w:szCs w:val="20"/>
        </w:rPr>
        <w:t>Le soumissionnaire ne peut remettre qu’une seule offre par marché.</w:t>
      </w:r>
    </w:p>
    <w:p w14:paraId="238B2F13" w14:textId="3202C359" w:rsidR="006205CD" w:rsidRDefault="00C553C5" w:rsidP="0023096C">
      <w:pPr>
        <w:shd w:val="clear" w:color="auto" w:fill="D9D9D9" w:themeFill="background1" w:themeFillShade="D9"/>
        <w:autoSpaceDE w:val="0"/>
        <w:autoSpaceDN w:val="0"/>
        <w:adjustRightInd w:val="0"/>
        <w:spacing w:after="0" w:line="240" w:lineRule="auto"/>
        <w:rPr>
          <w:b/>
          <w:bCs/>
          <w:szCs w:val="21"/>
          <w:lang w:val="fr-FR"/>
        </w:rPr>
      </w:pPr>
      <w:r>
        <w:rPr>
          <w:rFonts w:ascii="Georgia-Bold" w:hAnsi="Georgia-Bold" w:cs="Georgia-Bold"/>
          <w:b/>
          <w:bCs/>
          <w:sz w:val="20"/>
          <w:szCs w:val="20"/>
        </w:rPr>
        <w:t xml:space="preserve">Le soumissionnaire introduit son offre, </w:t>
      </w:r>
      <w:r w:rsidRPr="00C553C5">
        <w:rPr>
          <w:rFonts w:ascii="Georgia-Bold" w:hAnsi="Georgia-Bold" w:cs="Georgia-Bold"/>
          <w:b/>
          <w:bCs/>
          <w:sz w:val="20"/>
          <w:szCs w:val="20"/>
          <w:shd w:val="clear" w:color="auto" w:fill="D9D9D9" w:themeFill="background1" w:themeFillShade="D9"/>
        </w:rPr>
        <w:t>au plus tard le 1</w:t>
      </w:r>
      <w:r w:rsidRPr="00C553C5">
        <w:rPr>
          <w:rFonts w:ascii="Georgia-Bold" w:hAnsi="Georgia-Bold" w:cs="Georgia-Bold"/>
          <w:b/>
          <w:bCs/>
          <w:sz w:val="20"/>
          <w:szCs w:val="20"/>
          <w:shd w:val="clear" w:color="auto" w:fill="D9D9D9" w:themeFill="background1" w:themeFillShade="D9"/>
          <w:lang w:val="fr-FR"/>
        </w:rPr>
        <w:t>7</w:t>
      </w:r>
      <w:r w:rsidRPr="00C553C5">
        <w:rPr>
          <w:rFonts w:ascii="Georgia-Bold" w:hAnsi="Georgia-Bold" w:cs="Georgia-Bold"/>
          <w:b/>
          <w:bCs/>
          <w:sz w:val="20"/>
          <w:szCs w:val="20"/>
          <w:shd w:val="clear" w:color="auto" w:fill="D9D9D9" w:themeFill="background1" w:themeFillShade="D9"/>
        </w:rPr>
        <w:t>/01/2024 à 12h00</w:t>
      </w:r>
      <w:r>
        <w:rPr>
          <w:rFonts w:ascii="Georgia-Bold" w:hAnsi="Georgia-Bold" w:cs="Georgia-Bold"/>
          <w:b/>
          <w:bCs/>
          <w:sz w:val="20"/>
          <w:szCs w:val="20"/>
        </w:rPr>
        <w:t>, heure</w:t>
      </w:r>
      <w:r w:rsidRPr="00C553C5">
        <w:rPr>
          <w:rFonts w:ascii="Georgia-Bold" w:hAnsi="Georgia-Bold" w:cs="Georgia-Bold"/>
          <w:b/>
          <w:bCs/>
          <w:sz w:val="20"/>
          <w:szCs w:val="20"/>
        </w:rPr>
        <w:t xml:space="preserve"> </w:t>
      </w:r>
      <w:r>
        <w:rPr>
          <w:rFonts w:ascii="Georgia-Bold" w:hAnsi="Georgia-Bold" w:cs="Georgia-Bold"/>
          <w:b/>
          <w:bCs/>
          <w:sz w:val="20"/>
          <w:szCs w:val="20"/>
        </w:rPr>
        <w:t>de Bujumbura (GMT+2)</w:t>
      </w:r>
      <w:r w:rsidR="0023096C">
        <w:rPr>
          <w:rFonts w:ascii="Georgia-Bold" w:hAnsi="Georgia-Bold" w:cs="Georgia-Bold"/>
          <w:b/>
          <w:bCs/>
          <w:sz w:val="20"/>
          <w:szCs w:val="20"/>
          <w:lang w:val="fr-FR"/>
        </w:rPr>
        <w:t>.</w:t>
      </w:r>
    </w:p>
    <w:p w14:paraId="1F2E8A7F" w14:textId="09B7FE68" w:rsidR="0023096C" w:rsidRDefault="0023096C" w:rsidP="006205CD">
      <w:pPr>
        <w:pStyle w:val="BTCtextCTB"/>
        <w:rPr>
          <w:rFonts w:ascii="Georgia" w:hAnsi="Georgia"/>
          <w:b/>
          <w:sz w:val="21"/>
          <w:szCs w:val="21"/>
        </w:rPr>
      </w:pPr>
      <w:r>
        <w:rPr>
          <w:rFonts w:ascii="Georgia" w:hAnsi="Georgia"/>
          <w:b/>
          <w:sz w:val="21"/>
          <w:szCs w:val="21"/>
        </w:rPr>
        <w:t>« ... ».</w:t>
      </w:r>
    </w:p>
    <w:p w14:paraId="340658F3" w14:textId="5D72FBB1" w:rsidR="006205CD" w:rsidRPr="00CD13CC" w:rsidRDefault="006205CD" w:rsidP="006205CD">
      <w:pPr>
        <w:pStyle w:val="BTCtextCTB"/>
        <w:rPr>
          <w:rFonts w:ascii="Georgia" w:hAnsi="Georgia"/>
          <w:b/>
          <w:bCs/>
          <w:sz w:val="21"/>
          <w:szCs w:val="21"/>
          <w:lang w:val="fr-FR"/>
        </w:rPr>
      </w:pPr>
      <w:r w:rsidRPr="00CD13CC">
        <w:rPr>
          <w:rFonts w:ascii="Georgia" w:hAnsi="Georgia"/>
          <w:b/>
          <w:sz w:val="21"/>
          <w:szCs w:val="21"/>
        </w:rPr>
        <w:t xml:space="preserve">Toute offre doit parvenir avant la date et l'heure ultime de dépôt, soit </w:t>
      </w:r>
      <w:r w:rsidRPr="00CD13CC">
        <w:rPr>
          <w:rFonts w:ascii="Georgia" w:eastAsia="Calibri" w:hAnsi="Georgia"/>
          <w:b/>
          <w:bCs/>
          <w:color w:val="585756"/>
          <w:sz w:val="21"/>
          <w:szCs w:val="21"/>
        </w:rPr>
        <w:t xml:space="preserve">au plus tard </w:t>
      </w:r>
      <w:r w:rsidRPr="000E7B6A">
        <w:rPr>
          <w:rFonts w:ascii="Georgia" w:eastAsia="Calibri" w:hAnsi="Georgia"/>
          <w:b/>
          <w:bCs/>
          <w:sz w:val="21"/>
          <w:szCs w:val="21"/>
        </w:rPr>
        <w:t xml:space="preserve">le </w:t>
      </w:r>
      <w:r w:rsidR="0023096C">
        <w:rPr>
          <w:rFonts w:ascii="Georgia" w:eastAsia="Calibri" w:hAnsi="Georgia"/>
          <w:b/>
          <w:bCs/>
          <w:sz w:val="21"/>
          <w:szCs w:val="21"/>
          <w:highlight w:val="yellow"/>
        </w:rPr>
        <w:t>17/01/2024</w:t>
      </w:r>
      <w:r w:rsidRPr="00160474">
        <w:rPr>
          <w:rFonts w:ascii="Georgia" w:eastAsia="Calibri" w:hAnsi="Georgia"/>
          <w:b/>
          <w:bCs/>
          <w:sz w:val="21"/>
          <w:szCs w:val="21"/>
          <w:highlight w:val="yellow"/>
        </w:rPr>
        <w:t xml:space="preserve"> à 1</w:t>
      </w:r>
      <w:r w:rsidR="0023096C">
        <w:rPr>
          <w:rFonts w:ascii="Georgia" w:eastAsia="Calibri" w:hAnsi="Georgia"/>
          <w:b/>
          <w:bCs/>
          <w:sz w:val="21"/>
          <w:szCs w:val="21"/>
          <w:highlight w:val="yellow"/>
        </w:rPr>
        <w:t>2</w:t>
      </w:r>
      <w:r w:rsidRPr="00160474">
        <w:rPr>
          <w:rFonts w:ascii="Georgia" w:eastAsia="Calibri" w:hAnsi="Georgia"/>
          <w:b/>
          <w:bCs/>
          <w:sz w:val="21"/>
          <w:szCs w:val="21"/>
          <w:highlight w:val="yellow"/>
        </w:rPr>
        <w:t>h00</w:t>
      </w:r>
      <w:r w:rsidRPr="000E7B6A">
        <w:rPr>
          <w:rFonts w:ascii="Georgia" w:hAnsi="Georgia"/>
          <w:b/>
          <w:bCs/>
          <w:sz w:val="21"/>
          <w:szCs w:val="21"/>
          <w:lang w:val="fr-FR"/>
        </w:rPr>
        <w:t xml:space="preserve">, heure </w:t>
      </w:r>
      <w:r w:rsidRPr="00CD13CC">
        <w:rPr>
          <w:rFonts w:ascii="Georgia" w:hAnsi="Georgia"/>
          <w:b/>
          <w:bCs/>
          <w:sz w:val="21"/>
          <w:szCs w:val="21"/>
          <w:lang w:val="fr-FR"/>
        </w:rPr>
        <w:t>de Bujumbura (GMT+2).</w:t>
      </w:r>
    </w:p>
    <w:p w14:paraId="728F2722" w14:textId="666C1F49" w:rsidR="006205CD" w:rsidRDefault="006205CD" w:rsidP="006205CD">
      <w:pPr>
        <w:pStyle w:val="BTCtextCTB"/>
        <w:rPr>
          <w:rFonts w:ascii="Georgia" w:eastAsia="Calibri" w:hAnsi="Georgia"/>
          <w:b/>
          <w:bCs/>
          <w:sz w:val="21"/>
          <w:szCs w:val="21"/>
        </w:rPr>
      </w:pPr>
      <w:r w:rsidRPr="00CD13CC">
        <w:rPr>
          <w:rFonts w:ascii="Georgia" w:eastAsia="Calibri" w:hAnsi="Georgia"/>
          <w:b/>
          <w:bCs/>
          <w:sz w:val="21"/>
          <w:szCs w:val="21"/>
        </w:rPr>
        <w:t xml:space="preserve">Les offres parvenues tardivement ne sont pas acceptées. (Article 83 de l’AR Passation). </w:t>
      </w:r>
    </w:p>
    <w:p w14:paraId="5CF92465" w14:textId="77777777" w:rsidR="0023096C" w:rsidRPr="0023096C" w:rsidRDefault="0023096C" w:rsidP="006205CD">
      <w:pPr>
        <w:pStyle w:val="BTCtextCTB"/>
        <w:rPr>
          <w:rFonts w:ascii="Georgia" w:eastAsia="Calibri" w:hAnsi="Georgia"/>
          <w:b/>
          <w:bCs/>
          <w:sz w:val="10"/>
          <w:szCs w:val="10"/>
        </w:rPr>
      </w:pPr>
    </w:p>
    <w:p w14:paraId="53FB8AD5" w14:textId="7630CE54" w:rsidR="006205CD" w:rsidRDefault="003749E6" w:rsidP="0023096C">
      <w:pPr>
        <w:rPr>
          <w:b/>
          <w:bCs/>
          <w:lang w:val="fr-FR"/>
        </w:rPr>
      </w:pPr>
      <w:r w:rsidRPr="0023096C">
        <w:rPr>
          <w:b/>
          <w:bCs/>
          <w:lang w:val="fr-FR"/>
        </w:rPr>
        <w:t>3.4.7</w:t>
      </w:r>
      <w:r w:rsidR="0023096C" w:rsidRPr="0023096C">
        <w:rPr>
          <w:b/>
          <w:bCs/>
          <w:lang w:val="fr-FR"/>
        </w:rPr>
        <w:t>.4 Critères d’attribution</w:t>
      </w:r>
    </w:p>
    <w:p w14:paraId="620E8295" w14:textId="2EFDE01A" w:rsidR="0023096C" w:rsidRPr="0023096C" w:rsidRDefault="0023096C" w:rsidP="0023096C">
      <w:r w:rsidRPr="0023096C">
        <w:t>Le pouvoir adjudicateur choisira la BAFO régulière qu’il juge la plus avantageuse en tenant</w:t>
      </w:r>
      <w:r w:rsidRPr="0023096C">
        <w:rPr>
          <w:lang w:val="fr-FR"/>
        </w:rPr>
        <w:t xml:space="preserve"> </w:t>
      </w:r>
      <w:r w:rsidRPr="0023096C">
        <w:t>compte des critères suivants :</w:t>
      </w:r>
    </w:p>
    <w:p w14:paraId="61B48809" w14:textId="77777777" w:rsidR="0023096C" w:rsidRPr="0023096C" w:rsidRDefault="0023096C" w:rsidP="00BF5728">
      <w:pPr>
        <w:shd w:val="clear" w:color="auto" w:fill="D9D9D9" w:themeFill="background1" w:themeFillShade="D9"/>
        <w:rPr>
          <w:b/>
          <w:bCs/>
        </w:rPr>
      </w:pPr>
      <w:r w:rsidRPr="0023096C">
        <w:rPr>
          <w:b/>
          <w:bCs/>
        </w:rPr>
        <w:t>• Méthodologie et couverture : 60 points</w:t>
      </w:r>
    </w:p>
    <w:p w14:paraId="04EB1A3B" w14:textId="1B8F5439" w:rsidR="0023096C" w:rsidRPr="00954D26" w:rsidRDefault="0023096C" w:rsidP="0023096C">
      <w:pPr>
        <w:jc w:val="both"/>
        <w:rPr>
          <w:b/>
          <w:bCs/>
          <w:i/>
          <w:iCs/>
        </w:rPr>
      </w:pPr>
      <w:r w:rsidRPr="0023096C">
        <w:rPr>
          <w:b/>
          <w:bCs/>
          <w:i/>
          <w:iCs/>
        </w:rPr>
        <w:t xml:space="preserve">1. </w:t>
      </w:r>
      <w:r w:rsidRPr="0023096C">
        <w:rPr>
          <w:b/>
          <w:bCs/>
          <w:u w:val="single"/>
        </w:rPr>
        <w:t>Développement de la méthodologie de couverture</w:t>
      </w:r>
      <w:r w:rsidRPr="0023096C">
        <w:rPr>
          <w:b/>
          <w:bCs/>
          <w:i/>
          <w:iCs/>
        </w:rPr>
        <w:t xml:space="preserve"> incluant le niveau de protection contre les</w:t>
      </w:r>
      <w:r w:rsidRPr="0023096C">
        <w:rPr>
          <w:b/>
          <w:bCs/>
          <w:i/>
          <w:iCs/>
          <w:lang w:val="fr-FR"/>
        </w:rPr>
        <w:t xml:space="preserve"> </w:t>
      </w:r>
      <w:r w:rsidRPr="0023096C">
        <w:rPr>
          <w:b/>
          <w:bCs/>
          <w:i/>
          <w:iCs/>
        </w:rPr>
        <w:t>risques désignés, les services proposés en cas de sinistre, l’étendue des réparations et les</w:t>
      </w:r>
      <w:r w:rsidRPr="0023096C">
        <w:rPr>
          <w:b/>
          <w:bCs/>
          <w:i/>
          <w:iCs/>
          <w:lang w:val="fr-FR"/>
        </w:rPr>
        <w:t xml:space="preserve"> </w:t>
      </w:r>
      <w:r w:rsidRPr="0023096C">
        <w:rPr>
          <w:b/>
          <w:bCs/>
          <w:i/>
          <w:iCs/>
        </w:rPr>
        <w:t>exigences sur la réparation des véhicules</w:t>
      </w:r>
      <w:r>
        <w:rPr>
          <w:b/>
          <w:bCs/>
          <w:i/>
          <w:iCs/>
          <w:lang w:val="fr-FR"/>
        </w:rPr>
        <w:t xml:space="preserve"> </w:t>
      </w:r>
      <w:r w:rsidRPr="00954D26">
        <w:rPr>
          <w:b/>
          <w:bCs/>
          <w:i/>
          <w:iCs/>
        </w:rPr>
        <w:t>: 30 points</w:t>
      </w:r>
    </w:p>
    <w:p w14:paraId="4A5A0A19" w14:textId="77777777" w:rsidR="0023096C" w:rsidRPr="0023096C" w:rsidRDefault="0023096C" w:rsidP="0023096C">
      <w:pPr>
        <w:rPr>
          <w:b/>
          <w:bCs/>
          <w:i/>
          <w:iCs/>
        </w:rPr>
      </w:pPr>
      <w:r w:rsidRPr="0023096C">
        <w:rPr>
          <w:b/>
          <w:bCs/>
          <w:i/>
          <w:iCs/>
        </w:rPr>
        <w:t xml:space="preserve">2. </w:t>
      </w:r>
      <w:r w:rsidRPr="0023096C">
        <w:rPr>
          <w:b/>
          <w:bCs/>
          <w:u w:val="single"/>
        </w:rPr>
        <w:t>Organisation de l’assurance en cas de sinistres</w:t>
      </w:r>
      <w:r w:rsidRPr="0023096C">
        <w:rPr>
          <w:b/>
          <w:bCs/>
          <w:i/>
          <w:iCs/>
        </w:rPr>
        <w:t xml:space="preserve"> : 20 points</w:t>
      </w:r>
    </w:p>
    <w:p w14:paraId="7B42318D" w14:textId="77777777" w:rsidR="0023096C" w:rsidRPr="00954D26" w:rsidRDefault="0023096C" w:rsidP="0023096C">
      <w:pPr>
        <w:rPr>
          <w:b/>
          <w:bCs/>
        </w:rPr>
      </w:pPr>
      <w:r w:rsidRPr="0023096C">
        <w:rPr>
          <w:rFonts w:ascii="Segoe UI Symbol" w:hAnsi="Segoe UI Symbol" w:cs="Segoe UI Symbol"/>
          <w:b/>
          <w:bCs/>
        </w:rPr>
        <w:t>✓</w:t>
      </w:r>
      <w:r w:rsidRPr="0023096C">
        <w:rPr>
          <w:b/>
          <w:bCs/>
          <w:i/>
          <w:iCs/>
        </w:rPr>
        <w:t>Délai de prise en charge Planning des actions en cas de sinistres :</w:t>
      </w:r>
      <w:r w:rsidRPr="00954D26">
        <w:rPr>
          <w:b/>
          <w:bCs/>
          <w:i/>
          <w:iCs/>
        </w:rPr>
        <w:t>10pts</w:t>
      </w:r>
    </w:p>
    <w:p w14:paraId="3573F193" w14:textId="7C333438" w:rsidR="0023096C" w:rsidRPr="0023096C" w:rsidRDefault="0023096C" w:rsidP="002E4BFC">
      <w:pPr>
        <w:tabs>
          <w:tab w:val="right" w:pos="8934"/>
        </w:tabs>
        <w:rPr>
          <w:b/>
          <w:bCs/>
          <w:i/>
          <w:iCs/>
        </w:rPr>
      </w:pPr>
      <w:r w:rsidRPr="0023096C">
        <w:rPr>
          <w:rFonts w:ascii="Segoe UI Symbol" w:hAnsi="Segoe UI Symbol" w:cs="Segoe UI Symbol"/>
          <w:b/>
          <w:bCs/>
        </w:rPr>
        <w:t>✓</w:t>
      </w:r>
      <w:r w:rsidRPr="0023096C">
        <w:rPr>
          <w:b/>
          <w:bCs/>
          <w:i/>
          <w:iCs/>
        </w:rPr>
        <w:t xml:space="preserve">Mesures d’accompagnement et mesures compensatrices </w:t>
      </w:r>
      <w:r w:rsidRPr="00954D26">
        <w:rPr>
          <w:b/>
          <w:bCs/>
          <w:i/>
          <w:iCs/>
        </w:rPr>
        <w:t xml:space="preserve">: </w:t>
      </w:r>
      <w:r w:rsidR="002E4BFC" w:rsidRPr="00954D26">
        <w:rPr>
          <w:b/>
          <w:bCs/>
          <w:i/>
          <w:iCs/>
        </w:rPr>
        <w:t>10</w:t>
      </w:r>
      <w:r w:rsidRPr="00954D26">
        <w:rPr>
          <w:b/>
          <w:bCs/>
          <w:i/>
          <w:iCs/>
        </w:rPr>
        <w:t>pts</w:t>
      </w:r>
      <w:r w:rsidR="002E4BFC">
        <w:rPr>
          <w:b/>
          <w:bCs/>
          <w:i/>
          <w:iCs/>
        </w:rPr>
        <w:tab/>
      </w:r>
    </w:p>
    <w:p w14:paraId="0C589E24" w14:textId="6410B88A" w:rsidR="0023096C" w:rsidRPr="00954D26" w:rsidRDefault="0023096C" w:rsidP="00864D9C">
      <w:pPr>
        <w:rPr>
          <w:b/>
          <w:bCs/>
        </w:rPr>
      </w:pPr>
      <w:r w:rsidRPr="00864D9C">
        <w:rPr>
          <w:b/>
          <w:bCs/>
          <w:u w:val="single"/>
        </w:rPr>
        <w:t>3.</w:t>
      </w:r>
      <w:r w:rsidRPr="0023096C">
        <w:rPr>
          <w:b/>
          <w:bCs/>
          <w:i/>
          <w:iCs/>
        </w:rPr>
        <w:t xml:space="preserve"> </w:t>
      </w:r>
      <w:r w:rsidRPr="00864D9C">
        <w:rPr>
          <w:b/>
          <w:bCs/>
          <w:u w:val="single"/>
        </w:rPr>
        <w:t>Une note explicative</w:t>
      </w:r>
      <w:r w:rsidR="00864D9C">
        <w:rPr>
          <w:b/>
          <w:bCs/>
          <w:u w:val="single"/>
        </w:rPr>
        <w:t> </w:t>
      </w:r>
      <w:r w:rsidR="00864D9C">
        <w:rPr>
          <w:b/>
          <w:bCs/>
          <w:u w:val="single"/>
          <w:lang w:val="fr-FR"/>
        </w:rPr>
        <w:t xml:space="preserve">: </w:t>
      </w:r>
      <w:r w:rsidRPr="0023096C">
        <w:rPr>
          <w:b/>
          <w:bCs/>
          <w:i/>
          <w:iCs/>
        </w:rPr>
        <w:t xml:space="preserve"> de maximum 2 pages A4 pour tout autre point que le soumissionnaire</w:t>
      </w:r>
      <w:r w:rsidR="00864D9C">
        <w:rPr>
          <w:b/>
          <w:bCs/>
          <w:i/>
          <w:iCs/>
          <w:lang w:val="fr-FR"/>
        </w:rPr>
        <w:t xml:space="preserve"> </w:t>
      </w:r>
      <w:r w:rsidRPr="0023096C">
        <w:rPr>
          <w:b/>
          <w:bCs/>
          <w:i/>
          <w:iCs/>
        </w:rPr>
        <w:t>jugerait utile pour apporter une plus-value sur son offre en termes de services, y compris la</w:t>
      </w:r>
      <w:r w:rsidR="00864D9C">
        <w:rPr>
          <w:b/>
          <w:bCs/>
          <w:i/>
          <w:iCs/>
          <w:lang w:val="fr-FR"/>
        </w:rPr>
        <w:t xml:space="preserve"> </w:t>
      </w:r>
      <w:r w:rsidRPr="0023096C">
        <w:rPr>
          <w:b/>
          <w:bCs/>
          <w:i/>
          <w:iCs/>
        </w:rPr>
        <w:t xml:space="preserve">façon qu’il évalue le prix des réparations après accident </w:t>
      </w:r>
      <w:r w:rsidRPr="00954D26">
        <w:rPr>
          <w:b/>
          <w:bCs/>
        </w:rPr>
        <w:t>/10 points</w:t>
      </w:r>
    </w:p>
    <w:p w14:paraId="5041051A" w14:textId="77777777" w:rsidR="00BF5728" w:rsidRPr="00BF5728" w:rsidRDefault="00BF5728" w:rsidP="00BF5728">
      <w:pPr>
        <w:shd w:val="clear" w:color="auto" w:fill="D9D9D9" w:themeFill="background1" w:themeFillShade="D9"/>
        <w:rPr>
          <w:b/>
          <w:bCs/>
        </w:rPr>
      </w:pPr>
      <w:r w:rsidRPr="00BF5728">
        <w:rPr>
          <w:b/>
          <w:bCs/>
        </w:rPr>
        <w:t>• Prix : 40 points</w:t>
      </w:r>
    </w:p>
    <w:p w14:paraId="696D97ED" w14:textId="77777777" w:rsidR="00BF5728" w:rsidRPr="00BF5728" w:rsidRDefault="00BF5728" w:rsidP="00BF5728">
      <w:pPr>
        <w:rPr>
          <w:b/>
          <w:bCs/>
        </w:rPr>
      </w:pPr>
      <w:r w:rsidRPr="00BF5728">
        <w:rPr>
          <w:b/>
          <w:bCs/>
        </w:rPr>
        <w:t>En ce qui concerne le critère « prix », la formule suivante sera utilisée :</w:t>
      </w:r>
    </w:p>
    <w:p w14:paraId="6CFDA1B1" w14:textId="2C6A4500" w:rsidR="00BF5728" w:rsidRDefault="00BF5728" w:rsidP="00BF5728">
      <w:pPr>
        <w:pBdr>
          <w:top w:val="single" w:sz="4" w:space="1" w:color="auto"/>
          <w:left w:val="single" w:sz="4" w:space="4" w:color="auto"/>
          <w:bottom w:val="single" w:sz="4" w:space="1" w:color="auto"/>
          <w:right w:val="single" w:sz="4" w:space="4" w:color="auto"/>
        </w:pBdr>
        <w:rPr>
          <w:b/>
          <w:bCs/>
          <w:lang w:val="fr-FR"/>
        </w:rPr>
      </w:pPr>
      <w:r w:rsidRPr="00BF5728">
        <w:rPr>
          <w:b/>
          <w:bCs/>
        </w:rPr>
        <w:t>Points offre A = (montant offre le moins disant) * 40/montant offre A</w:t>
      </w:r>
    </w:p>
    <w:p w14:paraId="460498C5" w14:textId="7AE56BC9" w:rsidR="00BF5728" w:rsidRDefault="00BF5728" w:rsidP="00864D9C">
      <w:pPr>
        <w:rPr>
          <w:b/>
          <w:bCs/>
          <w:lang w:val="fr-FR"/>
        </w:rPr>
      </w:pPr>
    </w:p>
    <w:p w14:paraId="4E6505B7" w14:textId="7271B87B" w:rsidR="00646AB3" w:rsidRPr="00FA11C3" w:rsidRDefault="00FA11C3" w:rsidP="00FA11C3">
      <w:pPr>
        <w:pStyle w:val="Titre2"/>
        <w:ind w:left="576" w:hanging="576"/>
      </w:pPr>
      <w:r w:rsidRPr="00FA11C3">
        <w:t>4. 14 Facturation et paiement des services (art. 66 à 72 -160)</w:t>
      </w:r>
    </w:p>
    <w:p w14:paraId="3EB8FEEA" w14:textId="3B8E7A3A" w:rsidR="00646AB3" w:rsidRPr="00895E08" w:rsidRDefault="00646AB3" w:rsidP="00646AB3">
      <w:pPr>
        <w:jc w:val="both"/>
        <w:rPr>
          <w:u w:val="single"/>
        </w:rPr>
      </w:pPr>
      <w:r w:rsidRPr="000D4355">
        <w:t xml:space="preserve">L’adjudicataire envoie les factures (en un seul exemplaire) et le procès-verbal de réception de chaque commande (exemplaire original) </w:t>
      </w:r>
      <w:r w:rsidRPr="00895E08">
        <w:rPr>
          <w:u w:val="single"/>
        </w:rPr>
        <w:t xml:space="preserve">à l’adresse </w:t>
      </w:r>
      <w:r w:rsidR="009A0CDC" w:rsidRPr="00895E08">
        <w:rPr>
          <w:u w:val="single"/>
        </w:rPr>
        <w:t xml:space="preserve">qui sera indiquée sur les bons de commandes/notifications de marchés </w:t>
      </w:r>
      <w:r w:rsidR="0009690D" w:rsidRPr="00895E08">
        <w:rPr>
          <w:u w:val="single"/>
        </w:rPr>
        <w:t>subséquents.</w:t>
      </w:r>
    </w:p>
    <w:p w14:paraId="0F425DBD" w14:textId="77777777" w:rsidR="00646AB3" w:rsidRPr="000D4355" w:rsidRDefault="00646AB3" w:rsidP="00646AB3">
      <w:pPr>
        <w:jc w:val="both"/>
      </w:pPr>
      <w:r w:rsidRPr="000D4355">
        <w:lastRenderedPageBreak/>
        <w:t>Seuls les services exécutés de manière correcte pourront être facturés.</w:t>
      </w:r>
    </w:p>
    <w:p w14:paraId="0012DEE0" w14:textId="77777777" w:rsidR="00646AB3" w:rsidRPr="000D4355" w:rsidRDefault="00646AB3" w:rsidP="00646AB3">
      <w:pPr>
        <w:jc w:val="both"/>
      </w:pPr>
      <w:r w:rsidRPr="000D4355">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6EFCE83A" w14:textId="77777777" w:rsidR="00646AB3" w:rsidRPr="000D4355" w:rsidRDefault="00646AB3" w:rsidP="00646AB3">
      <w:pPr>
        <w:jc w:val="both"/>
      </w:pPr>
      <w:r w:rsidRPr="000D4355">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765E364" w14:textId="77777777" w:rsidR="00646AB3" w:rsidRPr="000D4355" w:rsidRDefault="00646AB3" w:rsidP="00646AB3">
      <w:pPr>
        <w:jc w:val="both"/>
      </w:pPr>
      <w:r w:rsidRPr="000D4355">
        <w:t>Lorsque les documents du marché ne prévoient pas une déclaration de créance séparée, la facture vaut déclaration de créance.</w:t>
      </w:r>
    </w:p>
    <w:p w14:paraId="1AD17794" w14:textId="623D711B" w:rsidR="00646AB3" w:rsidRPr="00EC1173" w:rsidRDefault="00646AB3" w:rsidP="00646AB3">
      <w:pPr>
        <w:jc w:val="both"/>
        <w:rPr>
          <w:u w:val="single"/>
        </w:rPr>
      </w:pPr>
      <w:r w:rsidRPr="00EC1173">
        <w:t>La facture doit être libellée en EURO</w:t>
      </w:r>
      <w:r w:rsidR="009A0CDC" w:rsidRPr="00EC1173">
        <w:rPr>
          <w:u w:val="single"/>
        </w:rPr>
        <w:t xml:space="preserve"> ou en BIF à condition que des dispositions légales au Burundi </w:t>
      </w:r>
      <w:r w:rsidR="00BB396D" w:rsidRPr="00EC1173">
        <w:rPr>
          <w:u w:val="single"/>
        </w:rPr>
        <w:t>l’exigent.</w:t>
      </w:r>
    </w:p>
    <w:p w14:paraId="2EF234C6" w14:textId="537D48FB" w:rsidR="000D4355" w:rsidRPr="00965EE2" w:rsidRDefault="00BB396D" w:rsidP="00646AB3">
      <w:pPr>
        <w:jc w:val="both"/>
        <w:rPr>
          <w:b/>
          <w:bCs/>
        </w:rPr>
      </w:pPr>
      <w:r>
        <w:rPr>
          <w:b/>
          <w:bCs/>
        </w:rPr>
        <w:t>Si le montant est en euro, l</w:t>
      </w:r>
      <w:r w:rsidR="000D4355" w:rsidRPr="00965EE2">
        <w:rPr>
          <w:b/>
          <w:bCs/>
        </w:rPr>
        <w:t>e Paiement se fera en BIF</w:t>
      </w:r>
      <w:r w:rsidR="00965EE2" w:rsidRPr="00965EE2">
        <w:rPr>
          <w:b/>
          <w:bCs/>
        </w:rPr>
        <w:t xml:space="preserve">, </w:t>
      </w:r>
      <w:r w:rsidR="000D4355" w:rsidRPr="00965EE2">
        <w:rPr>
          <w:b/>
          <w:bCs/>
        </w:rPr>
        <w:t xml:space="preserve">au taux </w:t>
      </w:r>
      <w:r w:rsidR="00965EE2" w:rsidRPr="00965EE2">
        <w:rPr>
          <w:b/>
          <w:bCs/>
        </w:rPr>
        <w:t>moyen</w:t>
      </w:r>
      <w:r w:rsidR="000D4355" w:rsidRPr="00965EE2">
        <w:rPr>
          <w:b/>
          <w:bCs/>
        </w:rPr>
        <w:t xml:space="preserve"> de la</w:t>
      </w:r>
      <w:r w:rsidR="0080185D" w:rsidRPr="00965EE2">
        <w:rPr>
          <w:b/>
          <w:bCs/>
        </w:rPr>
        <w:t xml:space="preserve"> </w:t>
      </w:r>
      <w:r w:rsidR="00965EE2" w:rsidRPr="00965EE2">
        <w:rPr>
          <w:b/>
          <w:bCs/>
        </w:rPr>
        <w:t>B</w:t>
      </w:r>
      <w:r w:rsidR="0080185D" w:rsidRPr="00965EE2">
        <w:rPr>
          <w:b/>
          <w:bCs/>
        </w:rPr>
        <w:t xml:space="preserve">anque </w:t>
      </w:r>
      <w:r w:rsidR="00965EE2" w:rsidRPr="00965EE2">
        <w:rPr>
          <w:b/>
          <w:bCs/>
        </w:rPr>
        <w:t xml:space="preserve">de la République du Burundi du jour de la </w:t>
      </w:r>
      <w:r w:rsidR="000D4355" w:rsidRPr="00965EE2">
        <w:rPr>
          <w:b/>
          <w:bCs/>
        </w:rPr>
        <w:t>facturation</w:t>
      </w:r>
      <w:r w:rsidR="00965EE2" w:rsidRPr="00965EE2">
        <w:rPr>
          <w:b/>
          <w:bCs/>
        </w:rPr>
        <w:t>.</w:t>
      </w:r>
    </w:p>
    <w:p w14:paraId="70E5332B" w14:textId="77777777" w:rsidR="00646AB3" w:rsidRPr="000D4355" w:rsidRDefault="00646AB3" w:rsidP="00646AB3">
      <w:pPr>
        <w:jc w:val="both"/>
      </w:pPr>
      <w:r w:rsidRPr="000D4355">
        <w:t>Afin qu’</w:t>
      </w:r>
      <w:proofErr w:type="spellStart"/>
      <w:r w:rsidRPr="000D4355">
        <w:t>Enabel</w:t>
      </w:r>
      <w:proofErr w:type="spellEnd"/>
      <w:r w:rsidRPr="000D4355">
        <w:t xml:space="preserve"> puisse obtenir les documents d’exonération de la TVA et de dédouanement dans les plus brefs délais, la facture originale et tous les documents ad hoc seront transmis dès que possible avant la réception provisoire.</w:t>
      </w:r>
    </w:p>
    <w:p w14:paraId="4FDB7990" w14:textId="283144F4" w:rsidR="00646AB3" w:rsidRPr="00FA11C3" w:rsidRDefault="00FA11C3" w:rsidP="00FA11C3">
      <w:pPr>
        <w:pStyle w:val="Titre1"/>
        <w:ind w:left="432" w:hanging="432"/>
      </w:pPr>
      <w:r w:rsidRPr="00FA11C3">
        <w:t>5. Termes de référence</w:t>
      </w:r>
    </w:p>
    <w:p w14:paraId="18D13B57" w14:textId="52031377" w:rsidR="00646AB3" w:rsidRPr="00FA11C3" w:rsidRDefault="00FA11C3" w:rsidP="00FA11C3">
      <w:pPr>
        <w:pStyle w:val="Titre2"/>
        <w:ind w:left="576" w:hanging="576"/>
      </w:pPr>
      <w:r w:rsidRPr="00FA11C3">
        <w:t>5. 1 Objet</w:t>
      </w:r>
    </w:p>
    <w:p w14:paraId="57A7BDDF" w14:textId="1D6894EE" w:rsidR="00FA11C3" w:rsidRPr="00C279C6" w:rsidRDefault="00FA11C3" w:rsidP="003E67A6">
      <w:pPr>
        <w:rPr>
          <w:b/>
          <w:bCs/>
          <w:lang w:val="fr-FR"/>
        </w:rPr>
      </w:pPr>
      <w:r w:rsidRPr="00FA11C3">
        <w:rPr>
          <w:b/>
          <w:bCs/>
        </w:rPr>
        <w:t>Le marché est réparti</w:t>
      </w:r>
      <w:r w:rsidR="009A0CDC">
        <w:rPr>
          <w:b/>
          <w:bCs/>
        </w:rPr>
        <w:t xml:space="preserve"> par projet et suivant le nombre de véhicule indiqué dans le tableau annexé</w:t>
      </w:r>
      <w:r w:rsidRPr="00FA11C3">
        <w:rPr>
          <w:b/>
          <w:bCs/>
        </w:rPr>
        <w:t xml:space="preserve"> </w:t>
      </w:r>
    </w:p>
    <w:p w14:paraId="592C0707" w14:textId="72354570" w:rsidR="00FA11C3" w:rsidRPr="00131378" w:rsidRDefault="00FA11C3" w:rsidP="00FA11C3">
      <w:pPr>
        <w:rPr>
          <w:b/>
          <w:bCs/>
          <w:sz w:val="20"/>
          <w:szCs w:val="20"/>
        </w:rPr>
      </w:pPr>
      <w:r w:rsidRPr="00131378">
        <w:rPr>
          <w:b/>
          <w:bCs/>
          <w:sz w:val="20"/>
          <w:szCs w:val="20"/>
        </w:rPr>
        <w:t>Liste et les caractéristiques en annexe (voir tableau).</w:t>
      </w:r>
    </w:p>
    <w:p w14:paraId="6192B0B0" w14:textId="63F3D2B8" w:rsidR="00C279C6" w:rsidRPr="00131378" w:rsidRDefault="00C279C6" w:rsidP="00131378">
      <w:pPr>
        <w:pStyle w:val="Corpsdetexte"/>
        <w:numPr>
          <w:ilvl w:val="0"/>
          <w:numId w:val="17"/>
        </w:numPr>
        <w:rPr>
          <w:rFonts w:ascii="Georgia" w:eastAsia="Calibri" w:hAnsi="Georgia" w:cs="Times New Roman"/>
          <w:b/>
          <w:bCs/>
          <w:iCs/>
          <w:kern w:val="0"/>
          <w:sz w:val="21"/>
          <w:szCs w:val="22"/>
          <w:lang w:val="fr-BE"/>
        </w:rPr>
      </w:pPr>
      <w:r w:rsidRPr="00131378">
        <w:rPr>
          <w:rFonts w:ascii="Georgia" w:eastAsia="Calibri" w:hAnsi="Georgia" w:cs="Times New Roman"/>
          <w:b/>
          <w:bCs/>
          <w:iCs/>
          <w:kern w:val="0"/>
          <w:sz w:val="21"/>
          <w:szCs w:val="22"/>
          <w:lang w:val="fr-BE"/>
        </w:rPr>
        <w:t xml:space="preserve"> </w:t>
      </w:r>
      <w:r w:rsidR="00BB396D" w:rsidRPr="00131378">
        <w:rPr>
          <w:rFonts w:ascii="Georgia" w:eastAsia="Calibri" w:hAnsi="Georgia" w:cs="Times New Roman"/>
          <w:b/>
          <w:bCs/>
          <w:iCs/>
          <w:kern w:val="0"/>
          <w:sz w:val="21"/>
          <w:szCs w:val="22"/>
          <w:lang w:val="fr-BE"/>
        </w:rPr>
        <w:t xml:space="preserve">Autres précisions à prendre en compte en dehors des charges de la responsabilité civile </w:t>
      </w:r>
      <w:r w:rsidRPr="00131378">
        <w:rPr>
          <w:rFonts w:ascii="Georgia" w:eastAsia="Calibri" w:hAnsi="Georgia" w:cs="Times New Roman"/>
          <w:b/>
          <w:bCs/>
          <w:iCs/>
          <w:kern w:val="0"/>
          <w:sz w:val="21"/>
          <w:szCs w:val="22"/>
          <w:lang w:val="fr-BE"/>
        </w:rPr>
        <w:t xml:space="preserve">: </w:t>
      </w:r>
      <w:r w:rsidR="00BB396D" w:rsidRPr="00131378">
        <w:rPr>
          <w:rFonts w:ascii="Georgia" w:eastAsia="Calibri" w:hAnsi="Georgia" w:cs="Times New Roman"/>
          <w:b/>
          <w:bCs/>
          <w:iCs/>
          <w:kern w:val="0"/>
          <w:sz w:val="21"/>
          <w:szCs w:val="22"/>
          <w:lang w:val="fr-BE"/>
        </w:rPr>
        <w:t>Capitaux assurés pour chaque individu occupant du véhicule</w:t>
      </w:r>
      <w:r w:rsidR="0009690D" w:rsidRPr="00131378">
        <w:rPr>
          <w:rFonts w:ascii="Georgia" w:eastAsia="Calibri" w:hAnsi="Georgia" w:cs="Times New Roman"/>
          <w:b/>
          <w:bCs/>
          <w:iCs/>
          <w:kern w:val="0"/>
          <w:sz w:val="21"/>
          <w:szCs w:val="22"/>
          <w:lang w:val="fr-BE"/>
        </w:rPr>
        <w:t xml:space="preserve"> </w:t>
      </w:r>
      <w:r w:rsidRPr="00131378">
        <w:rPr>
          <w:rFonts w:ascii="Georgia" w:eastAsia="Calibri" w:hAnsi="Georgia" w:cs="Times New Roman"/>
          <w:b/>
          <w:bCs/>
          <w:iCs/>
          <w:kern w:val="0"/>
          <w:sz w:val="21"/>
          <w:szCs w:val="22"/>
          <w:lang w:val="fr-BE"/>
        </w:rPr>
        <w:t>(montant fixe pour tous les soumissionnaires comme suit) :</w:t>
      </w:r>
    </w:p>
    <w:p w14:paraId="40653872" w14:textId="3BC0F917" w:rsidR="00C279C6" w:rsidRPr="00131378" w:rsidRDefault="0071269E" w:rsidP="00131378">
      <w:pPr>
        <w:pStyle w:val="Corpsdetexte"/>
        <w:numPr>
          <w:ilvl w:val="0"/>
          <w:numId w:val="18"/>
        </w:numPr>
        <w:rPr>
          <w:rFonts w:ascii="Georgia" w:eastAsia="Calibri" w:hAnsi="Georgia" w:cs="Times New Roman"/>
          <w:b/>
          <w:bCs/>
          <w:iCs/>
          <w:kern w:val="0"/>
          <w:sz w:val="21"/>
          <w:szCs w:val="22"/>
          <w:lang w:val="fr-BE"/>
        </w:rPr>
      </w:pPr>
      <w:r w:rsidRPr="00131378">
        <w:rPr>
          <w:rFonts w:ascii="Georgia" w:eastAsia="Calibri" w:hAnsi="Georgia" w:cs="Times New Roman"/>
          <w:b/>
          <w:bCs/>
          <w:iCs/>
          <w:kern w:val="0"/>
          <w:sz w:val="21"/>
          <w:szCs w:val="22"/>
          <w:lang w:val="fr-BE"/>
        </w:rPr>
        <w:t>D</w:t>
      </w:r>
      <w:r w:rsidR="00C279C6" w:rsidRPr="00131378">
        <w:rPr>
          <w:rFonts w:ascii="Georgia" w:eastAsia="Calibri" w:hAnsi="Georgia" w:cs="Times New Roman"/>
          <w:b/>
          <w:bCs/>
          <w:iCs/>
          <w:kern w:val="0"/>
          <w:sz w:val="21"/>
          <w:szCs w:val="22"/>
          <w:lang w:val="fr-BE"/>
        </w:rPr>
        <w:t>écès : 3 millions</w:t>
      </w:r>
    </w:p>
    <w:p w14:paraId="0633392C" w14:textId="77777777" w:rsidR="00C279C6" w:rsidRPr="00131378" w:rsidRDefault="00C279C6" w:rsidP="00131378">
      <w:pPr>
        <w:pStyle w:val="Corpsdetexte"/>
        <w:numPr>
          <w:ilvl w:val="0"/>
          <w:numId w:val="18"/>
        </w:numPr>
        <w:rPr>
          <w:rFonts w:ascii="Georgia" w:eastAsia="Calibri" w:hAnsi="Georgia" w:cs="Times New Roman"/>
          <w:b/>
          <w:bCs/>
          <w:iCs/>
          <w:kern w:val="0"/>
          <w:sz w:val="21"/>
          <w:szCs w:val="22"/>
          <w:lang w:val="fr-BE"/>
        </w:rPr>
      </w:pPr>
      <w:r w:rsidRPr="00131378">
        <w:rPr>
          <w:rFonts w:ascii="Georgia" w:eastAsia="Calibri" w:hAnsi="Georgia" w:cs="Times New Roman"/>
          <w:b/>
          <w:bCs/>
          <w:iCs/>
          <w:kern w:val="0"/>
          <w:sz w:val="21"/>
          <w:szCs w:val="22"/>
          <w:lang w:val="fr-BE"/>
        </w:rPr>
        <w:t>Invalidité : 3 millions</w:t>
      </w:r>
    </w:p>
    <w:p w14:paraId="2591B327" w14:textId="1BE7B9E8" w:rsidR="00C279C6" w:rsidRPr="00131378" w:rsidRDefault="00C279C6" w:rsidP="00131378">
      <w:pPr>
        <w:pStyle w:val="Corpsdetexte"/>
        <w:numPr>
          <w:ilvl w:val="0"/>
          <w:numId w:val="18"/>
        </w:numPr>
        <w:rPr>
          <w:b/>
          <w:bCs/>
        </w:rPr>
      </w:pPr>
      <w:r w:rsidRPr="00131378">
        <w:rPr>
          <w:rFonts w:ascii="Georgia" w:eastAsia="Calibri" w:hAnsi="Georgia" w:cs="Times New Roman"/>
          <w:b/>
          <w:bCs/>
          <w:iCs/>
          <w:kern w:val="0"/>
          <w:sz w:val="21"/>
          <w:szCs w:val="22"/>
          <w:lang w:val="fr-BE"/>
        </w:rPr>
        <w:t>Frais médicaux : 500 mille</w:t>
      </w:r>
    </w:p>
    <w:p w14:paraId="23D3C3B0" w14:textId="0E06F894" w:rsidR="0009690D" w:rsidRPr="00131378" w:rsidRDefault="0009690D" w:rsidP="00131378">
      <w:pPr>
        <w:pStyle w:val="Corpsdetexte"/>
        <w:rPr>
          <w:b/>
          <w:bCs/>
        </w:rPr>
      </w:pPr>
    </w:p>
    <w:p w14:paraId="3C7AFDBD" w14:textId="4CC8ABEA" w:rsidR="0009690D" w:rsidRDefault="0009690D" w:rsidP="0009690D">
      <w:pPr>
        <w:pStyle w:val="Corpsdetexte"/>
        <w:shd w:val="clear" w:color="auto" w:fill="FFFFFF" w:themeFill="background1"/>
        <w:rPr>
          <w:b/>
          <w:bCs/>
        </w:rPr>
      </w:pPr>
    </w:p>
    <w:p w14:paraId="497802E1" w14:textId="1C134789" w:rsidR="00D06DCD" w:rsidRDefault="00D06DCD" w:rsidP="0009690D">
      <w:pPr>
        <w:pStyle w:val="Corpsdetexte"/>
        <w:shd w:val="clear" w:color="auto" w:fill="FFFFFF" w:themeFill="background1"/>
        <w:rPr>
          <w:b/>
          <w:bCs/>
        </w:rPr>
      </w:pPr>
    </w:p>
    <w:p w14:paraId="2AAC056C" w14:textId="2458D1FC" w:rsidR="00D06DCD" w:rsidRDefault="00D06DCD" w:rsidP="0009690D">
      <w:pPr>
        <w:pStyle w:val="Corpsdetexte"/>
        <w:shd w:val="clear" w:color="auto" w:fill="FFFFFF" w:themeFill="background1"/>
        <w:rPr>
          <w:b/>
          <w:bCs/>
        </w:rPr>
      </w:pPr>
    </w:p>
    <w:p w14:paraId="7E7C6A8A" w14:textId="77777777" w:rsidR="00D06DCD" w:rsidRPr="00131378" w:rsidRDefault="00D06DCD" w:rsidP="0009690D">
      <w:pPr>
        <w:pStyle w:val="Corpsdetexte"/>
        <w:shd w:val="clear" w:color="auto" w:fill="FFFFFF" w:themeFill="background1"/>
        <w:rPr>
          <w:b/>
          <w:bCs/>
        </w:rPr>
      </w:pPr>
    </w:p>
    <w:p w14:paraId="2027D5FF" w14:textId="77777777" w:rsidR="0009690D" w:rsidRPr="00131378" w:rsidRDefault="0009690D" w:rsidP="0009690D">
      <w:pPr>
        <w:pStyle w:val="Corpsdetexte"/>
        <w:shd w:val="clear" w:color="auto" w:fill="FFFFFF" w:themeFill="background1"/>
        <w:rPr>
          <w:b/>
          <w:bCs/>
        </w:rPr>
      </w:pPr>
    </w:p>
    <w:p w14:paraId="06223C4F" w14:textId="000EC08E" w:rsidR="00646AB3" w:rsidRPr="003F6C38" w:rsidRDefault="003F6C38" w:rsidP="003F6C38">
      <w:pPr>
        <w:pStyle w:val="Titre1"/>
        <w:ind w:left="432" w:hanging="432"/>
      </w:pPr>
      <w:r w:rsidRPr="003F6C38">
        <w:lastRenderedPageBreak/>
        <w:t>6. Formulaires</w:t>
      </w:r>
    </w:p>
    <w:p w14:paraId="303F4B85" w14:textId="66776DF9" w:rsidR="003F6C38" w:rsidRPr="003F6C38" w:rsidRDefault="003F6C38" w:rsidP="003F6C38">
      <w:pPr>
        <w:rPr>
          <w:b/>
          <w:bCs/>
          <w:lang w:val="fr-FR"/>
        </w:rPr>
      </w:pPr>
      <w:r w:rsidRPr="003F6C38">
        <w:rPr>
          <w:b/>
          <w:bCs/>
          <w:lang w:val="fr-FR"/>
        </w:rPr>
        <w:t>6.2.1 Annexe au formulaire d’offre-prix : Bordereau des prix</w:t>
      </w:r>
    </w:p>
    <w:p w14:paraId="3632A26B" w14:textId="4601BC00" w:rsidR="00131378" w:rsidRDefault="00BB396D" w:rsidP="00980429">
      <w:pPr>
        <w:autoSpaceDE w:val="0"/>
        <w:autoSpaceDN w:val="0"/>
        <w:adjustRightInd w:val="0"/>
        <w:spacing w:after="0" w:line="240" w:lineRule="auto"/>
        <w:jc w:val="both"/>
        <w:rPr>
          <w:rFonts w:cs="Georgia"/>
          <w:szCs w:val="21"/>
        </w:rPr>
      </w:pPr>
      <w:r w:rsidRPr="00980429">
        <w:rPr>
          <w:rFonts w:cs="Georgia"/>
          <w:szCs w:val="21"/>
        </w:rPr>
        <w:t>Le formulaire de prix mentionnera</w:t>
      </w:r>
      <w:r w:rsidR="00131378">
        <w:rPr>
          <w:rFonts w:cs="Georgia"/>
          <w:szCs w:val="21"/>
        </w:rPr>
        <w:t>, à partir du montant de chaque véhicule,</w:t>
      </w:r>
      <w:r w:rsidRPr="00980429">
        <w:rPr>
          <w:rFonts w:cs="Georgia"/>
          <w:szCs w:val="21"/>
        </w:rPr>
        <w:t xml:space="preserve"> les montant</w:t>
      </w:r>
      <w:r w:rsidR="0009690D" w:rsidRPr="00980429">
        <w:rPr>
          <w:rFonts w:cs="Georgia"/>
          <w:szCs w:val="21"/>
        </w:rPr>
        <w:t>s</w:t>
      </w:r>
      <w:r w:rsidRPr="00980429">
        <w:rPr>
          <w:rFonts w:cs="Georgia"/>
          <w:szCs w:val="21"/>
        </w:rPr>
        <w:t xml:space="preserve"> totaux par projet et le bordereau de prix se fera en considérant le tableau</w:t>
      </w:r>
      <w:r w:rsidR="00131378">
        <w:rPr>
          <w:rFonts w:cs="Georgia"/>
          <w:szCs w:val="21"/>
        </w:rPr>
        <w:t xml:space="preserve"> (Voir </w:t>
      </w:r>
      <w:r w:rsidR="0077504D">
        <w:rPr>
          <w:rFonts w:cs="Georgia"/>
          <w:szCs w:val="21"/>
        </w:rPr>
        <w:t>Inventaire_</w:t>
      </w:r>
      <w:bookmarkStart w:id="4" w:name="_GoBack"/>
      <w:bookmarkEnd w:id="4"/>
      <w:r w:rsidR="0077504D">
        <w:rPr>
          <w:rFonts w:cs="Georgia"/>
          <w:szCs w:val="21"/>
        </w:rPr>
        <w:t>Bordereau des prix</w:t>
      </w:r>
      <w:r w:rsidR="00D06DCD">
        <w:rPr>
          <w:rFonts w:cs="Georgia"/>
          <w:szCs w:val="21"/>
        </w:rPr>
        <w:t>)</w:t>
      </w:r>
      <w:r w:rsidRPr="00980429">
        <w:rPr>
          <w:rFonts w:cs="Georgia"/>
          <w:szCs w:val="21"/>
        </w:rPr>
        <w:t xml:space="preserve"> comportant la liste des véhicules par projet</w:t>
      </w:r>
      <w:r w:rsidR="00131378">
        <w:rPr>
          <w:rFonts w:cs="Georgia"/>
          <w:szCs w:val="21"/>
        </w:rPr>
        <w:t xml:space="preserve"> et alors pour tout </w:t>
      </w:r>
      <w:proofErr w:type="spellStart"/>
      <w:r w:rsidR="00131378">
        <w:rPr>
          <w:rFonts w:cs="Georgia"/>
          <w:szCs w:val="21"/>
        </w:rPr>
        <w:t>Enabel</w:t>
      </w:r>
      <w:proofErr w:type="spellEnd"/>
      <w:r w:rsidR="00131378">
        <w:rPr>
          <w:rFonts w:cs="Georgia"/>
          <w:szCs w:val="21"/>
        </w:rPr>
        <w:t xml:space="preserve"> au Burundi.</w:t>
      </w:r>
    </w:p>
    <w:p w14:paraId="178E636F" w14:textId="77CBEF9B" w:rsidR="008E65BD" w:rsidRDefault="008E65BD" w:rsidP="00980429">
      <w:pPr>
        <w:autoSpaceDE w:val="0"/>
        <w:autoSpaceDN w:val="0"/>
        <w:adjustRightInd w:val="0"/>
        <w:spacing w:after="0" w:line="240" w:lineRule="auto"/>
        <w:jc w:val="both"/>
        <w:rPr>
          <w:rFonts w:cs="Georgia"/>
          <w:szCs w:val="21"/>
        </w:rPr>
      </w:pPr>
    </w:p>
    <w:p w14:paraId="165735FA" w14:textId="344C8D0D" w:rsidR="00047B9F" w:rsidRPr="00131378" w:rsidRDefault="00131378" w:rsidP="00980429">
      <w:pPr>
        <w:autoSpaceDE w:val="0"/>
        <w:autoSpaceDN w:val="0"/>
        <w:adjustRightInd w:val="0"/>
        <w:spacing w:after="0" w:line="240" w:lineRule="auto"/>
        <w:jc w:val="both"/>
        <w:rPr>
          <w:rFonts w:cs="Georgia"/>
          <w:b/>
          <w:bCs/>
          <w:szCs w:val="21"/>
        </w:rPr>
      </w:pPr>
      <w:r w:rsidRPr="00131378">
        <w:rPr>
          <w:rFonts w:cs="Georgia"/>
          <w:b/>
          <w:bCs/>
          <w:szCs w:val="21"/>
        </w:rPr>
        <w:t>Ainsi, le</w:t>
      </w:r>
      <w:r w:rsidR="001E0DE0" w:rsidRPr="00131378">
        <w:rPr>
          <w:rFonts w:cs="Georgia"/>
          <w:b/>
          <w:bCs/>
          <w:szCs w:val="21"/>
        </w:rPr>
        <w:t xml:space="preserve"> soumissionnaire est obligé de renseigner sur le prix global pour tous les projets.</w:t>
      </w:r>
    </w:p>
    <w:p w14:paraId="7EE8EF85" w14:textId="77777777" w:rsidR="00980429" w:rsidRPr="00980429" w:rsidRDefault="00980429" w:rsidP="00980429">
      <w:pPr>
        <w:autoSpaceDE w:val="0"/>
        <w:autoSpaceDN w:val="0"/>
        <w:adjustRightInd w:val="0"/>
        <w:spacing w:after="0" w:line="240" w:lineRule="auto"/>
        <w:jc w:val="both"/>
        <w:rPr>
          <w:rFonts w:cs="Georgia"/>
          <w:szCs w:val="21"/>
        </w:rPr>
      </w:pPr>
    </w:p>
    <w:p w14:paraId="19089E18" w14:textId="4859E9CA" w:rsidR="0071269E" w:rsidRPr="00980429" w:rsidRDefault="0071269E" w:rsidP="00980429">
      <w:pPr>
        <w:autoSpaceDE w:val="0"/>
        <w:autoSpaceDN w:val="0"/>
        <w:adjustRightInd w:val="0"/>
        <w:spacing w:after="0" w:line="240" w:lineRule="auto"/>
        <w:jc w:val="both"/>
        <w:rPr>
          <w:b/>
          <w:bCs/>
          <w:lang w:val="fr-FR"/>
        </w:rPr>
      </w:pPr>
      <w:r w:rsidRPr="00980429">
        <w:rPr>
          <w:rFonts w:cs="Georgia"/>
          <w:szCs w:val="21"/>
        </w:rPr>
        <w:t xml:space="preserve">Le soumissionnaire est autorisé à fournir en dehors de ces deux documents, </w:t>
      </w:r>
      <w:r w:rsidR="0009690D" w:rsidRPr="00980429">
        <w:rPr>
          <w:rFonts w:cs="Georgia"/>
          <w:szCs w:val="21"/>
        </w:rPr>
        <w:t>le détail</w:t>
      </w:r>
      <w:r w:rsidRPr="00980429">
        <w:rPr>
          <w:rFonts w:cs="Georgia"/>
          <w:szCs w:val="21"/>
        </w:rPr>
        <w:t xml:space="preserve"> des prix suivant son formulaire.</w:t>
      </w:r>
    </w:p>
    <w:p w14:paraId="4AE99F6B" w14:textId="7F95B524" w:rsidR="008E65BD" w:rsidRPr="00980429" w:rsidRDefault="008E65BD" w:rsidP="00980429">
      <w:pPr>
        <w:autoSpaceDE w:val="0"/>
        <w:autoSpaceDN w:val="0"/>
        <w:adjustRightInd w:val="0"/>
        <w:spacing w:after="0" w:line="240" w:lineRule="auto"/>
        <w:jc w:val="both"/>
        <w:rPr>
          <w:b/>
          <w:bCs/>
          <w:lang w:val="fr-FR"/>
        </w:rPr>
      </w:pPr>
    </w:p>
    <w:p w14:paraId="2D532E26" w14:textId="6B1E3C3F" w:rsidR="008E65BD" w:rsidRPr="00980429" w:rsidRDefault="008E65BD" w:rsidP="00980429">
      <w:pPr>
        <w:autoSpaceDE w:val="0"/>
        <w:autoSpaceDN w:val="0"/>
        <w:adjustRightInd w:val="0"/>
        <w:spacing w:after="0" w:line="240" w:lineRule="auto"/>
        <w:jc w:val="both"/>
        <w:rPr>
          <w:b/>
          <w:bCs/>
          <w:lang w:val="fr-FR"/>
        </w:rPr>
      </w:pPr>
    </w:p>
    <w:p w14:paraId="01FA31EE" w14:textId="765A2072" w:rsidR="008E65BD" w:rsidRDefault="008E65BD" w:rsidP="00234177">
      <w:pPr>
        <w:autoSpaceDE w:val="0"/>
        <w:autoSpaceDN w:val="0"/>
        <w:adjustRightInd w:val="0"/>
        <w:spacing w:after="0" w:line="240" w:lineRule="auto"/>
        <w:rPr>
          <w:b/>
          <w:bCs/>
          <w:lang w:val="fr-FR"/>
        </w:rPr>
      </w:pPr>
    </w:p>
    <w:p w14:paraId="7A9B9CF7" w14:textId="3EE1A1B2" w:rsidR="008E65BD" w:rsidRDefault="008E65BD" w:rsidP="00234177">
      <w:pPr>
        <w:autoSpaceDE w:val="0"/>
        <w:autoSpaceDN w:val="0"/>
        <w:adjustRightInd w:val="0"/>
        <w:spacing w:after="0" w:line="240" w:lineRule="auto"/>
        <w:rPr>
          <w:b/>
          <w:bCs/>
          <w:lang w:val="fr-FR"/>
        </w:rPr>
      </w:pPr>
    </w:p>
    <w:p w14:paraId="71050E24" w14:textId="69FC6B2B" w:rsidR="008E65BD" w:rsidRDefault="008E65BD" w:rsidP="00234177">
      <w:pPr>
        <w:autoSpaceDE w:val="0"/>
        <w:autoSpaceDN w:val="0"/>
        <w:adjustRightInd w:val="0"/>
        <w:spacing w:after="0" w:line="240" w:lineRule="auto"/>
        <w:rPr>
          <w:b/>
          <w:bCs/>
          <w:lang w:val="fr-FR"/>
        </w:rPr>
      </w:pPr>
    </w:p>
    <w:p w14:paraId="13A846A3" w14:textId="39AA91EA" w:rsidR="008E65BD" w:rsidRDefault="008E65BD" w:rsidP="00234177">
      <w:pPr>
        <w:autoSpaceDE w:val="0"/>
        <w:autoSpaceDN w:val="0"/>
        <w:adjustRightInd w:val="0"/>
        <w:spacing w:after="0" w:line="240" w:lineRule="auto"/>
        <w:rPr>
          <w:b/>
          <w:bCs/>
          <w:lang w:val="fr-FR"/>
        </w:rPr>
      </w:pPr>
    </w:p>
    <w:p w14:paraId="5FAC8869" w14:textId="78FA0C24" w:rsidR="008E65BD" w:rsidRDefault="008E65BD" w:rsidP="00234177">
      <w:pPr>
        <w:autoSpaceDE w:val="0"/>
        <w:autoSpaceDN w:val="0"/>
        <w:adjustRightInd w:val="0"/>
        <w:spacing w:after="0" w:line="240" w:lineRule="auto"/>
        <w:rPr>
          <w:b/>
          <w:bCs/>
          <w:lang w:val="fr-FR"/>
        </w:rPr>
      </w:pPr>
    </w:p>
    <w:p w14:paraId="2BB0C5C7" w14:textId="37A03125" w:rsidR="008E65BD" w:rsidRDefault="008E65BD" w:rsidP="00234177">
      <w:pPr>
        <w:autoSpaceDE w:val="0"/>
        <w:autoSpaceDN w:val="0"/>
        <w:adjustRightInd w:val="0"/>
        <w:spacing w:after="0" w:line="240" w:lineRule="auto"/>
        <w:rPr>
          <w:b/>
          <w:bCs/>
          <w:lang w:val="fr-FR"/>
        </w:rPr>
      </w:pPr>
    </w:p>
    <w:p w14:paraId="178A27B8" w14:textId="77777777" w:rsidR="008E65BD" w:rsidRPr="008E65BD" w:rsidRDefault="008E65BD" w:rsidP="00234177">
      <w:pPr>
        <w:autoSpaceDE w:val="0"/>
        <w:autoSpaceDN w:val="0"/>
        <w:adjustRightInd w:val="0"/>
        <w:spacing w:after="0" w:line="240" w:lineRule="auto"/>
        <w:rPr>
          <w:b/>
          <w:bCs/>
          <w:lang w:val="fr-FR"/>
        </w:rPr>
      </w:pPr>
    </w:p>
    <w:p w14:paraId="2C362178" w14:textId="33AEB6B6" w:rsidR="003F6C38" w:rsidRDefault="003F6C38" w:rsidP="00864D9C">
      <w:pPr>
        <w:rPr>
          <w:b/>
          <w:bCs/>
          <w:lang w:val="fr-FR"/>
        </w:rPr>
      </w:pPr>
    </w:p>
    <w:p w14:paraId="50A42DD9" w14:textId="77777777" w:rsidR="003F6C38" w:rsidRPr="0023096C" w:rsidRDefault="003F6C38" w:rsidP="00864D9C">
      <w:pPr>
        <w:rPr>
          <w:b/>
          <w:bCs/>
          <w:lang w:val="fr-FR"/>
        </w:rPr>
      </w:pPr>
    </w:p>
    <w:p w14:paraId="02544C41" w14:textId="7EBA8CBA" w:rsidR="004F1F40" w:rsidRPr="004A3349" w:rsidRDefault="004F1F40" w:rsidP="004F1F40">
      <w:pPr>
        <w:tabs>
          <w:tab w:val="center" w:pos="4513"/>
        </w:tabs>
        <w:suppressAutoHyphens/>
        <w:jc w:val="both"/>
        <w:rPr>
          <w:b/>
          <w:spacing w:val="-3"/>
          <w:sz w:val="28"/>
          <w:szCs w:val="28"/>
        </w:rPr>
      </w:pPr>
      <w:r w:rsidRPr="004A3349">
        <w:rPr>
          <w:b/>
          <w:bCs/>
          <w:sz w:val="28"/>
          <w:szCs w:val="28"/>
        </w:rPr>
        <w:t>NB :</w:t>
      </w:r>
      <w:r w:rsidRPr="004A3349">
        <w:rPr>
          <w:sz w:val="28"/>
          <w:szCs w:val="28"/>
        </w:rPr>
        <w:t xml:space="preserve"> </w:t>
      </w:r>
      <w:r w:rsidRPr="004A3349">
        <w:rPr>
          <w:b/>
          <w:bCs/>
          <w:sz w:val="28"/>
          <w:szCs w:val="28"/>
        </w:rPr>
        <w:t>Toutes les autres clauses du Cahier spécial de charges</w:t>
      </w:r>
      <w:r w:rsidR="003F6C38">
        <w:rPr>
          <w:b/>
          <w:bCs/>
          <w:sz w:val="28"/>
          <w:szCs w:val="28"/>
        </w:rPr>
        <w:t xml:space="preserve"> 2108BDI-10074</w:t>
      </w:r>
      <w:r w:rsidRPr="004A3349">
        <w:rPr>
          <w:b/>
          <w:bCs/>
          <w:spacing w:val="-2"/>
          <w:sz w:val="28"/>
          <w:szCs w:val="28"/>
        </w:rPr>
        <w:t xml:space="preserve"> </w:t>
      </w:r>
      <w:r w:rsidRPr="004A3349">
        <w:rPr>
          <w:b/>
          <w:bCs/>
          <w:spacing w:val="-3"/>
          <w:sz w:val="28"/>
          <w:szCs w:val="28"/>
        </w:rPr>
        <w:t>demeurent</w:t>
      </w:r>
      <w:r w:rsidRPr="004A3349">
        <w:rPr>
          <w:b/>
          <w:spacing w:val="-3"/>
          <w:sz w:val="28"/>
          <w:szCs w:val="28"/>
        </w:rPr>
        <w:t xml:space="preserve"> inchangées.</w:t>
      </w:r>
    </w:p>
    <w:p w14:paraId="26044D34" w14:textId="77777777" w:rsidR="00FD3DFB" w:rsidRPr="00FD3DFB" w:rsidRDefault="00FD3DFB" w:rsidP="0032138E"/>
    <w:sectPr w:rsidR="00FD3DFB" w:rsidRPr="00FD3DFB" w:rsidSect="003951FC">
      <w:headerReference w:type="even" r:id="rId17"/>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45847" w14:textId="77777777" w:rsidR="006652A3" w:rsidRDefault="006652A3" w:rsidP="00C06A66">
      <w:pPr>
        <w:spacing w:after="0" w:line="240" w:lineRule="auto"/>
      </w:pPr>
      <w:r>
        <w:separator/>
      </w:r>
    </w:p>
  </w:endnote>
  <w:endnote w:type="continuationSeparator" w:id="0">
    <w:p w14:paraId="49C27EA0" w14:textId="77777777" w:rsidR="006652A3" w:rsidRDefault="006652A3"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Bold">
    <w:altName w:val="Georgia"/>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195DB0" w:rsidRPr="00126C92" w:rsidRDefault="00195DB0" w:rsidP="006C7809">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" stroked="f">
              <v:textbox>
                <w:txbxContent>
                  <w:p w14:paraId="4B833711" w14:textId="77777777" w:rsidR="00195DB0" w:rsidRPr="00126C92" w:rsidRDefault="00195DB0" w:rsidP="006C7809">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" stroked="f">
              <v:textbox>
                <w:txbxContent>
                  <w:p w14:paraId="03E45A0D" w14:textId="77777777" w:rsidR="00195DB0" w:rsidRPr="00126C92" w:rsidRDefault="00195DB0" w:rsidP="006C7809">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F36C0" w14:textId="77777777" w:rsidR="006652A3" w:rsidRDefault="006652A3" w:rsidP="00C06A66">
      <w:pPr>
        <w:spacing w:after="0" w:line="240" w:lineRule="auto"/>
      </w:pPr>
      <w:r>
        <w:separator/>
      </w:r>
    </w:p>
  </w:footnote>
  <w:footnote w:type="continuationSeparator" w:id="0">
    <w:p w14:paraId="0D89AE57" w14:textId="77777777" w:rsidR="006652A3" w:rsidRDefault="006652A3" w:rsidP="00C0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15B627D4"/>
    <w:multiLevelType w:val="hybridMultilevel"/>
    <w:tmpl w:val="01E8708A"/>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1B541CC2"/>
    <w:multiLevelType w:val="multilevel"/>
    <w:tmpl w:val="5C5A74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7" w15:restartNumberingAfterBreak="0">
    <w:nsid w:val="430F4F13"/>
    <w:multiLevelType w:val="hybridMultilevel"/>
    <w:tmpl w:val="DEB2FA56"/>
    <w:lvl w:ilvl="0" w:tplc="2DA815C8">
      <w:start w:val="5"/>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D24603"/>
    <w:multiLevelType w:val="hybridMultilevel"/>
    <w:tmpl w:val="4F26C1D2"/>
    <w:lvl w:ilvl="0" w:tplc="20000003">
      <w:start w:val="1"/>
      <w:numFmt w:val="bullet"/>
      <w:lvlText w:val="o"/>
      <w:lvlJc w:val="left"/>
      <w:pPr>
        <w:ind w:left="644"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9"/>
  </w:num>
  <w:num w:numId="4">
    <w:abstractNumId w:val="16"/>
  </w:num>
  <w:num w:numId="5">
    <w:abstractNumId w:val="6"/>
  </w:num>
  <w:num w:numId="6">
    <w:abstractNumId w:val="8"/>
  </w:num>
  <w:num w:numId="7">
    <w:abstractNumId w:val="5"/>
  </w:num>
  <w:num w:numId="8">
    <w:abstractNumId w:val="4"/>
  </w:num>
  <w:num w:numId="9">
    <w:abstractNumId w:val="0"/>
  </w:num>
  <w:num w:numId="10">
    <w:abstractNumId w:val="12"/>
  </w:num>
  <w:num w:numId="11">
    <w:abstractNumId w:val="11"/>
  </w:num>
  <w:num w:numId="12">
    <w:abstractNumId w:val="15"/>
  </w:num>
  <w:num w:numId="13">
    <w:abstractNumId w:val="10"/>
  </w:num>
  <w:num w:numId="14">
    <w:abstractNumId w:val="3"/>
  </w:num>
  <w:num w:numId="15">
    <w:abstractNumId w:val="14"/>
  </w:num>
  <w:num w:numId="16">
    <w:abstractNumId w:val="13"/>
  </w:num>
  <w:num w:numId="17">
    <w:abstractNumId w:val="7"/>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BAD"/>
    <w:rsid w:val="00017F13"/>
    <w:rsid w:val="0002216C"/>
    <w:rsid w:val="000266AC"/>
    <w:rsid w:val="00036DAD"/>
    <w:rsid w:val="00041DF2"/>
    <w:rsid w:val="00047B9F"/>
    <w:rsid w:val="0006786E"/>
    <w:rsid w:val="00067B91"/>
    <w:rsid w:val="00086746"/>
    <w:rsid w:val="0009690D"/>
    <w:rsid w:val="00096EBD"/>
    <w:rsid w:val="000B27CE"/>
    <w:rsid w:val="000B6C7D"/>
    <w:rsid w:val="000C0EFB"/>
    <w:rsid w:val="000C421C"/>
    <w:rsid w:val="000D4355"/>
    <w:rsid w:val="000D5EBA"/>
    <w:rsid w:val="000E294A"/>
    <w:rsid w:val="001140EA"/>
    <w:rsid w:val="00120341"/>
    <w:rsid w:val="001274B8"/>
    <w:rsid w:val="00127E45"/>
    <w:rsid w:val="00131378"/>
    <w:rsid w:val="0013363C"/>
    <w:rsid w:val="00152993"/>
    <w:rsid w:val="00155989"/>
    <w:rsid w:val="00160474"/>
    <w:rsid w:val="00167C2D"/>
    <w:rsid w:val="00173951"/>
    <w:rsid w:val="00195DB0"/>
    <w:rsid w:val="001A2802"/>
    <w:rsid w:val="001A6BC1"/>
    <w:rsid w:val="001C1796"/>
    <w:rsid w:val="001E0DE0"/>
    <w:rsid w:val="001E4F2F"/>
    <w:rsid w:val="001F28ED"/>
    <w:rsid w:val="001F7BD5"/>
    <w:rsid w:val="002016D7"/>
    <w:rsid w:val="00227DAF"/>
    <w:rsid w:val="0023096C"/>
    <w:rsid w:val="00231DA0"/>
    <w:rsid w:val="00234177"/>
    <w:rsid w:val="00250496"/>
    <w:rsid w:val="00253578"/>
    <w:rsid w:val="00256C83"/>
    <w:rsid w:val="00257A3C"/>
    <w:rsid w:val="00261F11"/>
    <w:rsid w:val="00265B00"/>
    <w:rsid w:val="00266E85"/>
    <w:rsid w:val="00271BCD"/>
    <w:rsid w:val="00283969"/>
    <w:rsid w:val="002A2570"/>
    <w:rsid w:val="002B6A45"/>
    <w:rsid w:val="002C21C9"/>
    <w:rsid w:val="002C7352"/>
    <w:rsid w:val="002C7769"/>
    <w:rsid w:val="002D19FB"/>
    <w:rsid w:val="002D49BE"/>
    <w:rsid w:val="002E0B8A"/>
    <w:rsid w:val="002E4BFC"/>
    <w:rsid w:val="002E6680"/>
    <w:rsid w:val="002F2C83"/>
    <w:rsid w:val="00302E01"/>
    <w:rsid w:val="00307650"/>
    <w:rsid w:val="00310F34"/>
    <w:rsid w:val="00316021"/>
    <w:rsid w:val="0032138E"/>
    <w:rsid w:val="003242F9"/>
    <w:rsid w:val="00326418"/>
    <w:rsid w:val="00333023"/>
    <w:rsid w:val="0034597C"/>
    <w:rsid w:val="00360B8E"/>
    <w:rsid w:val="0036111C"/>
    <w:rsid w:val="0036182A"/>
    <w:rsid w:val="00373923"/>
    <w:rsid w:val="003749E6"/>
    <w:rsid w:val="00376AD8"/>
    <w:rsid w:val="003951FC"/>
    <w:rsid w:val="00396168"/>
    <w:rsid w:val="00397672"/>
    <w:rsid w:val="003B12B9"/>
    <w:rsid w:val="003B3743"/>
    <w:rsid w:val="003D2863"/>
    <w:rsid w:val="003E3C38"/>
    <w:rsid w:val="003E67A6"/>
    <w:rsid w:val="003F6C38"/>
    <w:rsid w:val="00401089"/>
    <w:rsid w:val="00423FEE"/>
    <w:rsid w:val="00453FF3"/>
    <w:rsid w:val="00457A86"/>
    <w:rsid w:val="00461727"/>
    <w:rsid w:val="00461D82"/>
    <w:rsid w:val="00472B27"/>
    <w:rsid w:val="004831F0"/>
    <w:rsid w:val="0048354B"/>
    <w:rsid w:val="004835BD"/>
    <w:rsid w:val="00492DFA"/>
    <w:rsid w:val="004A3349"/>
    <w:rsid w:val="004A7C2F"/>
    <w:rsid w:val="004B4A77"/>
    <w:rsid w:val="004C1884"/>
    <w:rsid w:val="004D475D"/>
    <w:rsid w:val="004F1E87"/>
    <w:rsid w:val="004F1F40"/>
    <w:rsid w:val="0050604B"/>
    <w:rsid w:val="00514AFE"/>
    <w:rsid w:val="00520075"/>
    <w:rsid w:val="005323BE"/>
    <w:rsid w:val="00537232"/>
    <w:rsid w:val="005402D0"/>
    <w:rsid w:val="0054497D"/>
    <w:rsid w:val="00557D9C"/>
    <w:rsid w:val="0056650F"/>
    <w:rsid w:val="00587987"/>
    <w:rsid w:val="00592484"/>
    <w:rsid w:val="005924BE"/>
    <w:rsid w:val="005A461B"/>
    <w:rsid w:val="005A4695"/>
    <w:rsid w:val="005E4B01"/>
    <w:rsid w:val="005E4BAF"/>
    <w:rsid w:val="00600A8E"/>
    <w:rsid w:val="006067E8"/>
    <w:rsid w:val="0061604C"/>
    <w:rsid w:val="006205CD"/>
    <w:rsid w:val="00631B81"/>
    <w:rsid w:val="006371E9"/>
    <w:rsid w:val="00640879"/>
    <w:rsid w:val="006423B6"/>
    <w:rsid w:val="0064557C"/>
    <w:rsid w:val="00646AB3"/>
    <w:rsid w:val="00653DAA"/>
    <w:rsid w:val="00661575"/>
    <w:rsid w:val="006652A3"/>
    <w:rsid w:val="0067733D"/>
    <w:rsid w:val="00677569"/>
    <w:rsid w:val="006775C9"/>
    <w:rsid w:val="00693A52"/>
    <w:rsid w:val="00696256"/>
    <w:rsid w:val="00697FE5"/>
    <w:rsid w:val="006A37B8"/>
    <w:rsid w:val="006B33EC"/>
    <w:rsid w:val="006C7809"/>
    <w:rsid w:val="006D21F4"/>
    <w:rsid w:val="006D6E4A"/>
    <w:rsid w:val="006E0032"/>
    <w:rsid w:val="006E2D40"/>
    <w:rsid w:val="006F7207"/>
    <w:rsid w:val="0071269E"/>
    <w:rsid w:val="00712D4D"/>
    <w:rsid w:val="007519C6"/>
    <w:rsid w:val="0077504D"/>
    <w:rsid w:val="00794D25"/>
    <w:rsid w:val="0079662A"/>
    <w:rsid w:val="007A33C3"/>
    <w:rsid w:val="007A598A"/>
    <w:rsid w:val="007B4412"/>
    <w:rsid w:val="007D1475"/>
    <w:rsid w:val="007D31DB"/>
    <w:rsid w:val="007F0DC5"/>
    <w:rsid w:val="007F23E9"/>
    <w:rsid w:val="007F6586"/>
    <w:rsid w:val="0080185D"/>
    <w:rsid w:val="00803254"/>
    <w:rsid w:val="0081000C"/>
    <w:rsid w:val="0082758D"/>
    <w:rsid w:val="00837C13"/>
    <w:rsid w:val="00851BFF"/>
    <w:rsid w:val="0085460E"/>
    <w:rsid w:val="00857F84"/>
    <w:rsid w:val="00862228"/>
    <w:rsid w:val="00864D9C"/>
    <w:rsid w:val="00866D8B"/>
    <w:rsid w:val="008700FE"/>
    <w:rsid w:val="00870957"/>
    <w:rsid w:val="00875C20"/>
    <w:rsid w:val="00886497"/>
    <w:rsid w:val="00890F47"/>
    <w:rsid w:val="00895E08"/>
    <w:rsid w:val="008B2C48"/>
    <w:rsid w:val="008B78F7"/>
    <w:rsid w:val="008C03E3"/>
    <w:rsid w:val="008E100B"/>
    <w:rsid w:val="008E65BD"/>
    <w:rsid w:val="008F14C2"/>
    <w:rsid w:val="00900E8C"/>
    <w:rsid w:val="0090723B"/>
    <w:rsid w:val="009128B1"/>
    <w:rsid w:val="0094017C"/>
    <w:rsid w:val="009413BF"/>
    <w:rsid w:val="00954D26"/>
    <w:rsid w:val="00955819"/>
    <w:rsid w:val="00965EE2"/>
    <w:rsid w:val="00973349"/>
    <w:rsid w:val="00980429"/>
    <w:rsid w:val="00991F1A"/>
    <w:rsid w:val="009A0CDC"/>
    <w:rsid w:val="009A38B9"/>
    <w:rsid w:val="009C20A0"/>
    <w:rsid w:val="009C66BC"/>
    <w:rsid w:val="009D41BE"/>
    <w:rsid w:val="009E284D"/>
    <w:rsid w:val="009F08DB"/>
    <w:rsid w:val="00A01980"/>
    <w:rsid w:val="00A026E8"/>
    <w:rsid w:val="00A02BE5"/>
    <w:rsid w:val="00A03875"/>
    <w:rsid w:val="00A055F3"/>
    <w:rsid w:val="00A32103"/>
    <w:rsid w:val="00A45082"/>
    <w:rsid w:val="00A611B2"/>
    <w:rsid w:val="00A71EE0"/>
    <w:rsid w:val="00A918C8"/>
    <w:rsid w:val="00AC07ED"/>
    <w:rsid w:val="00AD5620"/>
    <w:rsid w:val="00AE6D44"/>
    <w:rsid w:val="00B01C5F"/>
    <w:rsid w:val="00B02836"/>
    <w:rsid w:val="00B07F7F"/>
    <w:rsid w:val="00B11AA1"/>
    <w:rsid w:val="00B27088"/>
    <w:rsid w:val="00B36459"/>
    <w:rsid w:val="00B55EBB"/>
    <w:rsid w:val="00B758B7"/>
    <w:rsid w:val="00B76522"/>
    <w:rsid w:val="00B8359D"/>
    <w:rsid w:val="00BA1A8C"/>
    <w:rsid w:val="00BA5C07"/>
    <w:rsid w:val="00BB17E6"/>
    <w:rsid w:val="00BB3952"/>
    <w:rsid w:val="00BB396D"/>
    <w:rsid w:val="00BB4544"/>
    <w:rsid w:val="00BB710C"/>
    <w:rsid w:val="00BC659D"/>
    <w:rsid w:val="00BD43B2"/>
    <w:rsid w:val="00BF142F"/>
    <w:rsid w:val="00BF537B"/>
    <w:rsid w:val="00BF5728"/>
    <w:rsid w:val="00C02C57"/>
    <w:rsid w:val="00C06A66"/>
    <w:rsid w:val="00C16593"/>
    <w:rsid w:val="00C221E3"/>
    <w:rsid w:val="00C26614"/>
    <w:rsid w:val="00C279C6"/>
    <w:rsid w:val="00C35942"/>
    <w:rsid w:val="00C512BD"/>
    <w:rsid w:val="00C553C5"/>
    <w:rsid w:val="00C6035E"/>
    <w:rsid w:val="00CA02FF"/>
    <w:rsid w:val="00CB42E9"/>
    <w:rsid w:val="00CB5C64"/>
    <w:rsid w:val="00CE037E"/>
    <w:rsid w:val="00CE217F"/>
    <w:rsid w:val="00D06DCD"/>
    <w:rsid w:val="00D17DEE"/>
    <w:rsid w:val="00D26375"/>
    <w:rsid w:val="00D27158"/>
    <w:rsid w:val="00D34DD9"/>
    <w:rsid w:val="00D4041D"/>
    <w:rsid w:val="00D50A77"/>
    <w:rsid w:val="00D5612A"/>
    <w:rsid w:val="00D64847"/>
    <w:rsid w:val="00D64F9C"/>
    <w:rsid w:val="00D66961"/>
    <w:rsid w:val="00D720B3"/>
    <w:rsid w:val="00D95306"/>
    <w:rsid w:val="00DA5B3D"/>
    <w:rsid w:val="00DB1B40"/>
    <w:rsid w:val="00DB1D2B"/>
    <w:rsid w:val="00DB352F"/>
    <w:rsid w:val="00DC37E2"/>
    <w:rsid w:val="00DD1D11"/>
    <w:rsid w:val="00E02105"/>
    <w:rsid w:val="00E15C13"/>
    <w:rsid w:val="00E42975"/>
    <w:rsid w:val="00E47137"/>
    <w:rsid w:val="00E637E8"/>
    <w:rsid w:val="00E71A49"/>
    <w:rsid w:val="00E774FE"/>
    <w:rsid w:val="00E90A70"/>
    <w:rsid w:val="00E93795"/>
    <w:rsid w:val="00EA4576"/>
    <w:rsid w:val="00EA6610"/>
    <w:rsid w:val="00EB4DF8"/>
    <w:rsid w:val="00EB603D"/>
    <w:rsid w:val="00EC052B"/>
    <w:rsid w:val="00EC1173"/>
    <w:rsid w:val="00EC1EA9"/>
    <w:rsid w:val="00EF2866"/>
    <w:rsid w:val="00EF5106"/>
    <w:rsid w:val="00F36C32"/>
    <w:rsid w:val="00F405DE"/>
    <w:rsid w:val="00F439A1"/>
    <w:rsid w:val="00F55F4B"/>
    <w:rsid w:val="00F67AEA"/>
    <w:rsid w:val="00F719B6"/>
    <w:rsid w:val="00F8466E"/>
    <w:rsid w:val="00F85C14"/>
    <w:rsid w:val="00F93054"/>
    <w:rsid w:val="00FA11C3"/>
    <w:rsid w:val="00FC4A85"/>
    <w:rsid w:val="00FD3DFB"/>
    <w:rsid w:val="00FD4607"/>
    <w:rsid w:val="00FD4758"/>
    <w:rsid w:val="00FE18FF"/>
    <w:rsid w:val="00FE600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7ED"/>
    <w:rPr>
      <w:rFonts w:ascii="Georgia" w:hAnsi="Georgia"/>
      <w:sz w:val="21"/>
    </w:rPr>
  </w:style>
  <w:style w:type="paragraph" w:styleId="Titre1">
    <w:name w:val="heading 1"/>
    <w:basedOn w:val="Normal"/>
    <w:next w:val="Normal"/>
    <w:link w:val="Titre1Car"/>
    <w:qFormat/>
    <w:rsid w:val="00712D4D"/>
    <w:p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
    <w:basedOn w:val="Normal"/>
    <w:next w:val="Normal"/>
    <w:link w:val="Titre2Car"/>
    <w:unhideWhenUsed/>
    <w:qFormat/>
    <w:rsid w:val="00712D4D"/>
    <w:pPr>
      <w:keepNext/>
      <w:keepLines/>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iPriority w:val="9"/>
    <w:unhideWhenUsed/>
    <w:qFormat/>
    <w:rsid w:val="00712D4D"/>
    <w:pPr>
      <w:autoSpaceDE w:val="0"/>
      <w:autoSpaceDN w:val="0"/>
      <w:adjustRightInd w:val="0"/>
      <w:spacing w:before="60" w:after="60" w:line="240" w:lineRule="auto"/>
      <w:ind w:left="0"/>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5.xml><?xml version="1.0" encoding="utf-8"?>
<ds:datastoreItem xmlns:ds="http://schemas.openxmlformats.org/officeDocument/2006/customXml" ds:itemID="{B30A18EA-AB36-4742-A1CD-8D903E50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983</Words>
  <Characters>5605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Virginie ITANGISHAKA</cp:lastModifiedBy>
  <cp:revision>3</cp:revision>
  <cp:lastPrinted>2022-11-15T09:41:00Z</cp:lastPrinted>
  <dcterms:created xsi:type="dcterms:W3CDTF">2024-01-11T15:19:00Z</dcterms:created>
  <dcterms:modified xsi:type="dcterms:W3CDTF">2024-01-11T15:32:00Z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