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408E" w14:textId="2E1976EB" w:rsidR="00CF40E1" w:rsidRDefault="003664E0" w:rsidP="00CF40E1">
      <w:pPr>
        <w:sectPr w:rsidR="00CF40E1" w:rsidSect="00F74575">
          <w:headerReference w:type="default" r:id="rId11"/>
          <w:footerReference w:type="default" r:id="rId12"/>
          <w:headerReference w:type="first" r:id="rId13"/>
          <w:footerReference w:type="first" r:id="rId14"/>
          <w:pgSz w:w="11906" w:h="16838"/>
          <w:pgMar w:top="1418" w:right="1531" w:bottom="1418" w:left="1871" w:header="709" w:footer="709" w:gutter="0"/>
          <w:pgNumType w:start="1"/>
          <w:cols w:space="708"/>
          <w:titlePg/>
          <w:docGrid w:linePitch="360"/>
        </w:sectPr>
      </w:pPr>
      <w:r>
        <w:rPr>
          <w:i/>
          <w:noProof/>
        </w:rPr>
        <mc:AlternateContent>
          <mc:Choice Requires="wps">
            <w:drawing>
              <wp:anchor distT="0" distB="0" distL="114300" distR="114300" simplePos="0" relativeHeight="251658240" behindDoc="0" locked="1" layoutInCell="1" allowOverlap="1" wp14:anchorId="6D304583" wp14:editId="6D304584">
                <wp:simplePos x="0" y="0"/>
                <wp:positionH relativeFrom="column">
                  <wp:posOffset>-281305</wp:posOffset>
                </wp:positionH>
                <wp:positionV relativeFrom="page">
                  <wp:posOffset>3077845</wp:posOffset>
                </wp:positionV>
                <wp:extent cx="3819600" cy="4024800"/>
                <wp:effectExtent l="0" t="0" r="9525" b="0"/>
                <wp:wrapNone/>
                <wp:docPr id="2" name="Zone de texte 2"/>
                <wp:cNvGraphicFramePr/>
                <a:graphic xmlns:a="http://schemas.openxmlformats.org/drawingml/2006/main">
                  <a:graphicData uri="http://schemas.microsoft.com/office/word/2010/wordprocessingShape">
                    <wps:wsp>
                      <wps:cNvSpPr txBox="1"/>
                      <wps:spPr>
                        <a:xfrm>
                          <a:off x="0" y="0"/>
                          <a:ext cx="3819600" cy="402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43493817"/>
                            </w:sdtPr>
                            <w:sdtContent>
                              <w:p w14:paraId="113D999F" w14:textId="7FBC6FEC" w:rsidR="00132AF4" w:rsidRDefault="00132AF4" w:rsidP="004F5B68">
                                <w:pPr>
                                  <w:pStyle w:val="Titrecouverture"/>
                                </w:pPr>
                                <w:r>
                                  <w:t>Cahier spécial des charges BEL21003-10024</w:t>
                                </w:r>
                              </w:p>
                              <w:p w14:paraId="6D30459D" w14:textId="4C96DAA6" w:rsidR="00132AF4" w:rsidRDefault="00132AF4" w:rsidP="004F5B68">
                                <w:pPr>
                                  <w:pStyle w:val="Titrecouverture"/>
                                </w:pPr>
                                <w:r>
                                  <w:t>Procédure ouverte</w:t>
                                </w:r>
                              </w:p>
                            </w:sdtContent>
                          </w:sdt>
                          <w:sdt>
                            <w:sdtPr>
                              <w:rPr>
                                <w:sz w:val="24"/>
                                <w:szCs w:val="24"/>
                              </w:rPr>
                              <w:id w:val="493992149"/>
                            </w:sdtPr>
                            <w:sdtEndPr>
                              <w:rPr>
                                <w:b/>
                                <w:sz w:val="28"/>
                                <w:szCs w:val="28"/>
                              </w:rPr>
                            </w:sdtEndPr>
                            <w:sdtContent>
                              <w:p w14:paraId="6D30459E" w14:textId="757B9E6D" w:rsidR="00132AF4" w:rsidRPr="007F78FC" w:rsidRDefault="00132AF4" w:rsidP="00977DD4">
                                <w:pPr>
                                  <w:pStyle w:val="Titrecouverture"/>
                                  <w:rPr>
                                    <w:sz w:val="28"/>
                                    <w:szCs w:val="28"/>
                                  </w:rPr>
                                </w:pPr>
                                <w:r>
                                  <w:rPr>
                                    <w:sz w:val="24"/>
                                  </w:rPr>
                                  <w:t>Marché public de services pour le recrutement d’une expertise technique externe pour une intervention à court terme dans le cadre du projet TESS MAV+</w:t>
                                </w:r>
                              </w:p>
                            </w:sdtContent>
                          </w:sdt>
                          <w:p w14:paraId="6D30459F" w14:textId="77777777" w:rsidR="00132AF4" w:rsidRDefault="00132AF4"/>
                          <w:p w14:paraId="5C82C561" w14:textId="238C4574" w:rsidR="005D1858" w:rsidRDefault="005D1858" w:rsidP="005D1858">
                            <w:pPr>
                              <w:pStyle w:val="Titrecouverture"/>
                            </w:pPr>
                            <w:r>
                              <w:t>Accord-cadre à plusieurs opérateurs économiques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04583" id="_x0000_t202" coordsize="21600,21600" o:spt="202" path="m,l,21600r21600,l21600,xe">
                <v:stroke joinstyle="miter"/>
                <v:path gradientshapeok="t" o:connecttype="rect"/>
              </v:shapetype>
              <v:shape id="Zone de texte 2" o:spid="_x0000_s1026" type="#_x0000_t202" style="position:absolute;margin-left:-22.15pt;margin-top:242.35pt;width:300.7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icdgIAAGYFAAAOAAAAZHJzL2Uyb0RvYy54bWysVEtv2zAMvg/YfxB0X+2kadcGdYqsRYcB&#10;xVqsHXpWZKkRJouaxMTOfv0o2Xms66XDLjYlfiTFj4+Ly66xbK1CNOAqPjoqOVNOQm3cc8W/P958&#10;OOMsonC1sOBUxTcq8svZ+3cXrZ+qMSzB1iowcuLitPUVXyL6aVFEuVSNiEfglSOlhtAIpGN4Luog&#10;WvLe2GJclqdFC6H2AaSKkW6veyWfZf9aK4l3WkeFzFac3ob5G/J3kb7F7EJMn4PwSyOHZ4h/eEUj&#10;jKOgO1fXAgVbBfOXq8bIABE0HkloCtDaSJVzoGxG5YtsHpbCq5wLkRP9jqb4/9zKr+sHfx8Ydp+g&#10;owImQlofp5EuUz6dDk3600sZ6YnCzY421SGTdHl8Njo/LUklSTcpx5MzOpCfYm/uQ8TPChqWhIoH&#10;qkumS6xvI/bQLSRFi2BNfWOszYfUC+rKBrYWVEWL+ZHk/A+Udayt+OnxSZkdO0jmvWfrkhuVu2EI&#10;t08xS7ixKmGs+6Y0M3XO9JXYQkrldvEzOqE0hXqL4YDfv+otxn0eZJEjg8OdcWMchJx9Hp89ZfWP&#10;LWW6x1NtDvJOInaLbij9AuoNdUSAfliilzeGqnYrIt6LQNNBlaaJxzv6aAvEOgwSZ0sIv167T3hq&#10;WtJy1tK0VTz+XImgOLNfHLXz+WgySeOZD5OTj2M6hEPN4lDjVs0VUCuMaLd4mcWER7sVdYDmiRbD&#10;PEUllXCSYlcct+IV9juAFotU83kG0UB6gbfuwcvkOtGbevKxexLBD42L1PNfYTuXYvqif3tssnQw&#10;XyFok5s7EdyzOhBPw5zHY1g8aVscnjNqvx5nvwEAAP//AwBQSwMEFAAGAAgAAAAhAFJuu0jjAAAA&#10;DAEAAA8AAABkcnMvZG93bnJldi54bWxMj01PhDAURfcm/ofmmbgxM4UBhCBlYowfyewcZjTuOvQJ&#10;RNoS2gH89z5Xuny5J/eeV2wX3bMJR9dZIyBcB8DQ1FZ1phFwqJ5WGTDnpVGytwYFfKODbXl5Uchc&#10;2dm84rT3DaMS43IpoPV+yDl3dYtaurUd0FD2aUctPZ1jw9UoZyrXPd8EwS3XsjO00MoBH1qsv/Zn&#10;LeDjpnnfueX5OEdJNDy+TFX6piohrq+W+ztgHhf/B8OvPqlDSU4nezbKsV7AKo4jQgXEWZwCIyJJ&#10;0g2wE6FhmCXAy4L/f6L8AQAA//8DAFBLAQItABQABgAIAAAAIQC2gziS/gAAAOEBAAATAAAAAAAA&#10;AAAAAAAAAAAAAABbQ29udGVudF9UeXBlc10ueG1sUEsBAi0AFAAGAAgAAAAhADj9If/WAAAAlAEA&#10;AAsAAAAAAAAAAAAAAAAALwEAAF9yZWxzLy5yZWxzUEsBAi0AFAAGAAgAAAAhAGnm+Jx2AgAAZgUA&#10;AA4AAAAAAAAAAAAAAAAALgIAAGRycy9lMm9Eb2MueG1sUEsBAi0AFAAGAAgAAAAhAFJuu0jjAAAA&#10;DAEAAA8AAAAAAAAAAAAAAAAA0AQAAGRycy9kb3ducmV2LnhtbFBLBQYAAAAABAAEAPMAAADgBQAA&#10;AAA=&#10;" fillcolor="white [3201]" stroked="f" strokeweight=".5pt">
                <v:textbox>
                  <w:txbxContent>
                    <w:sdt>
                      <w:sdtPr>
                        <w:id w:val="-243493817"/>
                      </w:sdtPr>
                      <w:sdtContent>
                        <w:p w14:paraId="113D999F" w14:textId="7FBC6FEC" w:rsidR="00132AF4" w:rsidRDefault="00132AF4" w:rsidP="004F5B68">
                          <w:pPr>
                            <w:pStyle w:val="Titrecouverture"/>
                          </w:pPr>
                          <w:r>
                            <w:t>Cahier spécial des charges BEL21003-10024</w:t>
                          </w:r>
                        </w:p>
                        <w:p w14:paraId="6D30459D" w14:textId="4C96DAA6" w:rsidR="00132AF4" w:rsidRDefault="00132AF4" w:rsidP="004F5B68">
                          <w:pPr>
                            <w:pStyle w:val="Titrecouverture"/>
                          </w:pPr>
                          <w:r>
                            <w:t>Procédure ouverte</w:t>
                          </w:r>
                        </w:p>
                      </w:sdtContent>
                    </w:sdt>
                    <w:sdt>
                      <w:sdtPr>
                        <w:rPr>
                          <w:sz w:val="24"/>
                          <w:szCs w:val="24"/>
                        </w:rPr>
                        <w:id w:val="493992149"/>
                      </w:sdtPr>
                      <w:sdtEndPr>
                        <w:rPr>
                          <w:b/>
                          <w:sz w:val="28"/>
                          <w:szCs w:val="28"/>
                        </w:rPr>
                      </w:sdtEndPr>
                      <w:sdtContent>
                        <w:p w14:paraId="6D30459E" w14:textId="757B9E6D" w:rsidR="00132AF4" w:rsidRPr="007F78FC" w:rsidRDefault="00132AF4" w:rsidP="00977DD4">
                          <w:pPr>
                            <w:pStyle w:val="Titrecouverture"/>
                            <w:rPr>
                              <w:sz w:val="28"/>
                              <w:szCs w:val="28"/>
                            </w:rPr>
                          </w:pPr>
                          <w:r>
                            <w:rPr>
                              <w:sz w:val="24"/>
                            </w:rPr>
                            <w:t>Marché public de services pour le recrutement d’une expertise technique externe pour une intervention à court terme dans le cadre du projet TESS MAV+</w:t>
                          </w:r>
                        </w:p>
                      </w:sdtContent>
                    </w:sdt>
                    <w:p w14:paraId="6D30459F" w14:textId="77777777" w:rsidR="00132AF4" w:rsidRDefault="00132AF4"/>
                    <w:p w14:paraId="5C82C561" w14:textId="238C4574" w:rsidR="005D1858" w:rsidRDefault="005D1858" w:rsidP="005D1858">
                      <w:pPr>
                        <w:pStyle w:val="Titrecouverture"/>
                      </w:pPr>
                      <w:r>
                        <w:t>Accord-cadre à plusieurs opérateurs économiques</w:t>
                      </w:r>
                    </w:p>
                  </w:txbxContent>
                </v:textbox>
                <w10:wrap anchory="page"/>
                <w10:anchorlock/>
              </v:shape>
            </w:pict>
          </mc:Fallback>
        </mc:AlternateContent>
      </w:r>
    </w:p>
    <w:sdt>
      <w:sdtPr>
        <w:rPr>
          <w:rFonts w:ascii="Georgia" w:eastAsiaTheme="minorHAnsi" w:hAnsi="Georgia" w:cstheme="minorBidi"/>
          <w:color w:val="585756"/>
          <w:sz w:val="21"/>
          <w:szCs w:val="22"/>
          <w:lang w:eastAsia="en-US"/>
        </w:rPr>
        <w:id w:val="704147850"/>
        <w:docPartObj>
          <w:docPartGallery w:val="Table of Contents"/>
          <w:docPartUnique/>
        </w:docPartObj>
      </w:sdtPr>
      <w:sdtEndPr>
        <w:rPr>
          <w:b/>
          <w:bCs/>
        </w:rPr>
      </w:sdtEndPr>
      <w:sdtContent>
        <w:p w14:paraId="6D30408F" w14:textId="77777777" w:rsidR="00C45EFE" w:rsidRPr="005D080C" w:rsidRDefault="00C45EFE" w:rsidP="005D080C">
          <w:pPr>
            <w:pStyle w:val="TOCHeading"/>
            <w:spacing w:after="240"/>
            <w:rPr>
              <w:color w:val="585756"/>
            </w:rPr>
          </w:pPr>
          <w:r>
            <w:rPr>
              <w:color w:val="585756"/>
            </w:rPr>
            <w:t>Table des matières</w:t>
          </w:r>
        </w:p>
        <w:p w14:paraId="1933A9A0" w14:textId="510A4C20" w:rsidR="00300708" w:rsidRDefault="00C45EFE">
          <w:pPr>
            <w:pStyle w:val="TOC1"/>
            <w:rPr>
              <w:rFonts w:asciiTheme="minorHAnsi" w:eastAsiaTheme="minorEastAsia" w:hAnsiTheme="minorHAnsi"/>
              <w:b w:val="0"/>
              <w:noProof/>
              <w:color w:val="auto"/>
              <w:kern w:val="2"/>
              <w:sz w:val="24"/>
              <w:szCs w:val="24"/>
              <w:lang w:val="fr-BE" w:eastAsia="fr-BE"/>
              <w14:ligatures w14:val="standardContextual"/>
            </w:rPr>
          </w:pPr>
          <w:r w:rsidRPr="005D080C">
            <w:fldChar w:fldCharType="begin"/>
          </w:r>
          <w:r w:rsidRPr="005D080C">
            <w:instrText xml:space="preserve"> TOC \o "1-4" \h \z \u </w:instrText>
          </w:r>
          <w:r w:rsidRPr="005D080C">
            <w:fldChar w:fldCharType="separate"/>
          </w:r>
          <w:hyperlink w:anchor="_Toc160610142" w:history="1">
            <w:r w:rsidR="00300708" w:rsidRPr="00B6103E">
              <w:rPr>
                <w:rStyle w:val="Hyperlink"/>
                <w:noProof/>
              </w:rPr>
              <w:t>1</w:t>
            </w:r>
            <w:r w:rsidR="00300708">
              <w:rPr>
                <w:rFonts w:asciiTheme="minorHAnsi" w:eastAsiaTheme="minorEastAsia" w:hAnsiTheme="minorHAnsi"/>
                <w:b w:val="0"/>
                <w:noProof/>
                <w:color w:val="auto"/>
                <w:kern w:val="2"/>
                <w:sz w:val="24"/>
                <w:szCs w:val="24"/>
                <w:lang w:val="fr-BE" w:eastAsia="fr-BE"/>
                <w14:ligatures w14:val="standardContextual"/>
              </w:rPr>
              <w:tab/>
            </w:r>
            <w:r w:rsidR="00300708" w:rsidRPr="00B6103E">
              <w:rPr>
                <w:rStyle w:val="Hyperlink"/>
                <w:noProof/>
              </w:rPr>
              <w:t>Généralités</w:t>
            </w:r>
            <w:r w:rsidR="00300708">
              <w:rPr>
                <w:noProof/>
                <w:webHidden/>
              </w:rPr>
              <w:tab/>
            </w:r>
            <w:r w:rsidR="00300708">
              <w:rPr>
                <w:noProof/>
                <w:webHidden/>
              </w:rPr>
              <w:fldChar w:fldCharType="begin"/>
            </w:r>
            <w:r w:rsidR="00300708">
              <w:rPr>
                <w:noProof/>
                <w:webHidden/>
              </w:rPr>
              <w:instrText xml:space="preserve"> PAGEREF _Toc160610142 \h </w:instrText>
            </w:r>
            <w:r w:rsidR="00300708">
              <w:rPr>
                <w:noProof/>
                <w:webHidden/>
              </w:rPr>
            </w:r>
            <w:r w:rsidR="00300708">
              <w:rPr>
                <w:noProof/>
                <w:webHidden/>
              </w:rPr>
              <w:fldChar w:fldCharType="separate"/>
            </w:r>
            <w:r w:rsidR="00300708">
              <w:rPr>
                <w:noProof/>
                <w:webHidden/>
              </w:rPr>
              <w:t>8</w:t>
            </w:r>
            <w:r w:rsidR="00300708">
              <w:rPr>
                <w:noProof/>
                <w:webHidden/>
              </w:rPr>
              <w:fldChar w:fldCharType="end"/>
            </w:r>
          </w:hyperlink>
        </w:p>
        <w:p w14:paraId="6DFF1811" w14:textId="71A4B37C"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3" w:history="1">
            <w:r w:rsidRPr="00B6103E">
              <w:rPr>
                <w:rStyle w:val="Hyperlink"/>
                <w:noProof/>
              </w:rPr>
              <w:t>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Dérogations à l’A.R. du 14.01.2013</w:t>
            </w:r>
            <w:r>
              <w:rPr>
                <w:noProof/>
                <w:webHidden/>
              </w:rPr>
              <w:tab/>
            </w:r>
            <w:r>
              <w:rPr>
                <w:noProof/>
                <w:webHidden/>
              </w:rPr>
              <w:fldChar w:fldCharType="begin"/>
            </w:r>
            <w:r>
              <w:rPr>
                <w:noProof/>
                <w:webHidden/>
              </w:rPr>
              <w:instrText xml:space="preserve"> PAGEREF _Toc160610143 \h </w:instrText>
            </w:r>
            <w:r>
              <w:rPr>
                <w:noProof/>
                <w:webHidden/>
              </w:rPr>
            </w:r>
            <w:r>
              <w:rPr>
                <w:noProof/>
                <w:webHidden/>
              </w:rPr>
              <w:fldChar w:fldCharType="separate"/>
            </w:r>
            <w:r>
              <w:rPr>
                <w:noProof/>
                <w:webHidden/>
              </w:rPr>
              <w:t>8</w:t>
            </w:r>
            <w:r>
              <w:rPr>
                <w:noProof/>
                <w:webHidden/>
              </w:rPr>
              <w:fldChar w:fldCharType="end"/>
            </w:r>
          </w:hyperlink>
        </w:p>
        <w:p w14:paraId="6E4B462D" w14:textId="0843D3E5"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4" w:history="1">
            <w:r w:rsidRPr="00B6103E">
              <w:rPr>
                <w:rStyle w:val="Hyperlink"/>
                <w:noProof/>
              </w:rPr>
              <w:t>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Pouvoir adjudicateur</w:t>
            </w:r>
            <w:r>
              <w:rPr>
                <w:noProof/>
                <w:webHidden/>
              </w:rPr>
              <w:tab/>
            </w:r>
            <w:r>
              <w:rPr>
                <w:noProof/>
                <w:webHidden/>
              </w:rPr>
              <w:fldChar w:fldCharType="begin"/>
            </w:r>
            <w:r>
              <w:rPr>
                <w:noProof/>
                <w:webHidden/>
              </w:rPr>
              <w:instrText xml:space="preserve"> PAGEREF _Toc160610144 \h </w:instrText>
            </w:r>
            <w:r>
              <w:rPr>
                <w:noProof/>
                <w:webHidden/>
              </w:rPr>
            </w:r>
            <w:r>
              <w:rPr>
                <w:noProof/>
                <w:webHidden/>
              </w:rPr>
              <w:fldChar w:fldCharType="separate"/>
            </w:r>
            <w:r>
              <w:rPr>
                <w:noProof/>
                <w:webHidden/>
              </w:rPr>
              <w:t>8</w:t>
            </w:r>
            <w:r>
              <w:rPr>
                <w:noProof/>
                <w:webHidden/>
              </w:rPr>
              <w:fldChar w:fldCharType="end"/>
            </w:r>
          </w:hyperlink>
        </w:p>
        <w:p w14:paraId="58D00BE1" w14:textId="5808829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5" w:history="1">
            <w:r w:rsidRPr="00B6103E">
              <w:rPr>
                <w:rStyle w:val="Hyperlink"/>
                <w:noProof/>
              </w:rPr>
              <w:t>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Cadre institutionnel d’Enabel</w:t>
            </w:r>
            <w:r>
              <w:rPr>
                <w:noProof/>
                <w:webHidden/>
              </w:rPr>
              <w:tab/>
            </w:r>
            <w:r>
              <w:rPr>
                <w:noProof/>
                <w:webHidden/>
              </w:rPr>
              <w:fldChar w:fldCharType="begin"/>
            </w:r>
            <w:r>
              <w:rPr>
                <w:noProof/>
                <w:webHidden/>
              </w:rPr>
              <w:instrText xml:space="preserve"> PAGEREF _Toc160610145 \h </w:instrText>
            </w:r>
            <w:r>
              <w:rPr>
                <w:noProof/>
                <w:webHidden/>
              </w:rPr>
            </w:r>
            <w:r>
              <w:rPr>
                <w:noProof/>
                <w:webHidden/>
              </w:rPr>
              <w:fldChar w:fldCharType="separate"/>
            </w:r>
            <w:r>
              <w:rPr>
                <w:noProof/>
                <w:webHidden/>
              </w:rPr>
              <w:t>8</w:t>
            </w:r>
            <w:r>
              <w:rPr>
                <w:noProof/>
                <w:webHidden/>
              </w:rPr>
              <w:fldChar w:fldCharType="end"/>
            </w:r>
          </w:hyperlink>
        </w:p>
        <w:p w14:paraId="4064A75B" w14:textId="2F95A68B"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6" w:history="1">
            <w:r w:rsidRPr="00B6103E">
              <w:rPr>
                <w:rStyle w:val="Hyperlink"/>
                <w:noProof/>
              </w:rPr>
              <w:t>1.4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Règles régissant le marché</w:t>
            </w:r>
            <w:r>
              <w:rPr>
                <w:noProof/>
                <w:webHidden/>
              </w:rPr>
              <w:tab/>
            </w:r>
            <w:r>
              <w:rPr>
                <w:noProof/>
                <w:webHidden/>
              </w:rPr>
              <w:fldChar w:fldCharType="begin"/>
            </w:r>
            <w:r>
              <w:rPr>
                <w:noProof/>
                <w:webHidden/>
              </w:rPr>
              <w:instrText xml:space="preserve"> PAGEREF _Toc160610146 \h </w:instrText>
            </w:r>
            <w:r>
              <w:rPr>
                <w:noProof/>
                <w:webHidden/>
              </w:rPr>
            </w:r>
            <w:r>
              <w:rPr>
                <w:noProof/>
                <w:webHidden/>
              </w:rPr>
              <w:fldChar w:fldCharType="separate"/>
            </w:r>
            <w:r>
              <w:rPr>
                <w:noProof/>
                <w:webHidden/>
              </w:rPr>
              <w:t>9</w:t>
            </w:r>
            <w:r>
              <w:rPr>
                <w:noProof/>
                <w:webHidden/>
              </w:rPr>
              <w:fldChar w:fldCharType="end"/>
            </w:r>
          </w:hyperlink>
        </w:p>
        <w:p w14:paraId="7075281F" w14:textId="35F2BF64"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7" w:history="1">
            <w:r w:rsidRPr="00B6103E">
              <w:rPr>
                <w:rStyle w:val="Hyperlink"/>
                <w:noProof/>
              </w:rPr>
              <w:t>1.5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Définitions</w:t>
            </w:r>
            <w:r>
              <w:rPr>
                <w:noProof/>
                <w:webHidden/>
              </w:rPr>
              <w:tab/>
            </w:r>
            <w:r>
              <w:rPr>
                <w:noProof/>
                <w:webHidden/>
              </w:rPr>
              <w:fldChar w:fldCharType="begin"/>
            </w:r>
            <w:r>
              <w:rPr>
                <w:noProof/>
                <w:webHidden/>
              </w:rPr>
              <w:instrText xml:space="preserve"> PAGEREF _Toc160610147 \h </w:instrText>
            </w:r>
            <w:r>
              <w:rPr>
                <w:noProof/>
                <w:webHidden/>
              </w:rPr>
            </w:r>
            <w:r>
              <w:rPr>
                <w:noProof/>
                <w:webHidden/>
              </w:rPr>
              <w:fldChar w:fldCharType="separate"/>
            </w:r>
            <w:r>
              <w:rPr>
                <w:noProof/>
                <w:webHidden/>
              </w:rPr>
              <w:t>10</w:t>
            </w:r>
            <w:r>
              <w:rPr>
                <w:noProof/>
                <w:webHidden/>
              </w:rPr>
              <w:fldChar w:fldCharType="end"/>
            </w:r>
          </w:hyperlink>
        </w:p>
        <w:p w14:paraId="599113D6" w14:textId="39D08A96"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8" w:history="1">
            <w:r w:rsidRPr="00B6103E">
              <w:rPr>
                <w:rStyle w:val="Hyperlink"/>
                <w:noProof/>
              </w:rPr>
              <w:t>1.6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Confidentialité</w:t>
            </w:r>
            <w:r>
              <w:rPr>
                <w:noProof/>
                <w:webHidden/>
              </w:rPr>
              <w:tab/>
            </w:r>
            <w:r>
              <w:rPr>
                <w:noProof/>
                <w:webHidden/>
              </w:rPr>
              <w:fldChar w:fldCharType="begin"/>
            </w:r>
            <w:r>
              <w:rPr>
                <w:noProof/>
                <w:webHidden/>
              </w:rPr>
              <w:instrText xml:space="preserve"> PAGEREF _Toc160610148 \h </w:instrText>
            </w:r>
            <w:r>
              <w:rPr>
                <w:noProof/>
                <w:webHidden/>
              </w:rPr>
            </w:r>
            <w:r>
              <w:rPr>
                <w:noProof/>
                <w:webHidden/>
              </w:rPr>
              <w:fldChar w:fldCharType="separate"/>
            </w:r>
            <w:r>
              <w:rPr>
                <w:noProof/>
                <w:webHidden/>
              </w:rPr>
              <w:t>11</w:t>
            </w:r>
            <w:r>
              <w:rPr>
                <w:noProof/>
                <w:webHidden/>
              </w:rPr>
              <w:fldChar w:fldCharType="end"/>
            </w:r>
          </w:hyperlink>
        </w:p>
        <w:p w14:paraId="2DB2EC35" w14:textId="622DAD53"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49" w:history="1">
            <w:r w:rsidRPr="00B6103E">
              <w:rPr>
                <w:rStyle w:val="Hyperlink"/>
                <w:noProof/>
              </w:rPr>
              <w:t>1.7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Obligations déontologiques</w:t>
            </w:r>
            <w:r>
              <w:rPr>
                <w:noProof/>
                <w:webHidden/>
              </w:rPr>
              <w:tab/>
            </w:r>
            <w:r>
              <w:rPr>
                <w:noProof/>
                <w:webHidden/>
              </w:rPr>
              <w:fldChar w:fldCharType="begin"/>
            </w:r>
            <w:r>
              <w:rPr>
                <w:noProof/>
                <w:webHidden/>
              </w:rPr>
              <w:instrText xml:space="preserve"> PAGEREF _Toc160610149 \h </w:instrText>
            </w:r>
            <w:r>
              <w:rPr>
                <w:noProof/>
                <w:webHidden/>
              </w:rPr>
            </w:r>
            <w:r>
              <w:rPr>
                <w:noProof/>
                <w:webHidden/>
              </w:rPr>
              <w:fldChar w:fldCharType="separate"/>
            </w:r>
            <w:r>
              <w:rPr>
                <w:noProof/>
                <w:webHidden/>
              </w:rPr>
              <w:t>11</w:t>
            </w:r>
            <w:r>
              <w:rPr>
                <w:noProof/>
                <w:webHidden/>
              </w:rPr>
              <w:fldChar w:fldCharType="end"/>
            </w:r>
          </w:hyperlink>
        </w:p>
        <w:p w14:paraId="441C8392" w14:textId="661D50DD"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0" w:history="1">
            <w:r w:rsidRPr="00B6103E">
              <w:rPr>
                <w:rStyle w:val="Hyperlink"/>
                <w:noProof/>
              </w:rPr>
              <w:t>1.8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Droit applicable et tribunaux compétents</w:t>
            </w:r>
            <w:r>
              <w:rPr>
                <w:noProof/>
                <w:webHidden/>
              </w:rPr>
              <w:tab/>
            </w:r>
            <w:r>
              <w:rPr>
                <w:noProof/>
                <w:webHidden/>
              </w:rPr>
              <w:fldChar w:fldCharType="begin"/>
            </w:r>
            <w:r>
              <w:rPr>
                <w:noProof/>
                <w:webHidden/>
              </w:rPr>
              <w:instrText xml:space="preserve"> PAGEREF _Toc160610150 \h </w:instrText>
            </w:r>
            <w:r>
              <w:rPr>
                <w:noProof/>
                <w:webHidden/>
              </w:rPr>
            </w:r>
            <w:r>
              <w:rPr>
                <w:noProof/>
                <w:webHidden/>
              </w:rPr>
              <w:fldChar w:fldCharType="separate"/>
            </w:r>
            <w:r>
              <w:rPr>
                <w:noProof/>
                <w:webHidden/>
              </w:rPr>
              <w:t>12</w:t>
            </w:r>
            <w:r>
              <w:rPr>
                <w:noProof/>
                <w:webHidden/>
              </w:rPr>
              <w:fldChar w:fldCharType="end"/>
            </w:r>
          </w:hyperlink>
        </w:p>
        <w:p w14:paraId="14F05B79" w14:textId="122AEFB2" w:rsidR="00300708" w:rsidRDefault="00300708">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151" w:history="1">
            <w:r w:rsidRPr="00B6103E">
              <w:rPr>
                <w:rStyle w:val="Hyperlink"/>
                <w:noProof/>
              </w:rPr>
              <w:t>2</w:t>
            </w:r>
            <w:r>
              <w:rPr>
                <w:rFonts w:asciiTheme="minorHAnsi" w:eastAsiaTheme="minorEastAsia" w:hAnsiTheme="minorHAnsi"/>
                <w:b w:val="0"/>
                <w:noProof/>
                <w:color w:val="auto"/>
                <w:kern w:val="2"/>
                <w:sz w:val="24"/>
                <w:szCs w:val="24"/>
                <w:lang w:val="fr-BE" w:eastAsia="fr-BE"/>
                <w14:ligatures w14:val="standardContextual"/>
              </w:rPr>
              <w:tab/>
            </w:r>
            <w:r w:rsidRPr="00B6103E">
              <w:rPr>
                <w:rStyle w:val="Hyperlink"/>
                <w:noProof/>
              </w:rPr>
              <w:t>Objet et portée du marché</w:t>
            </w:r>
            <w:r>
              <w:rPr>
                <w:noProof/>
                <w:webHidden/>
              </w:rPr>
              <w:tab/>
            </w:r>
            <w:r>
              <w:rPr>
                <w:noProof/>
                <w:webHidden/>
              </w:rPr>
              <w:fldChar w:fldCharType="begin"/>
            </w:r>
            <w:r>
              <w:rPr>
                <w:noProof/>
                <w:webHidden/>
              </w:rPr>
              <w:instrText xml:space="preserve"> PAGEREF _Toc160610151 \h </w:instrText>
            </w:r>
            <w:r>
              <w:rPr>
                <w:noProof/>
                <w:webHidden/>
              </w:rPr>
            </w:r>
            <w:r>
              <w:rPr>
                <w:noProof/>
                <w:webHidden/>
              </w:rPr>
              <w:fldChar w:fldCharType="separate"/>
            </w:r>
            <w:r>
              <w:rPr>
                <w:noProof/>
                <w:webHidden/>
              </w:rPr>
              <w:t>13</w:t>
            </w:r>
            <w:r>
              <w:rPr>
                <w:noProof/>
                <w:webHidden/>
              </w:rPr>
              <w:fldChar w:fldCharType="end"/>
            </w:r>
          </w:hyperlink>
        </w:p>
        <w:p w14:paraId="63F1E5DB" w14:textId="1A3C4B8C"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2" w:history="1">
            <w:r w:rsidRPr="00B6103E">
              <w:rPr>
                <w:rStyle w:val="Hyperlink"/>
                <w:noProof/>
              </w:rPr>
              <w:t>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Type de marché</w:t>
            </w:r>
            <w:r>
              <w:rPr>
                <w:noProof/>
                <w:webHidden/>
              </w:rPr>
              <w:tab/>
            </w:r>
            <w:r>
              <w:rPr>
                <w:noProof/>
                <w:webHidden/>
              </w:rPr>
              <w:fldChar w:fldCharType="begin"/>
            </w:r>
            <w:r>
              <w:rPr>
                <w:noProof/>
                <w:webHidden/>
              </w:rPr>
              <w:instrText xml:space="preserve"> PAGEREF _Toc160610152 \h </w:instrText>
            </w:r>
            <w:r>
              <w:rPr>
                <w:noProof/>
                <w:webHidden/>
              </w:rPr>
            </w:r>
            <w:r>
              <w:rPr>
                <w:noProof/>
                <w:webHidden/>
              </w:rPr>
              <w:fldChar w:fldCharType="separate"/>
            </w:r>
            <w:r>
              <w:rPr>
                <w:noProof/>
                <w:webHidden/>
              </w:rPr>
              <w:t>13</w:t>
            </w:r>
            <w:r>
              <w:rPr>
                <w:noProof/>
                <w:webHidden/>
              </w:rPr>
              <w:fldChar w:fldCharType="end"/>
            </w:r>
          </w:hyperlink>
        </w:p>
        <w:p w14:paraId="520BE58A" w14:textId="1045FF4F"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3" w:history="1">
            <w:r w:rsidRPr="00B6103E">
              <w:rPr>
                <w:rStyle w:val="Hyperlink"/>
                <w:noProof/>
              </w:rPr>
              <w:t>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Objet du marché</w:t>
            </w:r>
            <w:r>
              <w:rPr>
                <w:noProof/>
                <w:webHidden/>
              </w:rPr>
              <w:tab/>
            </w:r>
            <w:r>
              <w:rPr>
                <w:noProof/>
                <w:webHidden/>
              </w:rPr>
              <w:fldChar w:fldCharType="begin"/>
            </w:r>
            <w:r>
              <w:rPr>
                <w:noProof/>
                <w:webHidden/>
              </w:rPr>
              <w:instrText xml:space="preserve"> PAGEREF _Toc160610153 \h </w:instrText>
            </w:r>
            <w:r>
              <w:rPr>
                <w:noProof/>
                <w:webHidden/>
              </w:rPr>
            </w:r>
            <w:r>
              <w:rPr>
                <w:noProof/>
                <w:webHidden/>
              </w:rPr>
              <w:fldChar w:fldCharType="separate"/>
            </w:r>
            <w:r>
              <w:rPr>
                <w:noProof/>
                <w:webHidden/>
              </w:rPr>
              <w:t>13</w:t>
            </w:r>
            <w:r>
              <w:rPr>
                <w:noProof/>
                <w:webHidden/>
              </w:rPr>
              <w:fldChar w:fldCharType="end"/>
            </w:r>
          </w:hyperlink>
        </w:p>
        <w:p w14:paraId="2D71B6F3" w14:textId="7D682CB2"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4" w:history="1">
            <w:r w:rsidRPr="00B6103E">
              <w:rPr>
                <w:rStyle w:val="Hyperlink"/>
                <w:noProof/>
              </w:rPr>
              <w:t>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Lots</w:t>
            </w:r>
            <w:r>
              <w:rPr>
                <w:noProof/>
                <w:webHidden/>
              </w:rPr>
              <w:tab/>
            </w:r>
            <w:r>
              <w:rPr>
                <w:noProof/>
                <w:webHidden/>
              </w:rPr>
              <w:fldChar w:fldCharType="begin"/>
            </w:r>
            <w:r>
              <w:rPr>
                <w:noProof/>
                <w:webHidden/>
              </w:rPr>
              <w:instrText xml:space="preserve"> PAGEREF _Toc160610154 \h </w:instrText>
            </w:r>
            <w:r>
              <w:rPr>
                <w:noProof/>
                <w:webHidden/>
              </w:rPr>
            </w:r>
            <w:r>
              <w:rPr>
                <w:noProof/>
                <w:webHidden/>
              </w:rPr>
              <w:fldChar w:fldCharType="separate"/>
            </w:r>
            <w:r>
              <w:rPr>
                <w:noProof/>
                <w:webHidden/>
              </w:rPr>
              <w:t>13</w:t>
            </w:r>
            <w:r>
              <w:rPr>
                <w:noProof/>
                <w:webHidden/>
              </w:rPr>
              <w:fldChar w:fldCharType="end"/>
            </w:r>
          </w:hyperlink>
        </w:p>
        <w:p w14:paraId="7E845D9E" w14:textId="0F0DE46C"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5" w:history="1">
            <w:r w:rsidRPr="00B6103E">
              <w:rPr>
                <w:rStyle w:val="Hyperlink"/>
                <w:noProof/>
              </w:rPr>
              <w:t>2.4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Postes</w:t>
            </w:r>
            <w:r>
              <w:rPr>
                <w:noProof/>
                <w:webHidden/>
              </w:rPr>
              <w:tab/>
            </w:r>
            <w:r>
              <w:rPr>
                <w:noProof/>
                <w:webHidden/>
              </w:rPr>
              <w:fldChar w:fldCharType="begin"/>
            </w:r>
            <w:r>
              <w:rPr>
                <w:noProof/>
                <w:webHidden/>
              </w:rPr>
              <w:instrText xml:space="preserve"> PAGEREF _Toc160610155 \h </w:instrText>
            </w:r>
            <w:r>
              <w:rPr>
                <w:noProof/>
                <w:webHidden/>
              </w:rPr>
            </w:r>
            <w:r>
              <w:rPr>
                <w:noProof/>
                <w:webHidden/>
              </w:rPr>
              <w:fldChar w:fldCharType="separate"/>
            </w:r>
            <w:r>
              <w:rPr>
                <w:noProof/>
                <w:webHidden/>
              </w:rPr>
              <w:t>14</w:t>
            </w:r>
            <w:r>
              <w:rPr>
                <w:noProof/>
                <w:webHidden/>
              </w:rPr>
              <w:fldChar w:fldCharType="end"/>
            </w:r>
          </w:hyperlink>
        </w:p>
        <w:p w14:paraId="37087255" w14:textId="5CEFFBA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6" w:history="1">
            <w:r w:rsidRPr="00B6103E">
              <w:rPr>
                <w:rStyle w:val="Hyperlink"/>
                <w:noProof/>
              </w:rPr>
              <w:t>2.5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Durée de l’accord-cadre</w:t>
            </w:r>
            <w:r>
              <w:rPr>
                <w:noProof/>
                <w:webHidden/>
              </w:rPr>
              <w:tab/>
            </w:r>
            <w:r>
              <w:rPr>
                <w:noProof/>
                <w:webHidden/>
              </w:rPr>
              <w:fldChar w:fldCharType="begin"/>
            </w:r>
            <w:r>
              <w:rPr>
                <w:noProof/>
                <w:webHidden/>
              </w:rPr>
              <w:instrText xml:space="preserve"> PAGEREF _Toc160610156 \h </w:instrText>
            </w:r>
            <w:r>
              <w:rPr>
                <w:noProof/>
                <w:webHidden/>
              </w:rPr>
            </w:r>
            <w:r>
              <w:rPr>
                <w:noProof/>
                <w:webHidden/>
              </w:rPr>
              <w:fldChar w:fldCharType="separate"/>
            </w:r>
            <w:r>
              <w:rPr>
                <w:noProof/>
                <w:webHidden/>
              </w:rPr>
              <w:t>14</w:t>
            </w:r>
            <w:r>
              <w:rPr>
                <w:noProof/>
                <w:webHidden/>
              </w:rPr>
              <w:fldChar w:fldCharType="end"/>
            </w:r>
          </w:hyperlink>
        </w:p>
        <w:p w14:paraId="5A16EB23" w14:textId="449E0408"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7" w:history="1">
            <w:r w:rsidRPr="00B6103E">
              <w:rPr>
                <w:rStyle w:val="Hyperlink"/>
                <w:noProof/>
              </w:rPr>
              <w:t>2.6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Variantes</w:t>
            </w:r>
            <w:r>
              <w:rPr>
                <w:noProof/>
                <w:webHidden/>
              </w:rPr>
              <w:tab/>
            </w:r>
            <w:r>
              <w:rPr>
                <w:noProof/>
                <w:webHidden/>
              </w:rPr>
              <w:fldChar w:fldCharType="begin"/>
            </w:r>
            <w:r>
              <w:rPr>
                <w:noProof/>
                <w:webHidden/>
              </w:rPr>
              <w:instrText xml:space="preserve"> PAGEREF _Toc160610157 \h </w:instrText>
            </w:r>
            <w:r>
              <w:rPr>
                <w:noProof/>
                <w:webHidden/>
              </w:rPr>
            </w:r>
            <w:r>
              <w:rPr>
                <w:noProof/>
                <w:webHidden/>
              </w:rPr>
              <w:fldChar w:fldCharType="separate"/>
            </w:r>
            <w:r>
              <w:rPr>
                <w:noProof/>
                <w:webHidden/>
              </w:rPr>
              <w:t>15</w:t>
            </w:r>
            <w:r>
              <w:rPr>
                <w:noProof/>
                <w:webHidden/>
              </w:rPr>
              <w:fldChar w:fldCharType="end"/>
            </w:r>
          </w:hyperlink>
        </w:p>
        <w:p w14:paraId="3C4789C3" w14:textId="649C08D5"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8" w:history="1">
            <w:r w:rsidRPr="00B6103E">
              <w:rPr>
                <w:rStyle w:val="Hyperlink"/>
                <w:noProof/>
              </w:rPr>
              <w:t>2.7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Options</w:t>
            </w:r>
            <w:r>
              <w:rPr>
                <w:noProof/>
                <w:webHidden/>
              </w:rPr>
              <w:tab/>
            </w:r>
            <w:r>
              <w:rPr>
                <w:noProof/>
                <w:webHidden/>
              </w:rPr>
              <w:fldChar w:fldCharType="begin"/>
            </w:r>
            <w:r>
              <w:rPr>
                <w:noProof/>
                <w:webHidden/>
              </w:rPr>
              <w:instrText xml:space="preserve"> PAGEREF _Toc160610158 \h </w:instrText>
            </w:r>
            <w:r>
              <w:rPr>
                <w:noProof/>
                <w:webHidden/>
              </w:rPr>
            </w:r>
            <w:r>
              <w:rPr>
                <w:noProof/>
                <w:webHidden/>
              </w:rPr>
              <w:fldChar w:fldCharType="separate"/>
            </w:r>
            <w:r>
              <w:rPr>
                <w:noProof/>
                <w:webHidden/>
              </w:rPr>
              <w:t>15</w:t>
            </w:r>
            <w:r>
              <w:rPr>
                <w:noProof/>
                <w:webHidden/>
              </w:rPr>
              <w:fldChar w:fldCharType="end"/>
            </w:r>
          </w:hyperlink>
        </w:p>
        <w:p w14:paraId="1F7CD4D5" w14:textId="578CF73E"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59" w:history="1">
            <w:r w:rsidRPr="00B6103E">
              <w:rPr>
                <w:rStyle w:val="Hyperlink"/>
                <w:noProof/>
              </w:rPr>
              <w:t>2.8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Quantités</w:t>
            </w:r>
            <w:r>
              <w:rPr>
                <w:noProof/>
                <w:webHidden/>
              </w:rPr>
              <w:tab/>
            </w:r>
            <w:r>
              <w:rPr>
                <w:noProof/>
                <w:webHidden/>
              </w:rPr>
              <w:fldChar w:fldCharType="begin"/>
            </w:r>
            <w:r>
              <w:rPr>
                <w:noProof/>
                <w:webHidden/>
              </w:rPr>
              <w:instrText xml:space="preserve"> PAGEREF _Toc160610159 \h </w:instrText>
            </w:r>
            <w:r>
              <w:rPr>
                <w:noProof/>
                <w:webHidden/>
              </w:rPr>
            </w:r>
            <w:r>
              <w:rPr>
                <w:noProof/>
                <w:webHidden/>
              </w:rPr>
              <w:fldChar w:fldCharType="separate"/>
            </w:r>
            <w:r>
              <w:rPr>
                <w:noProof/>
                <w:webHidden/>
              </w:rPr>
              <w:t>15</w:t>
            </w:r>
            <w:r>
              <w:rPr>
                <w:noProof/>
                <w:webHidden/>
              </w:rPr>
              <w:fldChar w:fldCharType="end"/>
            </w:r>
          </w:hyperlink>
        </w:p>
        <w:p w14:paraId="12FDC4CD" w14:textId="0E513FCD" w:rsidR="00300708" w:rsidRDefault="00300708">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160" w:history="1">
            <w:r w:rsidRPr="00B6103E">
              <w:rPr>
                <w:rStyle w:val="Hyperlink"/>
                <w:noProof/>
              </w:rPr>
              <w:t>3</w:t>
            </w:r>
            <w:r>
              <w:rPr>
                <w:rFonts w:asciiTheme="minorHAnsi" w:eastAsiaTheme="minorEastAsia" w:hAnsiTheme="minorHAnsi"/>
                <w:b w:val="0"/>
                <w:noProof/>
                <w:color w:val="auto"/>
                <w:kern w:val="2"/>
                <w:sz w:val="24"/>
                <w:szCs w:val="24"/>
                <w:lang w:val="fr-BE" w:eastAsia="fr-BE"/>
                <w14:ligatures w14:val="standardContextual"/>
              </w:rPr>
              <w:tab/>
            </w:r>
            <w:r w:rsidRPr="00B6103E">
              <w:rPr>
                <w:rStyle w:val="Hyperlink"/>
                <w:noProof/>
              </w:rPr>
              <w:t>Procédure</w:t>
            </w:r>
            <w:r>
              <w:rPr>
                <w:noProof/>
                <w:webHidden/>
              </w:rPr>
              <w:tab/>
            </w:r>
            <w:r>
              <w:rPr>
                <w:noProof/>
                <w:webHidden/>
              </w:rPr>
              <w:fldChar w:fldCharType="begin"/>
            </w:r>
            <w:r>
              <w:rPr>
                <w:noProof/>
                <w:webHidden/>
              </w:rPr>
              <w:instrText xml:space="preserve"> PAGEREF _Toc160610160 \h </w:instrText>
            </w:r>
            <w:r>
              <w:rPr>
                <w:noProof/>
                <w:webHidden/>
              </w:rPr>
            </w:r>
            <w:r>
              <w:rPr>
                <w:noProof/>
                <w:webHidden/>
              </w:rPr>
              <w:fldChar w:fldCharType="separate"/>
            </w:r>
            <w:r>
              <w:rPr>
                <w:noProof/>
                <w:webHidden/>
              </w:rPr>
              <w:t>16</w:t>
            </w:r>
            <w:r>
              <w:rPr>
                <w:noProof/>
                <w:webHidden/>
              </w:rPr>
              <w:fldChar w:fldCharType="end"/>
            </w:r>
          </w:hyperlink>
        </w:p>
        <w:p w14:paraId="2C73A2A6" w14:textId="2AA7ED28"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61" w:history="1">
            <w:r w:rsidRPr="00B6103E">
              <w:rPr>
                <w:rStyle w:val="Hyperlink"/>
                <w:noProof/>
              </w:rPr>
              <w:t>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Mode de passation</w:t>
            </w:r>
            <w:r>
              <w:rPr>
                <w:noProof/>
                <w:webHidden/>
              </w:rPr>
              <w:tab/>
            </w:r>
            <w:r>
              <w:rPr>
                <w:noProof/>
                <w:webHidden/>
              </w:rPr>
              <w:fldChar w:fldCharType="begin"/>
            </w:r>
            <w:r>
              <w:rPr>
                <w:noProof/>
                <w:webHidden/>
              </w:rPr>
              <w:instrText xml:space="preserve"> PAGEREF _Toc160610161 \h </w:instrText>
            </w:r>
            <w:r>
              <w:rPr>
                <w:noProof/>
                <w:webHidden/>
              </w:rPr>
            </w:r>
            <w:r>
              <w:rPr>
                <w:noProof/>
                <w:webHidden/>
              </w:rPr>
              <w:fldChar w:fldCharType="separate"/>
            </w:r>
            <w:r>
              <w:rPr>
                <w:noProof/>
                <w:webHidden/>
              </w:rPr>
              <w:t>16</w:t>
            </w:r>
            <w:r>
              <w:rPr>
                <w:noProof/>
                <w:webHidden/>
              </w:rPr>
              <w:fldChar w:fldCharType="end"/>
            </w:r>
          </w:hyperlink>
        </w:p>
        <w:p w14:paraId="6B337A4B" w14:textId="38DF3CD5"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62" w:history="1">
            <w:r w:rsidRPr="00B6103E">
              <w:rPr>
                <w:rStyle w:val="Hyperlink"/>
                <w:noProof/>
              </w:rPr>
              <w:t>3.2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Publication</w:t>
            </w:r>
            <w:r>
              <w:rPr>
                <w:noProof/>
                <w:webHidden/>
              </w:rPr>
              <w:tab/>
            </w:r>
            <w:r>
              <w:rPr>
                <w:noProof/>
                <w:webHidden/>
              </w:rPr>
              <w:fldChar w:fldCharType="begin"/>
            </w:r>
            <w:r>
              <w:rPr>
                <w:noProof/>
                <w:webHidden/>
              </w:rPr>
              <w:instrText xml:space="preserve"> PAGEREF _Toc160610162 \h </w:instrText>
            </w:r>
            <w:r>
              <w:rPr>
                <w:noProof/>
                <w:webHidden/>
              </w:rPr>
            </w:r>
            <w:r>
              <w:rPr>
                <w:noProof/>
                <w:webHidden/>
              </w:rPr>
              <w:fldChar w:fldCharType="separate"/>
            </w:r>
            <w:r>
              <w:rPr>
                <w:noProof/>
                <w:webHidden/>
              </w:rPr>
              <w:t>16</w:t>
            </w:r>
            <w:r>
              <w:rPr>
                <w:noProof/>
                <w:webHidden/>
              </w:rPr>
              <w:fldChar w:fldCharType="end"/>
            </w:r>
          </w:hyperlink>
        </w:p>
        <w:p w14:paraId="30E76DBB" w14:textId="138F8BAA"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63" w:history="1">
            <w:r w:rsidRPr="00B6103E">
              <w:rPr>
                <w:rStyle w:val="Hyperlink"/>
                <w:noProof/>
              </w:rPr>
              <w:t>3.2.1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Publicité officielle</w:t>
            </w:r>
            <w:r>
              <w:rPr>
                <w:noProof/>
                <w:webHidden/>
              </w:rPr>
              <w:tab/>
            </w:r>
            <w:r>
              <w:rPr>
                <w:noProof/>
                <w:webHidden/>
              </w:rPr>
              <w:fldChar w:fldCharType="begin"/>
            </w:r>
            <w:r>
              <w:rPr>
                <w:noProof/>
                <w:webHidden/>
              </w:rPr>
              <w:instrText xml:space="preserve"> PAGEREF _Toc160610163 \h </w:instrText>
            </w:r>
            <w:r>
              <w:rPr>
                <w:noProof/>
                <w:webHidden/>
              </w:rPr>
            </w:r>
            <w:r>
              <w:rPr>
                <w:noProof/>
                <w:webHidden/>
              </w:rPr>
              <w:fldChar w:fldCharType="separate"/>
            </w:r>
            <w:r>
              <w:rPr>
                <w:noProof/>
                <w:webHidden/>
              </w:rPr>
              <w:t>16</w:t>
            </w:r>
            <w:r>
              <w:rPr>
                <w:noProof/>
                <w:webHidden/>
              </w:rPr>
              <w:fldChar w:fldCharType="end"/>
            </w:r>
          </w:hyperlink>
        </w:p>
        <w:p w14:paraId="39697AB9" w14:textId="79027812"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64" w:history="1">
            <w:r w:rsidRPr="00B6103E">
              <w:rPr>
                <w:rStyle w:val="Hyperlink"/>
                <w:noProof/>
              </w:rPr>
              <w:t>3.2.2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Publicité complémentaire</w:t>
            </w:r>
            <w:r>
              <w:rPr>
                <w:noProof/>
                <w:webHidden/>
              </w:rPr>
              <w:tab/>
            </w:r>
            <w:r>
              <w:rPr>
                <w:noProof/>
                <w:webHidden/>
              </w:rPr>
              <w:fldChar w:fldCharType="begin"/>
            </w:r>
            <w:r>
              <w:rPr>
                <w:noProof/>
                <w:webHidden/>
              </w:rPr>
              <w:instrText xml:space="preserve"> PAGEREF _Toc160610164 \h </w:instrText>
            </w:r>
            <w:r>
              <w:rPr>
                <w:noProof/>
                <w:webHidden/>
              </w:rPr>
            </w:r>
            <w:r>
              <w:rPr>
                <w:noProof/>
                <w:webHidden/>
              </w:rPr>
              <w:fldChar w:fldCharType="separate"/>
            </w:r>
            <w:r>
              <w:rPr>
                <w:noProof/>
                <w:webHidden/>
              </w:rPr>
              <w:t>16</w:t>
            </w:r>
            <w:r>
              <w:rPr>
                <w:noProof/>
                <w:webHidden/>
              </w:rPr>
              <w:fldChar w:fldCharType="end"/>
            </w:r>
          </w:hyperlink>
        </w:p>
        <w:p w14:paraId="1E95D23E" w14:textId="571EE14A"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65" w:history="1">
            <w:r w:rsidRPr="00B6103E">
              <w:rPr>
                <w:rStyle w:val="Hyperlink"/>
                <w:noProof/>
              </w:rPr>
              <w:t>3.3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Information</w:t>
            </w:r>
            <w:r>
              <w:rPr>
                <w:noProof/>
                <w:webHidden/>
              </w:rPr>
              <w:tab/>
            </w:r>
            <w:r>
              <w:rPr>
                <w:noProof/>
                <w:webHidden/>
              </w:rPr>
              <w:fldChar w:fldCharType="begin"/>
            </w:r>
            <w:r>
              <w:rPr>
                <w:noProof/>
                <w:webHidden/>
              </w:rPr>
              <w:instrText xml:space="preserve"> PAGEREF _Toc160610165 \h </w:instrText>
            </w:r>
            <w:r>
              <w:rPr>
                <w:noProof/>
                <w:webHidden/>
              </w:rPr>
            </w:r>
            <w:r>
              <w:rPr>
                <w:noProof/>
                <w:webHidden/>
              </w:rPr>
              <w:fldChar w:fldCharType="separate"/>
            </w:r>
            <w:r>
              <w:rPr>
                <w:noProof/>
                <w:webHidden/>
              </w:rPr>
              <w:t>16</w:t>
            </w:r>
            <w:r>
              <w:rPr>
                <w:noProof/>
                <w:webHidden/>
              </w:rPr>
              <w:fldChar w:fldCharType="end"/>
            </w:r>
          </w:hyperlink>
        </w:p>
        <w:p w14:paraId="74AF4F7D" w14:textId="3B66481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66" w:history="1">
            <w:r w:rsidRPr="00B6103E">
              <w:rPr>
                <w:rStyle w:val="Hyperlink"/>
                <w:noProof/>
              </w:rPr>
              <w:t>3.4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Offre</w:t>
            </w:r>
            <w:r>
              <w:rPr>
                <w:noProof/>
                <w:webHidden/>
              </w:rPr>
              <w:tab/>
            </w:r>
            <w:r>
              <w:rPr>
                <w:noProof/>
                <w:webHidden/>
              </w:rPr>
              <w:fldChar w:fldCharType="begin"/>
            </w:r>
            <w:r>
              <w:rPr>
                <w:noProof/>
                <w:webHidden/>
              </w:rPr>
              <w:instrText xml:space="preserve"> PAGEREF _Toc160610166 \h </w:instrText>
            </w:r>
            <w:r>
              <w:rPr>
                <w:noProof/>
                <w:webHidden/>
              </w:rPr>
            </w:r>
            <w:r>
              <w:rPr>
                <w:noProof/>
                <w:webHidden/>
              </w:rPr>
              <w:fldChar w:fldCharType="separate"/>
            </w:r>
            <w:r>
              <w:rPr>
                <w:noProof/>
                <w:webHidden/>
              </w:rPr>
              <w:t>16</w:t>
            </w:r>
            <w:r>
              <w:rPr>
                <w:noProof/>
                <w:webHidden/>
              </w:rPr>
              <w:fldChar w:fldCharType="end"/>
            </w:r>
          </w:hyperlink>
        </w:p>
        <w:p w14:paraId="04896CBE" w14:textId="61B9848B"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67" w:history="1">
            <w:r w:rsidRPr="00B6103E">
              <w:rPr>
                <w:rStyle w:val="Hyperlink"/>
                <w:noProof/>
              </w:rPr>
              <w:t>3.4.1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Données à mentionner dans l’offre</w:t>
            </w:r>
            <w:r>
              <w:rPr>
                <w:noProof/>
                <w:webHidden/>
              </w:rPr>
              <w:tab/>
            </w:r>
            <w:r>
              <w:rPr>
                <w:noProof/>
                <w:webHidden/>
              </w:rPr>
              <w:fldChar w:fldCharType="begin"/>
            </w:r>
            <w:r>
              <w:rPr>
                <w:noProof/>
                <w:webHidden/>
              </w:rPr>
              <w:instrText xml:space="preserve"> PAGEREF _Toc160610167 \h </w:instrText>
            </w:r>
            <w:r>
              <w:rPr>
                <w:noProof/>
                <w:webHidden/>
              </w:rPr>
            </w:r>
            <w:r>
              <w:rPr>
                <w:noProof/>
                <w:webHidden/>
              </w:rPr>
              <w:fldChar w:fldCharType="separate"/>
            </w:r>
            <w:r>
              <w:rPr>
                <w:noProof/>
                <w:webHidden/>
              </w:rPr>
              <w:t>16</w:t>
            </w:r>
            <w:r>
              <w:rPr>
                <w:noProof/>
                <w:webHidden/>
              </w:rPr>
              <w:fldChar w:fldCharType="end"/>
            </w:r>
          </w:hyperlink>
        </w:p>
        <w:p w14:paraId="271D7218" w14:textId="38FCF82D"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68" w:history="1">
            <w:r w:rsidRPr="00B6103E">
              <w:rPr>
                <w:rStyle w:val="Hyperlink"/>
                <w:noProof/>
              </w:rPr>
              <w:t>3.4.2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Durée de validité de l’offre</w:t>
            </w:r>
            <w:r>
              <w:rPr>
                <w:noProof/>
                <w:webHidden/>
              </w:rPr>
              <w:tab/>
            </w:r>
            <w:r>
              <w:rPr>
                <w:noProof/>
                <w:webHidden/>
              </w:rPr>
              <w:fldChar w:fldCharType="begin"/>
            </w:r>
            <w:r>
              <w:rPr>
                <w:noProof/>
                <w:webHidden/>
              </w:rPr>
              <w:instrText xml:space="preserve"> PAGEREF _Toc160610168 \h </w:instrText>
            </w:r>
            <w:r>
              <w:rPr>
                <w:noProof/>
                <w:webHidden/>
              </w:rPr>
            </w:r>
            <w:r>
              <w:rPr>
                <w:noProof/>
                <w:webHidden/>
              </w:rPr>
              <w:fldChar w:fldCharType="separate"/>
            </w:r>
            <w:r>
              <w:rPr>
                <w:noProof/>
                <w:webHidden/>
              </w:rPr>
              <w:t>18</w:t>
            </w:r>
            <w:r>
              <w:rPr>
                <w:noProof/>
                <w:webHidden/>
              </w:rPr>
              <w:fldChar w:fldCharType="end"/>
            </w:r>
          </w:hyperlink>
        </w:p>
        <w:p w14:paraId="2FAEB79F" w14:textId="6B6B3456"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69" w:history="1">
            <w:r w:rsidRPr="00B6103E">
              <w:rPr>
                <w:rStyle w:val="Hyperlink"/>
                <w:noProof/>
              </w:rPr>
              <w:t>3.4.3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Modalités d’introduction des offres</w:t>
            </w:r>
            <w:r>
              <w:rPr>
                <w:noProof/>
                <w:webHidden/>
              </w:rPr>
              <w:tab/>
            </w:r>
            <w:r>
              <w:rPr>
                <w:noProof/>
                <w:webHidden/>
              </w:rPr>
              <w:fldChar w:fldCharType="begin"/>
            </w:r>
            <w:r>
              <w:rPr>
                <w:noProof/>
                <w:webHidden/>
              </w:rPr>
              <w:instrText xml:space="preserve"> PAGEREF _Toc160610169 \h </w:instrText>
            </w:r>
            <w:r>
              <w:rPr>
                <w:noProof/>
                <w:webHidden/>
              </w:rPr>
            </w:r>
            <w:r>
              <w:rPr>
                <w:noProof/>
                <w:webHidden/>
              </w:rPr>
              <w:fldChar w:fldCharType="separate"/>
            </w:r>
            <w:r>
              <w:rPr>
                <w:noProof/>
                <w:webHidden/>
              </w:rPr>
              <w:t>18</w:t>
            </w:r>
            <w:r>
              <w:rPr>
                <w:noProof/>
                <w:webHidden/>
              </w:rPr>
              <w:fldChar w:fldCharType="end"/>
            </w:r>
          </w:hyperlink>
        </w:p>
        <w:p w14:paraId="5CC70B61" w14:textId="42C822F9"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0" w:history="1">
            <w:r w:rsidRPr="00B6103E">
              <w:rPr>
                <w:rStyle w:val="Hyperlink"/>
                <w:noProof/>
              </w:rPr>
              <w:t>3.4.3.1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Via e-Procurement</w:t>
            </w:r>
            <w:r>
              <w:rPr>
                <w:noProof/>
                <w:webHidden/>
              </w:rPr>
              <w:tab/>
            </w:r>
            <w:r>
              <w:rPr>
                <w:noProof/>
                <w:webHidden/>
              </w:rPr>
              <w:fldChar w:fldCharType="begin"/>
            </w:r>
            <w:r>
              <w:rPr>
                <w:noProof/>
                <w:webHidden/>
              </w:rPr>
              <w:instrText xml:space="preserve"> PAGEREF _Toc160610170 \h </w:instrText>
            </w:r>
            <w:r>
              <w:rPr>
                <w:noProof/>
                <w:webHidden/>
              </w:rPr>
            </w:r>
            <w:r>
              <w:rPr>
                <w:noProof/>
                <w:webHidden/>
              </w:rPr>
              <w:fldChar w:fldCharType="separate"/>
            </w:r>
            <w:r>
              <w:rPr>
                <w:noProof/>
                <w:webHidden/>
              </w:rPr>
              <w:t>18</w:t>
            </w:r>
            <w:r>
              <w:rPr>
                <w:noProof/>
                <w:webHidden/>
              </w:rPr>
              <w:fldChar w:fldCharType="end"/>
            </w:r>
          </w:hyperlink>
        </w:p>
        <w:p w14:paraId="5B0C600E" w14:textId="74C3A6D2"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1" w:history="1">
            <w:r w:rsidRPr="00B6103E">
              <w:rPr>
                <w:rStyle w:val="Hyperlink"/>
                <w:noProof/>
              </w:rPr>
              <w:t>3.4.3.2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La signature électronique de l’offre</w:t>
            </w:r>
            <w:r>
              <w:rPr>
                <w:noProof/>
                <w:webHidden/>
              </w:rPr>
              <w:tab/>
            </w:r>
            <w:r>
              <w:rPr>
                <w:noProof/>
                <w:webHidden/>
              </w:rPr>
              <w:fldChar w:fldCharType="begin"/>
            </w:r>
            <w:r>
              <w:rPr>
                <w:noProof/>
                <w:webHidden/>
              </w:rPr>
              <w:instrText xml:space="preserve"> PAGEREF _Toc160610171 \h </w:instrText>
            </w:r>
            <w:r>
              <w:rPr>
                <w:noProof/>
                <w:webHidden/>
              </w:rPr>
            </w:r>
            <w:r>
              <w:rPr>
                <w:noProof/>
                <w:webHidden/>
              </w:rPr>
              <w:fldChar w:fldCharType="separate"/>
            </w:r>
            <w:r>
              <w:rPr>
                <w:noProof/>
                <w:webHidden/>
              </w:rPr>
              <w:t>19</w:t>
            </w:r>
            <w:r>
              <w:rPr>
                <w:noProof/>
                <w:webHidden/>
              </w:rPr>
              <w:fldChar w:fldCharType="end"/>
            </w:r>
          </w:hyperlink>
        </w:p>
        <w:p w14:paraId="04CDCE6F" w14:textId="116CF7EC"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2" w:history="1">
            <w:r w:rsidRPr="00B6103E">
              <w:rPr>
                <w:rStyle w:val="Hyperlink"/>
                <w:noProof/>
              </w:rPr>
              <w:t>3.4.3.3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Modification ou retrait d’une offre déjà introduite</w:t>
            </w:r>
            <w:r>
              <w:rPr>
                <w:noProof/>
                <w:webHidden/>
              </w:rPr>
              <w:tab/>
            </w:r>
            <w:r>
              <w:rPr>
                <w:noProof/>
                <w:webHidden/>
              </w:rPr>
              <w:fldChar w:fldCharType="begin"/>
            </w:r>
            <w:r>
              <w:rPr>
                <w:noProof/>
                <w:webHidden/>
              </w:rPr>
              <w:instrText xml:space="preserve"> PAGEREF _Toc160610172 \h </w:instrText>
            </w:r>
            <w:r>
              <w:rPr>
                <w:noProof/>
                <w:webHidden/>
              </w:rPr>
            </w:r>
            <w:r>
              <w:rPr>
                <w:noProof/>
                <w:webHidden/>
              </w:rPr>
              <w:fldChar w:fldCharType="separate"/>
            </w:r>
            <w:r>
              <w:rPr>
                <w:noProof/>
                <w:webHidden/>
              </w:rPr>
              <w:t>19</w:t>
            </w:r>
            <w:r>
              <w:rPr>
                <w:noProof/>
                <w:webHidden/>
              </w:rPr>
              <w:fldChar w:fldCharType="end"/>
            </w:r>
          </w:hyperlink>
        </w:p>
        <w:p w14:paraId="66752787" w14:textId="0786D181"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3" w:history="1">
            <w:r w:rsidRPr="00B6103E">
              <w:rPr>
                <w:rStyle w:val="Hyperlink"/>
                <w:noProof/>
              </w:rPr>
              <w:t>3.4.3.4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Date limite de réception et ouverture des offres initiales.</w:t>
            </w:r>
            <w:r>
              <w:rPr>
                <w:noProof/>
                <w:webHidden/>
              </w:rPr>
              <w:tab/>
            </w:r>
            <w:r>
              <w:rPr>
                <w:noProof/>
                <w:webHidden/>
              </w:rPr>
              <w:fldChar w:fldCharType="begin"/>
            </w:r>
            <w:r>
              <w:rPr>
                <w:noProof/>
                <w:webHidden/>
              </w:rPr>
              <w:instrText xml:space="preserve"> PAGEREF _Toc160610173 \h </w:instrText>
            </w:r>
            <w:r>
              <w:rPr>
                <w:noProof/>
                <w:webHidden/>
              </w:rPr>
            </w:r>
            <w:r>
              <w:rPr>
                <w:noProof/>
                <w:webHidden/>
              </w:rPr>
              <w:fldChar w:fldCharType="separate"/>
            </w:r>
            <w:r>
              <w:rPr>
                <w:noProof/>
                <w:webHidden/>
              </w:rPr>
              <w:t>20</w:t>
            </w:r>
            <w:r>
              <w:rPr>
                <w:noProof/>
                <w:webHidden/>
              </w:rPr>
              <w:fldChar w:fldCharType="end"/>
            </w:r>
          </w:hyperlink>
        </w:p>
        <w:p w14:paraId="377A5084" w14:textId="22FE0D3C"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74" w:history="1">
            <w:r w:rsidRPr="00B6103E">
              <w:rPr>
                <w:rStyle w:val="Hyperlink"/>
                <w:noProof/>
              </w:rPr>
              <w:t>3.4.4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Prix</w:t>
            </w:r>
            <w:r>
              <w:rPr>
                <w:noProof/>
                <w:webHidden/>
              </w:rPr>
              <w:tab/>
            </w:r>
            <w:r>
              <w:rPr>
                <w:noProof/>
                <w:webHidden/>
              </w:rPr>
              <w:fldChar w:fldCharType="begin"/>
            </w:r>
            <w:r>
              <w:rPr>
                <w:noProof/>
                <w:webHidden/>
              </w:rPr>
              <w:instrText xml:space="preserve"> PAGEREF _Toc160610174 \h </w:instrText>
            </w:r>
            <w:r>
              <w:rPr>
                <w:noProof/>
                <w:webHidden/>
              </w:rPr>
            </w:r>
            <w:r>
              <w:rPr>
                <w:noProof/>
                <w:webHidden/>
              </w:rPr>
              <w:fldChar w:fldCharType="separate"/>
            </w:r>
            <w:r>
              <w:rPr>
                <w:noProof/>
                <w:webHidden/>
              </w:rPr>
              <w:t>20</w:t>
            </w:r>
            <w:r>
              <w:rPr>
                <w:noProof/>
                <w:webHidden/>
              </w:rPr>
              <w:fldChar w:fldCharType="end"/>
            </w:r>
          </w:hyperlink>
        </w:p>
        <w:p w14:paraId="6A6FB610" w14:textId="5999C30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5" w:history="1">
            <w:r w:rsidRPr="00B6103E">
              <w:rPr>
                <w:rStyle w:val="Hyperlink"/>
                <w:noProof/>
              </w:rPr>
              <w:t>3.4.4.1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Détermination des prix</w:t>
            </w:r>
            <w:r>
              <w:rPr>
                <w:noProof/>
                <w:webHidden/>
              </w:rPr>
              <w:tab/>
            </w:r>
            <w:r>
              <w:rPr>
                <w:noProof/>
                <w:webHidden/>
              </w:rPr>
              <w:fldChar w:fldCharType="begin"/>
            </w:r>
            <w:r>
              <w:rPr>
                <w:noProof/>
                <w:webHidden/>
              </w:rPr>
              <w:instrText xml:space="preserve"> PAGEREF _Toc160610175 \h </w:instrText>
            </w:r>
            <w:r>
              <w:rPr>
                <w:noProof/>
                <w:webHidden/>
              </w:rPr>
            </w:r>
            <w:r>
              <w:rPr>
                <w:noProof/>
                <w:webHidden/>
              </w:rPr>
              <w:fldChar w:fldCharType="separate"/>
            </w:r>
            <w:r>
              <w:rPr>
                <w:noProof/>
                <w:webHidden/>
              </w:rPr>
              <w:t>20</w:t>
            </w:r>
            <w:r>
              <w:rPr>
                <w:noProof/>
                <w:webHidden/>
              </w:rPr>
              <w:fldChar w:fldCharType="end"/>
            </w:r>
          </w:hyperlink>
        </w:p>
        <w:p w14:paraId="5AA8630C" w14:textId="106A27D2"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76" w:history="1">
            <w:r w:rsidRPr="00B6103E">
              <w:rPr>
                <w:rStyle w:val="Hyperlink"/>
                <w:noProof/>
              </w:rPr>
              <w:t>3.4.4.2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Éléments inclus dans le prix</w:t>
            </w:r>
            <w:r>
              <w:rPr>
                <w:noProof/>
                <w:webHidden/>
              </w:rPr>
              <w:tab/>
            </w:r>
            <w:r>
              <w:rPr>
                <w:noProof/>
                <w:webHidden/>
              </w:rPr>
              <w:fldChar w:fldCharType="begin"/>
            </w:r>
            <w:r>
              <w:rPr>
                <w:noProof/>
                <w:webHidden/>
              </w:rPr>
              <w:instrText xml:space="preserve"> PAGEREF _Toc160610176 \h </w:instrText>
            </w:r>
            <w:r>
              <w:rPr>
                <w:noProof/>
                <w:webHidden/>
              </w:rPr>
            </w:r>
            <w:r>
              <w:rPr>
                <w:noProof/>
                <w:webHidden/>
              </w:rPr>
              <w:fldChar w:fldCharType="separate"/>
            </w:r>
            <w:r>
              <w:rPr>
                <w:noProof/>
                <w:webHidden/>
              </w:rPr>
              <w:t>20</w:t>
            </w:r>
            <w:r>
              <w:rPr>
                <w:noProof/>
                <w:webHidden/>
              </w:rPr>
              <w:fldChar w:fldCharType="end"/>
            </w:r>
          </w:hyperlink>
        </w:p>
        <w:p w14:paraId="08EC9808" w14:textId="2C86460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77" w:history="1">
            <w:r w:rsidRPr="00B6103E">
              <w:rPr>
                <w:rStyle w:val="Hyperlink"/>
                <w:noProof/>
              </w:rPr>
              <w:t>3.5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Sélection des soumissionnaires</w:t>
            </w:r>
            <w:r>
              <w:rPr>
                <w:noProof/>
                <w:webHidden/>
              </w:rPr>
              <w:tab/>
            </w:r>
            <w:r>
              <w:rPr>
                <w:noProof/>
                <w:webHidden/>
              </w:rPr>
              <w:fldChar w:fldCharType="begin"/>
            </w:r>
            <w:r>
              <w:rPr>
                <w:noProof/>
                <w:webHidden/>
              </w:rPr>
              <w:instrText xml:space="preserve"> PAGEREF _Toc160610177 \h </w:instrText>
            </w:r>
            <w:r>
              <w:rPr>
                <w:noProof/>
                <w:webHidden/>
              </w:rPr>
            </w:r>
            <w:r>
              <w:rPr>
                <w:noProof/>
                <w:webHidden/>
              </w:rPr>
              <w:fldChar w:fldCharType="separate"/>
            </w:r>
            <w:r>
              <w:rPr>
                <w:noProof/>
                <w:webHidden/>
              </w:rPr>
              <w:t>23</w:t>
            </w:r>
            <w:r>
              <w:rPr>
                <w:noProof/>
                <w:webHidden/>
              </w:rPr>
              <w:fldChar w:fldCharType="end"/>
            </w:r>
          </w:hyperlink>
        </w:p>
        <w:p w14:paraId="7791281F" w14:textId="10760CC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78" w:history="1">
            <w:r w:rsidRPr="00B6103E">
              <w:rPr>
                <w:rStyle w:val="Hyperlink"/>
                <w:noProof/>
              </w:rPr>
              <w:t>3.5.1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Le document unique de marché européen (DUME)</w:t>
            </w:r>
            <w:r>
              <w:rPr>
                <w:noProof/>
                <w:webHidden/>
              </w:rPr>
              <w:tab/>
            </w:r>
            <w:r>
              <w:rPr>
                <w:noProof/>
                <w:webHidden/>
              </w:rPr>
              <w:fldChar w:fldCharType="begin"/>
            </w:r>
            <w:r>
              <w:rPr>
                <w:noProof/>
                <w:webHidden/>
              </w:rPr>
              <w:instrText xml:space="preserve"> PAGEREF _Toc160610178 \h </w:instrText>
            </w:r>
            <w:r>
              <w:rPr>
                <w:noProof/>
                <w:webHidden/>
              </w:rPr>
            </w:r>
            <w:r>
              <w:rPr>
                <w:noProof/>
                <w:webHidden/>
              </w:rPr>
              <w:fldChar w:fldCharType="separate"/>
            </w:r>
            <w:r>
              <w:rPr>
                <w:noProof/>
                <w:webHidden/>
              </w:rPr>
              <w:t>23</w:t>
            </w:r>
            <w:r>
              <w:rPr>
                <w:noProof/>
                <w:webHidden/>
              </w:rPr>
              <w:fldChar w:fldCharType="end"/>
            </w:r>
          </w:hyperlink>
        </w:p>
        <w:p w14:paraId="16BD1677" w14:textId="5F6AFE46"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79" w:history="1">
            <w:r w:rsidRPr="00B6103E">
              <w:rPr>
                <w:rStyle w:val="Hyperlink"/>
                <w:noProof/>
              </w:rPr>
              <w:t>3.5.2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Motifs d’exclusion</w:t>
            </w:r>
            <w:r>
              <w:rPr>
                <w:noProof/>
                <w:webHidden/>
              </w:rPr>
              <w:tab/>
            </w:r>
            <w:r>
              <w:rPr>
                <w:noProof/>
                <w:webHidden/>
              </w:rPr>
              <w:fldChar w:fldCharType="begin"/>
            </w:r>
            <w:r>
              <w:rPr>
                <w:noProof/>
                <w:webHidden/>
              </w:rPr>
              <w:instrText xml:space="preserve"> PAGEREF _Toc160610179 \h </w:instrText>
            </w:r>
            <w:r>
              <w:rPr>
                <w:noProof/>
                <w:webHidden/>
              </w:rPr>
            </w:r>
            <w:r>
              <w:rPr>
                <w:noProof/>
                <w:webHidden/>
              </w:rPr>
              <w:fldChar w:fldCharType="separate"/>
            </w:r>
            <w:r>
              <w:rPr>
                <w:noProof/>
                <w:webHidden/>
              </w:rPr>
              <w:t>24</w:t>
            </w:r>
            <w:r>
              <w:rPr>
                <w:noProof/>
                <w:webHidden/>
              </w:rPr>
              <w:fldChar w:fldCharType="end"/>
            </w:r>
          </w:hyperlink>
        </w:p>
        <w:p w14:paraId="6F13879A" w14:textId="77CD76A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80" w:history="1">
            <w:r w:rsidRPr="00B6103E">
              <w:rPr>
                <w:rStyle w:val="Hyperlink"/>
                <w:noProof/>
              </w:rPr>
              <w:t>3.5.3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Critères de sélection</w:t>
            </w:r>
            <w:r>
              <w:rPr>
                <w:noProof/>
                <w:webHidden/>
              </w:rPr>
              <w:tab/>
            </w:r>
            <w:r>
              <w:rPr>
                <w:noProof/>
                <w:webHidden/>
              </w:rPr>
              <w:fldChar w:fldCharType="begin"/>
            </w:r>
            <w:r>
              <w:rPr>
                <w:noProof/>
                <w:webHidden/>
              </w:rPr>
              <w:instrText xml:space="preserve"> PAGEREF _Toc160610180 \h </w:instrText>
            </w:r>
            <w:r>
              <w:rPr>
                <w:noProof/>
                <w:webHidden/>
              </w:rPr>
            </w:r>
            <w:r>
              <w:rPr>
                <w:noProof/>
                <w:webHidden/>
              </w:rPr>
              <w:fldChar w:fldCharType="separate"/>
            </w:r>
            <w:r>
              <w:rPr>
                <w:noProof/>
                <w:webHidden/>
              </w:rPr>
              <w:t>25</w:t>
            </w:r>
            <w:r>
              <w:rPr>
                <w:noProof/>
                <w:webHidden/>
              </w:rPr>
              <w:fldChar w:fldCharType="end"/>
            </w:r>
          </w:hyperlink>
        </w:p>
        <w:p w14:paraId="5B461DDF" w14:textId="24E3222B"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1" w:history="1">
            <w:r w:rsidRPr="00B6103E">
              <w:rPr>
                <w:rStyle w:val="Hyperlink"/>
                <w:noProof/>
              </w:rPr>
              <w:t>3.5.3.1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Critères de capacité financière</w:t>
            </w:r>
            <w:r>
              <w:rPr>
                <w:noProof/>
                <w:webHidden/>
              </w:rPr>
              <w:tab/>
            </w:r>
            <w:r>
              <w:rPr>
                <w:noProof/>
                <w:webHidden/>
              </w:rPr>
              <w:fldChar w:fldCharType="begin"/>
            </w:r>
            <w:r>
              <w:rPr>
                <w:noProof/>
                <w:webHidden/>
              </w:rPr>
              <w:instrText xml:space="preserve"> PAGEREF _Toc160610181 \h </w:instrText>
            </w:r>
            <w:r>
              <w:rPr>
                <w:noProof/>
                <w:webHidden/>
              </w:rPr>
            </w:r>
            <w:r>
              <w:rPr>
                <w:noProof/>
                <w:webHidden/>
              </w:rPr>
              <w:fldChar w:fldCharType="separate"/>
            </w:r>
            <w:r>
              <w:rPr>
                <w:noProof/>
                <w:webHidden/>
              </w:rPr>
              <w:t>26</w:t>
            </w:r>
            <w:r>
              <w:rPr>
                <w:noProof/>
                <w:webHidden/>
              </w:rPr>
              <w:fldChar w:fldCharType="end"/>
            </w:r>
          </w:hyperlink>
        </w:p>
        <w:p w14:paraId="2BF4E8D4" w14:textId="605CB2DA"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2" w:history="1">
            <w:r w:rsidRPr="00B6103E">
              <w:rPr>
                <w:rStyle w:val="Hyperlink"/>
                <w:noProof/>
              </w:rPr>
              <w:t>3.5.3.2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Critères de capacité technique</w:t>
            </w:r>
            <w:r>
              <w:rPr>
                <w:noProof/>
                <w:webHidden/>
              </w:rPr>
              <w:tab/>
            </w:r>
            <w:r>
              <w:rPr>
                <w:noProof/>
                <w:webHidden/>
              </w:rPr>
              <w:fldChar w:fldCharType="begin"/>
            </w:r>
            <w:r>
              <w:rPr>
                <w:noProof/>
                <w:webHidden/>
              </w:rPr>
              <w:instrText xml:space="preserve"> PAGEREF _Toc160610182 \h </w:instrText>
            </w:r>
            <w:r>
              <w:rPr>
                <w:noProof/>
                <w:webHidden/>
              </w:rPr>
            </w:r>
            <w:r>
              <w:rPr>
                <w:noProof/>
                <w:webHidden/>
              </w:rPr>
              <w:fldChar w:fldCharType="separate"/>
            </w:r>
            <w:r>
              <w:rPr>
                <w:noProof/>
                <w:webHidden/>
              </w:rPr>
              <w:t>26</w:t>
            </w:r>
            <w:r>
              <w:rPr>
                <w:noProof/>
                <w:webHidden/>
              </w:rPr>
              <w:fldChar w:fldCharType="end"/>
            </w:r>
          </w:hyperlink>
        </w:p>
        <w:p w14:paraId="6D94C74F" w14:textId="5C37BA9F"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83" w:history="1">
            <w:r w:rsidRPr="00B6103E">
              <w:rPr>
                <w:rStyle w:val="Hyperlink"/>
                <w:noProof/>
              </w:rPr>
              <w:t>3.6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Évaluation des offres</w:t>
            </w:r>
            <w:r>
              <w:rPr>
                <w:noProof/>
                <w:webHidden/>
              </w:rPr>
              <w:tab/>
            </w:r>
            <w:r>
              <w:rPr>
                <w:noProof/>
                <w:webHidden/>
              </w:rPr>
              <w:fldChar w:fldCharType="begin"/>
            </w:r>
            <w:r>
              <w:rPr>
                <w:noProof/>
                <w:webHidden/>
              </w:rPr>
              <w:instrText xml:space="preserve"> PAGEREF _Toc160610183 \h </w:instrText>
            </w:r>
            <w:r>
              <w:rPr>
                <w:noProof/>
                <w:webHidden/>
              </w:rPr>
            </w:r>
            <w:r>
              <w:rPr>
                <w:noProof/>
                <w:webHidden/>
              </w:rPr>
              <w:fldChar w:fldCharType="separate"/>
            </w:r>
            <w:r>
              <w:rPr>
                <w:noProof/>
                <w:webHidden/>
              </w:rPr>
              <w:t>26</w:t>
            </w:r>
            <w:r>
              <w:rPr>
                <w:noProof/>
                <w:webHidden/>
              </w:rPr>
              <w:fldChar w:fldCharType="end"/>
            </w:r>
          </w:hyperlink>
        </w:p>
        <w:p w14:paraId="7FAF07AC" w14:textId="3604871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84" w:history="1">
            <w:r w:rsidRPr="00B6103E">
              <w:rPr>
                <w:rStyle w:val="Hyperlink"/>
                <w:noProof/>
              </w:rPr>
              <w:t>3.6.1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Régularité des offres</w:t>
            </w:r>
            <w:r>
              <w:rPr>
                <w:noProof/>
                <w:webHidden/>
              </w:rPr>
              <w:tab/>
            </w:r>
            <w:r>
              <w:rPr>
                <w:noProof/>
                <w:webHidden/>
              </w:rPr>
              <w:fldChar w:fldCharType="begin"/>
            </w:r>
            <w:r>
              <w:rPr>
                <w:noProof/>
                <w:webHidden/>
              </w:rPr>
              <w:instrText xml:space="preserve"> PAGEREF _Toc160610184 \h </w:instrText>
            </w:r>
            <w:r>
              <w:rPr>
                <w:noProof/>
                <w:webHidden/>
              </w:rPr>
            </w:r>
            <w:r>
              <w:rPr>
                <w:noProof/>
                <w:webHidden/>
              </w:rPr>
              <w:fldChar w:fldCharType="separate"/>
            </w:r>
            <w:r>
              <w:rPr>
                <w:noProof/>
                <w:webHidden/>
              </w:rPr>
              <w:t>26</w:t>
            </w:r>
            <w:r>
              <w:rPr>
                <w:noProof/>
                <w:webHidden/>
              </w:rPr>
              <w:fldChar w:fldCharType="end"/>
            </w:r>
          </w:hyperlink>
        </w:p>
        <w:p w14:paraId="78C659ED" w14:textId="3F34E1C9"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85" w:history="1">
            <w:r w:rsidRPr="00B6103E">
              <w:rPr>
                <w:rStyle w:val="Hyperlink"/>
                <w:noProof/>
              </w:rPr>
              <w:t>3.6.2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Critères d’attribution</w:t>
            </w:r>
            <w:r>
              <w:rPr>
                <w:noProof/>
                <w:webHidden/>
              </w:rPr>
              <w:tab/>
            </w:r>
            <w:r>
              <w:rPr>
                <w:noProof/>
                <w:webHidden/>
              </w:rPr>
              <w:fldChar w:fldCharType="begin"/>
            </w:r>
            <w:r>
              <w:rPr>
                <w:noProof/>
                <w:webHidden/>
              </w:rPr>
              <w:instrText xml:space="preserve"> PAGEREF _Toc160610185 \h </w:instrText>
            </w:r>
            <w:r>
              <w:rPr>
                <w:noProof/>
                <w:webHidden/>
              </w:rPr>
            </w:r>
            <w:r>
              <w:rPr>
                <w:noProof/>
                <w:webHidden/>
              </w:rPr>
              <w:fldChar w:fldCharType="separate"/>
            </w:r>
            <w:r>
              <w:rPr>
                <w:noProof/>
                <w:webHidden/>
              </w:rPr>
              <w:t>26</w:t>
            </w:r>
            <w:r>
              <w:rPr>
                <w:noProof/>
                <w:webHidden/>
              </w:rPr>
              <w:fldChar w:fldCharType="end"/>
            </w:r>
          </w:hyperlink>
        </w:p>
        <w:p w14:paraId="6C74D075" w14:textId="6989E80F"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6" w:history="1">
            <w:r w:rsidRPr="00B6103E">
              <w:rPr>
                <w:rStyle w:val="Hyperlink"/>
                <w:noProof/>
              </w:rPr>
              <w:t>3.6.2.1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Qualité du curriculum vitae (45 %)</w:t>
            </w:r>
            <w:r>
              <w:rPr>
                <w:noProof/>
                <w:webHidden/>
              </w:rPr>
              <w:tab/>
            </w:r>
            <w:r>
              <w:rPr>
                <w:noProof/>
                <w:webHidden/>
              </w:rPr>
              <w:fldChar w:fldCharType="begin"/>
            </w:r>
            <w:r>
              <w:rPr>
                <w:noProof/>
                <w:webHidden/>
              </w:rPr>
              <w:instrText xml:space="preserve"> PAGEREF _Toc160610186 \h </w:instrText>
            </w:r>
            <w:r>
              <w:rPr>
                <w:noProof/>
                <w:webHidden/>
              </w:rPr>
            </w:r>
            <w:r>
              <w:rPr>
                <w:noProof/>
                <w:webHidden/>
              </w:rPr>
              <w:fldChar w:fldCharType="separate"/>
            </w:r>
            <w:r>
              <w:rPr>
                <w:noProof/>
                <w:webHidden/>
              </w:rPr>
              <w:t>27</w:t>
            </w:r>
            <w:r>
              <w:rPr>
                <w:noProof/>
                <w:webHidden/>
              </w:rPr>
              <w:fldChar w:fldCharType="end"/>
            </w:r>
          </w:hyperlink>
        </w:p>
        <w:p w14:paraId="586DFFFB" w14:textId="57F2772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7" w:history="1">
            <w:r w:rsidRPr="00B6103E">
              <w:rPr>
                <w:rStyle w:val="Hyperlink"/>
                <w:noProof/>
              </w:rPr>
              <w:t>3.6.2.2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Nombre de CV (5 %)</w:t>
            </w:r>
            <w:r>
              <w:rPr>
                <w:noProof/>
                <w:webHidden/>
              </w:rPr>
              <w:tab/>
            </w:r>
            <w:r>
              <w:rPr>
                <w:noProof/>
                <w:webHidden/>
              </w:rPr>
              <w:fldChar w:fldCharType="begin"/>
            </w:r>
            <w:r>
              <w:rPr>
                <w:noProof/>
                <w:webHidden/>
              </w:rPr>
              <w:instrText xml:space="preserve"> PAGEREF _Toc160610187 \h </w:instrText>
            </w:r>
            <w:r>
              <w:rPr>
                <w:noProof/>
                <w:webHidden/>
              </w:rPr>
            </w:r>
            <w:r>
              <w:rPr>
                <w:noProof/>
                <w:webHidden/>
              </w:rPr>
              <w:fldChar w:fldCharType="separate"/>
            </w:r>
            <w:r>
              <w:rPr>
                <w:noProof/>
                <w:webHidden/>
              </w:rPr>
              <w:t>38</w:t>
            </w:r>
            <w:r>
              <w:rPr>
                <w:noProof/>
                <w:webHidden/>
              </w:rPr>
              <w:fldChar w:fldCharType="end"/>
            </w:r>
          </w:hyperlink>
        </w:p>
        <w:p w14:paraId="0F02142E" w14:textId="10D9B247"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8" w:history="1">
            <w:r w:rsidRPr="00B6103E">
              <w:rPr>
                <w:rStyle w:val="Hyperlink"/>
                <w:noProof/>
              </w:rPr>
              <w:t>3.6.2.3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Prix (50 %)</w:t>
            </w:r>
            <w:r>
              <w:rPr>
                <w:noProof/>
                <w:webHidden/>
              </w:rPr>
              <w:tab/>
            </w:r>
            <w:r>
              <w:rPr>
                <w:noProof/>
                <w:webHidden/>
              </w:rPr>
              <w:fldChar w:fldCharType="begin"/>
            </w:r>
            <w:r>
              <w:rPr>
                <w:noProof/>
                <w:webHidden/>
              </w:rPr>
              <w:instrText xml:space="preserve"> PAGEREF _Toc160610188 \h </w:instrText>
            </w:r>
            <w:r>
              <w:rPr>
                <w:noProof/>
                <w:webHidden/>
              </w:rPr>
            </w:r>
            <w:r>
              <w:rPr>
                <w:noProof/>
                <w:webHidden/>
              </w:rPr>
              <w:fldChar w:fldCharType="separate"/>
            </w:r>
            <w:r>
              <w:rPr>
                <w:noProof/>
                <w:webHidden/>
              </w:rPr>
              <w:t>38</w:t>
            </w:r>
            <w:r>
              <w:rPr>
                <w:noProof/>
                <w:webHidden/>
              </w:rPr>
              <w:fldChar w:fldCharType="end"/>
            </w:r>
          </w:hyperlink>
        </w:p>
        <w:p w14:paraId="5DCCF3F0" w14:textId="6D102811"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189" w:history="1">
            <w:r w:rsidRPr="00B6103E">
              <w:rPr>
                <w:rStyle w:val="Hyperlink"/>
                <w:noProof/>
              </w:rPr>
              <w:t>3.6.2.4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Cotation finale</w:t>
            </w:r>
            <w:r>
              <w:rPr>
                <w:noProof/>
                <w:webHidden/>
              </w:rPr>
              <w:tab/>
            </w:r>
            <w:r>
              <w:rPr>
                <w:noProof/>
                <w:webHidden/>
              </w:rPr>
              <w:fldChar w:fldCharType="begin"/>
            </w:r>
            <w:r>
              <w:rPr>
                <w:noProof/>
                <w:webHidden/>
              </w:rPr>
              <w:instrText xml:space="preserve"> PAGEREF _Toc160610189 \h </w:instrText>
            </w:r>
            <w:r>
              <w:rPr>
                <w:noProof/>
                <w:webHidden/>
              </w:rPr>
            </w:r>
            <w:r>
              <w:rPr>
                <w:noProof/>
                <w:webHidden/>
              </w:rPr>
              <w:fldChar w:fldCharType="separate"/>
            </w:r>
            <w:r>
              <w:rPr>
                <w:noProof/>
                <w:webHidden/>
              </w:rPr>
              <w:t>38</w:t>
            </w:r>
            <w:r>
              <w:rPr>
                <w:noProof/>
                <w:webHidden/>
              </w:rPr>
              <w:fldChar w:fldCharType="end"/>
            </w:r>
          </w:hyperlink>
        </w:p>
        <w:p w14:paraId="1AB7261E" w14:textId="2A937BF0"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90" w:history="1">
            <w:r w:rsidRPr="00B6103E">
              <w:rPr>
                <w:rStyle w:val="Hyperlink"/>
                <w:noProof/>
              </w:rPr>
              <w:t>3.6.3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Attribution du marché public</w:t>
            </w:r>
            <w:r>
              <w:rPr>
                <w:noProof/>
                <w:webHidden/>
              </w:rPr>
              <w:tab/>
            </w:r>
            <w:r>
              <w:rPr>
                <w:noProof/>
                <w:webHidden/>
              </w:rPr>
              <w:fldChar w:fldCharType="begin"/>
            </w:r>
            <w:r>
              <w:rPr>
                <w:noProof/>
                <w:webHidden/>
              </w:rPr>
              <w:instrText xml:space="preserve"> PAGEREF _Toc160610190 \h </w:instrText>
            </w:r>
            <w:r>
              <w:rPr>
                <w:noProof/>
                <w:webHidden/>
              </w:rPr>
            </w:r>
            <w:r>
              <w:rPr>
                <w:noProof/>
                <w:webHidden/>
              </w:rPr>
              <w:fldChar w:fldCharType="separate"/>
            </w:r>
            <w:r>
              <w:rPr>
                <w:noProof/>
                <w:webHidden/>
              </w:rPr>
              <w:t>38</w:t>
            </w:r>
            <w:r>
              <w:rPr>
                <w:noProof/>
                <w:webHidden/>
              </w:rPr>
              <w:fldChar w:fldCharType="end"/>
            </w:r>
          </w:hyperlink>
        </w:p>
        <w:p w14:paraId="7F3DFDE6" w14:textId="0DAB9AA5"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1" w:history="1">
            <w:r w:rsidRPr="00B6103E">
              <w:rPr>
                <w:rStyle w:val="Hyperlink"/>
                <w:noProof/>
              </w:rPr>
              <w:t>3.7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Conclusion du marché public</w:t>
            </w:r>
            <w:r>
              <w:rPr>
                <w:noProof/>
                <w:webHidden/>
              </w:rPr>
              <w:tab/>
            </w:r>
            <w:r>
              <w:rPr>
                <w:noProof/>
                <w:webHidden/>
              </w:rPr>
              <w:fldChar w:fldCharType="begin"/>
            </w:r>
            <w:r>
              <w:rPr>
                <w:noProof/>
                <w:webHidden/>
              </w:rPr>
              <w:instrText xml:space="preserve"> PAGEREF _Toc160610191 \h </w:instrText>
            </w:r>
            <w:r>
              <w:rPr>
                <w:noProof/>
                <w:webHidden/>
              </w:rPr>
            </w:r>
            <w:r>
              <w:rPr>
                <w:noProof/>
                <w:webHidden/>
              </w:rPr>
              <w:fldChar w:fldCharType="separate"/>
            </w:r>
            <w:r>
              <w:rPr>
                <w:noProof/>
                <w:webHidden/>
              </w:rPr>
              <w:t>38</w:t>
            </w:r>
            <w:r>
              <w:rPr>
                <w:noProof/>
                <w:webHidden/>
              </w:rPr>
              <w:fldChar w:fldCharType="end"/>
            </w:r>
          </w:hyperlink>
        </w:p>
        <w:p w14:paraId="084258D1" w14:textId="36D0E31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92" w:history="1">
            <w:r w:rsidRPr="00B6103E">
              <w:rPr>
                <w:rStyle w:val="Hyperlink"/>
                <w:noProof/>
              </w:rPr>
              <w:t>3.7.1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Conclusion de l’accord-cadre</w:t>
            </w:r>
            <w:r>
              <w:rPr>
                <w:noProof/>
                <w:webHidden/>
              </w:rPr>
              <w:tab/>
            </w:r>
            <w:r>
              <w:rPr>
                <w:noProof/>
                <w:webHidden/>
              </w:rPr>
              <w:fldChar w:fldCharType="begin"/>
            </w:r>
            <w:r>
              <w:rPr>
                <w:noProof/>
                <w:webHidden/>
              </w:rPr>
              <w:instrText xml:space="preserve"> PAGEREF _Toc160610192 \h </w:instrText>
            </w:r>
            <w:r>
              <w:rPr>
                <w:noProof/>
                <w:webHidden/>
              </w:rPr>
            </w:r>
            <w:r>
              <w:rPr>
                <w:noProof/>
                <w:webHidden/>
              </w:rPr>
              <w:fldChar w:fldCharType="separate"/>
            </w:r>
            <w:r>
              <w:rPr>
                <w:noProof/>
                <w:webHidden/>
              </w:rPr>
              <w:t>38</w:t>
            </w:r>
            <w:r>
              <w:rPr>
                <w:noProof/>
                <w:webHidden/>
              </w:rPr>
              <w:fldChar w:fldCharType="end"/>
            </w:r>
          </w:hyperlink>
        </w:p>
        <w:p w14:paraId="745611EE" w14:textId="2B33F966"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193" w:history="1">
            <w:r w:rsidRPr="00B6103E">
              <w:rPr>
                <w:rStyle w:val="Hyperlink"/>
                <w:noProof/>
              </w:rPr>
              <w:t>3.7.2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Conclusion du marché public</w:t>
            </w:r>
            <w:r>
              <w:rPr>
                <w:noProof/>
                <w:webHidden/>
              </w:rPr>
              <w:tab/>
            </w:r>
            <w:r>
              <w:rPr>
                <w:noProof/>
                <w:webHidden/>
              </w:rPr>
              <w:fldChar w:fldCharType="begin"/>
            </w:r>
            <w:r>
              <w:rPr>
                <w:noProof/>
                <w:webHidden/>
              </w:rPr>
              <w:instrText xml:space="preserve"> PAGEREF _Toc160610193 \h </w:instrText>
            </w:r>
            <w:r>
              <w:rPr>
                <w:noProof/>
                <w:webHidden/>
              </w:rPr>
            </w:r>
            <w:r>
              <w:rPr>
                <w:noProof/>
                <w:webHidden/>
              </w:rPr>
              <w:fldChar w:fldCharType="separate"/>
            </w:r>
            <w:r>
              <w:rPr>
                <w:noProof/>
                <w:webHidden/>
              </w:rPr>
              <w:t>39</w:t>
            </w:r>
            <w:r>
              <w:rPr>
                <w:noProof/>
                <w:webHidden/>
              </w:rPr>
              <w:fldChar w:fldCharType="end"/>
            </w:r>
          </w:hyperlink>
        </w:p>
        <w:p w14:paraId="24FAC6A8" w14:textId="55A4E43D" w:rsidR="00300708" w:rsidRDefault="00300708">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194" w:history="1">
            <w:r w:rsidRPr="00B6103E">
              <w:rPr>
                <w:rStyle w:val="Hyperlink"/>
                <w:noProof/>
              </w:rPr>
              <w:t>4</w:t>
            </w:r>
            <w:r>
              <w:rPr>
                <w:rFonts w:asciiTheme="minorHAnsi" w:eastAsiaTheme="minorEastAsia" w:hAnsiTheme="minorHAnsi"/>
                <w:b w:val="0"/>
                <w:noProof/>
                <w:color w:val="auto"/>
                <w:kern w:val="2"/>
                <w:sz w:val="24"/>
                <w:szCs w:val="24"/>
                <w:lang w:val="fr-BE" w:eastAsia="fr-BE"/>
                <w14:ligatures w14:val="standardContextual"/>
              </w:rPr>
              <w:tab/>
            </w:r>
            <w:r w:rsidRPr="00B6103E">
              <w:rPr>
                <w:rStyle w:val="Hyperlink"/>
                <w:noProof/>
              </w:rPr>
              <w:t>Conditions contractuelles et administratives particulières</w:t>
            </w:r>
            <w:r>
              <w:rPr>
                <w:noProof/>
                <w:webHidden/>
              </w:rPr>
              <w:tab/>
            </w:r>
            <w:r>
              <w:rPr>
                <w:noProof/>
                <w:webHidden/>
              </w:rPr>
              <w:fldChar w:fldCharType="begin"/>
            </w:r>
            <w:r>
              <w:rPr>
                <w:noProof/>
                <w:webHidden/>
              </w:rPr>
              <w:instrText xml:space="preserve"> PAGEREF _Toc160610194 \h </w:instrText>
            </w:r>
            <w:r>
              <w:rPr>
                <w:noProof/>
                <w:webHidden/>
              </w:rPr>
            </w:r>
            <w:r>
              <w:rPr>
                <w:noProof/>
                <w:webHidden/>
              </w:rPr>
              <w:fldChar w:fldCharType="separate"/>
            </w:r>
            <w:r>
              <w:rPr>
                <w:noProof/>
                <w:webHidden/>
              </w:rPr>
              <w:t>41</w:t>
            </w:r>
            <w:r>
              <w:rPr>
                <w:noProof/>
                <w:webHidden/>
              </w:rPr>
              <w:fldChar w:fldCharType="end"/>
            </w:r>
          </w:hyperlink>
        </w:p>
        <w:p w14:paraId="43A3E3C9" w14:textId="796F83BA"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5" w:history="1">
            <w:r w:rsidRPr="00B6103E">
              <w:rPr>
                <w:rStyle w:val="Hyperlink"/>
                <w:noProof/>
              </w:rPr>
              <w:t>4.1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Correspondance avec le prestataire de services (art. 10)</w:t>
            </w:r>
            <w:r>
              <w:rPr>
                <w:noProof/>
                <w:webHidden/>
              </w:rPr>
              <w:tab/>
            </w:r>
            <w:r>
              <w:rPr>
                <w:noProof/>
                <w:webHidden/>
              </w:rPr>
              <w:fldChar w:fldCharType="begin"/>
            </w:r>
            <w:r>
              <w:rPr>
                <w:noProof/>
                <w:webHidden/>
              </w:rPr>
              <w:instrText xml:space="preserve"> PAGEREF _Toc160610195 \h </w:instrText>
            </w:r>
            <w:r>
              <w:rPr>
                <w:noProof/>
                <w:webHidden/>
              </w:rPr>
            </w:r>
            <w:r>
              <w:rPr>
                <w:noProof/>
                <w:webHidden/>
              </w:rPr>
              <w:fldChar w:fldCharType="separate"/>
            </w:r>
            <w:r>
              <w:rPr>
                <w:noProof/>
                <w:webHidden/>
              </w:rPr>
              <w:t>41</w:t>
            </w:r>
            <w:r>
              <w:rPr>
                <w:noProof/>
                <w:webHidden/>
              </w:rPr>
              <w:fldChar w:fldCharType="end"/>
            </w:r>
          </w:hyperlink>
        </w:p>
        <w:p w14:paraId="01667E2D" w14:textId="44A1AF4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6" w:history="1">
            <w:r w:rsidRPr="00B6103E">
              <w:rPr>
                <w:rStyle w:val="Hyperlink"/>
                <w:noProof/>
              </w:rPr>
              <w:t>4.2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Fonctionnaire dirigeant (art. 11)</w:t>
            </w:r>
            <w:r>
              <w:rPr>
                <w:noProof/>
                <w:webHidden/>
              </w:rPr>
              <w:tab/>
            </w:r>
            <w:r>
              <w:rPr>
                <w:noProof/>
                <w:webHidden/>
              </w:rPr>
              <w:fldChar w:fldCharType="begin"/>
            </w:r>
            <w:r>
              <w:rPr>
                <w:noProof/>
                <w:webHidden/>
              </w:rPr>
              <w:instrText xml:space="preserve"> PAGEREF _Toc160610196 \h </w:instrText>
            </w:r>
            <w:r>
              <w:rPr>
                <w:noProof/>
                <w:webHidden/>
              </w:rPr>
            </w:r>
            <w:r>
              <w:rPr>
                <w:noProof/>
                <w:webHidden/>
              </w:rPr>
              <w:fldChar w:fldCharType="separate"/>
            </w:r>
            <w:r>
              <w:rPr>
                <w:noProof/>
                <w:webHidden/>
              </w:rPr>
              <w:t>41</w:t>
            </w:r>
            <w:r>
              <w:rPr>
                <w:noProof/>
                <w:webHidden/>
              </w:rPr>
              <w:fldChar w:fldCharType="end"/>
            </w:r>
          </w:hyperlink>
        </w:p>
        <w:p w14:paraId="540323E4" w14:textId="53CAB491"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7" w:history="1">
            <w:r w:rsidRPr="00B6103E">
              <w:rPr>
                <w:rStyle w:val="Hyperlink"/>
                <w:noProof/>
              </w:rPr>
              <w:t>4.3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Sous-traitants (art. 12 à 15)</w:t>
            </w:r>
            <w:r>
              <w:rPr>
                <w:noProof/>
                <w:webHidden/>
              </w:rPr>
              <w:tab/>
            </w:r>
            <w:r>
              <w:rPr>
                <w:noProof/>
                <w:webHidden/>
              </w:rPr>
              <w:fldChar w:fldCharType="begin"/>
            </w:r>
            <w:r>
              <w:rPr>
                <w:noProof/>
                <w:webHidden/>
              </w:rPr>
              <w:instrText xml:space="preserve"> PAGEREF _Toc160610197 \h </w:instrText>
            </w:r>
            <w:r>
              <w:rPr>
                <w:noProof/>
                <w:webHidden/>
              </w:rPr>
            </w:r>
            <w:r>
              <w:rPr>
                <w:noProof/>
                <w:webHidden/>
              </w:rPr>
              <w:fldChar w:fldCharType="separate"/>
            </w:r>
            <w:r>
              <w:rPr>
                <w:noProof/>
                <w:webHidden/>
              </w:rPr>
              <w:t>42</w:t>
            </w:r>
            <w:r>
              <w:rPr>
                <w:noProof/>
                <w:webHidden/>
              </w:rPr>
              <w:fldChar w:fldCharType="end"/>
            </w:r>
          </w:hyperlink>
        </w:p>
        <w:p w14:paraId="1784CDBB" w14:textId="3A784498"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8" w:history="1">
            <w:r w:rsidRPr="00B6103E">
              <w:rPr>
                <w:rStyle w:val="Hyperlink"/>
                <w:noProof/>
              </w:rPr>
              <w:t>4.4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Confidentialité (art. 18)</w:t>
            </w:r>
            <w:r>
              <w:rPr>
                <w:noProof/>
                <w:webHidden/>
              </w:rPr>
              <w:tab/>
            </w:r>
            <w:r>
              <w:rPr>
                <w:noProof/>
                <w:webHidden/>
              </w:rPr>
              <w:fldChar w:fldCharType="begin"/>
            </w:r>
            <w:r>
              <w:rPr>
                <w:noProof/>
                <w:webHidden/>
              </w:rPr>
              <w:instrText xml:space="preserve"> PAGEREF _Toc160610198 \h </w:instrText>
            </w:r>
            <w:r>
              <w:rPr>
                <w:noProof/>
                <w:webHidden/>
              </w:rPr>
            </w:r>
            <w:r>
              <w:rPr>
                <w:noProof/>
                <w:webHidden/>
              </w:rPr>
              <w:fldChar w:fldCharType="separate"/>
            </w:r>
            <w:r>
              <w:rPr>
                <w:noProof/>
                <w:webHidden/>
              </w:rPr>
              <w:t>42</w:t>
            </w:r>
            <w:r>
              <w:rPr>
                <w:noProof/>
                <w:webHidden/>
              </w:rPr>
              <w:fldChar w:fldCharType="end"/>
            </w:r>
          </w:hyperlink>
        </w:p>
        <w:p w14:paraId="5CD52D17" w14:textId="5C9CFFFC"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199" w:history="1">
            <w:r w:rsidRPr="00B6103E">
              <w:rPr>
                <w:rStyle w:val="Hyperlink"/>
                <w:noProof/>
              </w:rPr>
              <w:t>4.5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Protection des données personnelles</w:t>
            </w:r>
            <w:r>
              <w:rPr>
                <w:noProof/>
                <w:webHidden/>
              </w:rPr>
              <w:tab/>
            </w:r>
            <w:r>
              <w:rPr>
                <w:noProof/>
                <w:webHidden/>
              </w:rPr>
              <w:fldChar w:fldCharType="begin"/>
            </w:r>
            <w:r>
              <w:rPr>
                <w:noProof/>
                <w:webHidden/>
              </w:rPr>
              <w:instrText xml:space="preserve"> PAGEREF _Toc160610199 \h </w:instrText>
            </w:r>
            <w:r>
              <w:rPr>
                <w:noProof/>
                <w:webHidden/>
              </w:rPr>
            </w:r>
            <w:r>
              <w:rPr>
                <w:noProof/>
                <w:webHidden/>
              </w:rPr>
              <w:fldChar w:fldCharType="separate"/>
            </w:r>
            <w:r>
              <w:rPr>
                <w:noProof/>
                <w:webHidden/>
              </w:rPr>
              <w:t>42</w:t>
            </w:r>
            <w:r>
              <w:rPr>
                <w:noProof/>
                <w:webHidden/>
              </w:rPr>
              <w:fldChar w:fldCharType="end"/>
            </w:r>
          </w:hyperlink>
        </w:p>
        <w:p w14:paraId="792FA0FF" w14:textId="7BF26147"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0" w:history="1">
            <w:r w:rsidRPr="00B6103E">
              <w:rPr>
                <w:rStyle w:val="Hyperlink"/>
                <w:noProof/>
              </w:rPr>
              <w:t>4.5.1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Traitement des données à caractère personnel par le pouvoir adjudicateur</w:t>
            </w:r>
            <w:r>
              <w:rPr>
                <w:noProof/>
                <w:webHidden/>
              </w:rPr>
              <w:tab/>
            </w:r>
            <w:r>
              <w:rPr>
                <w:noProof/>
                <w:webHidden/>
              </w:rPr>
              <w:fldChar w:fldCharType="begin"/>
            </w:r>
            <w:r>
              <w:rPr>
                <w:noProof/>
                <w:webHidden/>
              </w:rPr>
              <w:instrText xml:space="preserve"> PAGEREF _Toc160610200 \h </w:instrText>
            </w:r>
            <w:r>
              <w:rPr>
                <w:noProof/>
                <w:webHidden/>
              </w:rPr>
            </w:r>
            <w:r>
              <w:rPr>
                <w:noProof/>
                <w:webHidden/>
              </w:rPr>
              <w:fldChar w:fldCharType="separate"/>
            </w:r>
            <w:r>
              <w:rPr>
                <w:noProof/>
                <w:webHidden/>
              </w:rPr>
              <w:t>42</w:t>
            </w:r>
            <w:r>
              <w:rPr>
                <w:noProof/>
                <w:webHidden/>
              </w:rPr>
              <w:fldChar w:fldCharType="end"/>
            </w:r>
          </w:hyperlink>
        </w:p>
        <w:p w14:paraId="33404814" w14:textId="74F2614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1" w:history="1">
            <w:r w:rsidRPr="00B6103E">
              <w:rPr>
                <w:rStyle w:val="Hyperlink"/>
                <w:noProof/>
              </w:rPr>
              <w:t>4.5.2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Traitement des données à caractère personnel par l’adjudicataire</w:t>
            </w:r>
            <w:r>
              <w:rPr>
                <w:noProof/>
                <w:webHidden/>
              </w:rPr>
              <w:tab/>
            </w:r>
            <w:r>
              <w:rPr>
                <w:noProof/>
                <w:webHidden/>
              </w:rPr>
              <w:fldChar w:fldCharType="begin"/>
            </w:r>
            <w:r>
              <w:rPr>
                <w:noProof/>
                <w:webHidden/>
              </w:rPr>
              <w:instrText xml:space="preserve"> PAGEREF _Toc160610201 \h </w:instrText>
            </w:r>
            <w:r>
              <w:rPr>
                <w:noProof/>
                <w:webHidden/>
              </w:rPr>
            </w:r>
            <w:r>
              <w:rPr>
                <w:noProof/>
                <w:webHidden/>
              </w:rPr>
              <w:fldChar w:fldCharType="separate"/>
            </w:r>
            <w:r>
              <w:rPr>
                <w:noProof/>
                <w:webHidden/>
              </w:rPr>
              <w:t>43</w:t>
            </w:r>
            <w:r>
              <w:rPr>
                <w:noProof/>
                <w:webHidden/>
              </w:rPr>
              <w:fldChar w:fldCharType="end"/>
            </w:r>
          </w:hyperlink>
        </w:p>
        <w:p w14:paraId="441A0168" w14:textId="15541972"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02" w:history="1">
            <w:r w:rsidRPr="00B6103E">
              <w:rPr>
                <w:rStyle w:val="Hyperlink"/>
                <w:noProof/>
              </w:rPr>
              <w:t>4.6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Droits intellectuels (art. 19 à 23)</w:t>
            </w:r>
            <w:r>
              <w:rPr>
                <w:noProof/>
                <w:webHidden/>
              </w:rPr>
              <w:tab/>
            </w:r>
            <w:r>
              <w:rPr>
                <w:noProof/>
                <w:webHidden/>
              </w:rPr>
              <w:fldChar w:fldCharType="begin"/>
            </w:r>
            <w:r>
              <w:rPr>
                <w:noProof/>
                <w:webHidden/>
              </w:rPr>
              <w:instrText xml:space="preserve"> PAGEREF _Toc160610202 \h </w:instrText>
            </w:r>
            <w:r>
              <w:rPr>
                <w:noProof/>
                <w:webHidden/>
              </w:rPr>
            </w:r>
            <w:r>
              <w:rPr>
                <w:noProof/>
                <w:webHidden/>
              </w:rPr>
              <w:fldChar w:fldCharType="separate"/>
            </w:r>
            <w:r>
              <w:rPr>
                <w:noProof/>
                <w:webHidden/>
              </w:rPr>
              <w:t>43</w:t>
            </w:r>
            <w:r>
              <w:rPr>
                <w:noProof/>
                <w:webHidden/>
              </w:rPr>
              <w:fldChar w:fldCharType="end"/>
            </w:r>
          </w:hyperlink>
        </w:p>
        <w:p w14:paraId="34B4B9F7" w14:textId="56362B83"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03" w:history="1">
            <w:r w:rsidRPr="00B6103E">
              <w:rPr>
                <w:rStyle w:val="Hyperlink"/>
                <w:noProof/>
              </w:rPr>
              <w:t>4.7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Cautionnement (art. 25 à 33)</w:t>
            </w:r>
            <w:r>
              <w:rPr>
                <w:noProof/>
                <w:webHidden/>
              </w:rPr>
              <w:tab/>
            </w:r>
            <w:r>
              <w:rPr>
                <w:noProof/>
                <w:webHidden/>
              </w:rPr>
              <w:fldChar w:fldCharType="begin"/>
            </w:r>
            <w:r>
              <w:rPr>
                <w:noProof/>
                <w:webHidden/>
              </w:rPr>
              <w:instrText xml:space="preserve"> PAGEREF _Toc160610203 \h </w:instrText>
            </w:r>
            <w:r>
              <w:rPr>
                <w:noProof/>
                <w:webHidden/>
              </w:rPr>
            </w:r>
            <w:r>
              <w:rPr>
                <w:noProof/>
                <w:webHidden/>
              </w:rPr>
              <w:fldChar w:fldCharType="separate"/>
            </w:r>
            <w:r>
              <w:rPr>
                <w:noProof/>
                <w:webHidden/>
              </w:rPr>
              <w:t>44</w:t>
            </w:r>
            <w:r>
              <w:rPr>
                <w:noProof/>
                <w:webHidden/>
              </w:rPr>
              <w:fldChar w:fldCharType="end"/>
            </w:r>
          </w:hyperlink>
        </w:p>
        <w:p w14:paraId="144F01A4" w14:textId="635E8B67"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04" w:history="1">
            <w:r w:rsidRPr="00B6103E">
              <w:rPr>
                <w:rStyle w:val="Hyperlink"/>
                <w:noProof/>
              </w:rPr>
              <w:t>4.8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Conformité de l’exécution (art. 34)</w:t>
            </w:r>
            <w:r>
              <w:rPr>
                <w:noProof/>
                <w:webHidden/>
              </w:rPr>
              <w:tab/>
            </w:r>
            <w:r>
              <w:rPr>
                <w:noProof/>
                <w:webHidden/>
              </w:rPr>
              <w:fldChar w:fldCharType="begin"/>
            </w:r>
            <w:r>
              <w:rPr>
                <w:noProof/>
                <w:webHidden/>
              </w:rPr>
              <w:instrText xml:space="preserve"> PAGEREF _Toc160610204 \h </w:instrText>
            </w:r>
            <w:r>
              <w:rPr>
                <w:noProof/>
                <w:webHidden/>
              </w:rPr>
            </w:r>
            <w:r>
              <w:rPr>
                <w:noProof/>
                <w:webHidden/>
              </w:rPr>
              <w:fldChar w:fldCharType="separate"/>
            </w:r>
            <w:r>
              <w:rPr>
                <w:noProof/>
                <w:webHidden/>
              </w:rPr>
              <w:t>45</w:t>
            </w:r>
            <w:r>
              <w:rPr>
                <w:noProof/>
                <w:webHidden/>
              </w:rPr>
              <w:fldChar w:fldCharType="end"/>
            </w:r>
          </w:hyperlink>
        </w:p>
        <w:p w14:paraId="35FE99F1" w14:textId="770975DE"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05" w:history="1">
            <w:r w:rsidRPr="00B6103E">
              <w:rPr>
                <w:rStyle w:val="Hyperlink"/>
                <w:noProof/>
              </w:rPr>
              <w:t>4.9</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Modifications du marché (art. 37 à 38/19)</w:t>
            </w:r>
            <w:r>
              <w:rPr>
                <w:noProof/>
                <w:webHidden/>
              </w:rPr>
              <w:tab/>
            </w:r>
            <w:r>
              <w:rPr>
                <w:noProof/>
                <w:webHidden/>
              </w:rPr>
              <w:fldChar w:fldCharType="begin"/>
            </w:r>
            <w:r>
              <w:rPr>
                <w:noProof/>
                <w:webHidden/>
              </w:rPr>
              <w:instrText xml:space="preserve"> PAGEREF _Toc160610205 \h </w:instrText>
            </w:r>
            <w:r>
              <w:rPr>
                <w:noProof/>
                <w:webHidden/>
              </w:rPr>
            </w:r>
            <w:r>
              <w:rPr>
                <w:noProof/>
                <w:webHidden/>
              </w:rPr>
              <w:fldChar w:fldCharType="separate"/>
            </w:r>
            <w:r>
              <w:rPr>
                <w:noProof/>
                <w:webHidden/>
              </w:rPr>
              <w:t>45</w:t>
            </w:r>
            <w:r>
              <w:rPr>
                <w:noProof/>
                <w:webHidden/>
              </w:rPr>
              <w:fldChar w:fldCharType="end"/>
            </w:r>
          </w:hyperlink>
        </w:p>
        <w:p w14:paraId="03647039" w14:textId="04EE91B8"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6" w:history="1">
            <w:r w:rsidRPr="00B6103E">
              <w:rPr>
                <w:rStyle w:val="Hyperlink"/>
                <w:noProof/>
              </w:rPr>
              <w:t>4.9.1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Remplacement de l’adjudicataire (art. 38/3)</w:t>
            </w:r>
            <w:r>
              <w:rPr>
                <w:noProof/>
                <w:webHidden/>
              </w:rPr>
              <w:tab/>
            </w:r>
            <w:r>
              <w:rPr>
                <w:noProof/>
                <w:webHidden/>
              </w:rPr>
              <w:fldChar w:fldCharType="begin"/>
            </w:r>
            <w:r>
              <w:rPr>
                <w:noProof/>
                <w:webHidden/>
              </w:rPr>
              <w:instrText xml:space="preserve"> PAGEREF _Toc160610206 \h </w:instrText>
            </w:r>
            <w:r>
              <w:rPr>
                <w:noProof/>
                <w:webHidden/>
              </w:rPr>
            </w:r>
            <w:r>
              <w:rPr>
                <w:noProof/>
                <w:webHidden/>
              </w:rPr>
              <w:fldChar w:fldCharType="separate"/>
            </w:r>
            <w:r>
              <w:rPr>
                <w:noProof/>
                <w:webHidden/>
              </w:rPr>
              <w:t>45</w:t>
            </w:r>
            <w:r>
              <w:rPr>
                <w:noProof/>
                <w:webHidden/>
              </w:rPr>
              <w:fldChar w:fldCharType="end"/>
            </w:r>
          </w:hyperlink>
        </w:p>
        <w:p w14:paraId="3F31DAA0" w14:textId="21D61B4A"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7" w:history="1">
            <w:r w:rsidRPr="00B6103E">
              <w:rPr>
                <w:rStyle w:val="Hyperlink"/>
                <w:noProof/>
              </w:rPr>
              <w:t>4.9.2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Remplacement des expert·es</w:t>
            </w:r>
            <w:r>
              <w:rPr>
                <w:noProof/>
                <w:webHidden/>
              </w:rPr>
              <w:tab/>
            </w:r>
            <w:r>
              <w:rPr>
                <w:noProof/>
                <w:webHidden/>
              </w:rPr>
              <w:fldChar w:fldCharType="begin"/>
            </w:r>
            <w:r>
              <w:rPr>
                <w:noProof/>
                <w:webHidden/>
              </w:rPr>
              <w:instrText xml:space="preserve"> PAGEREF _Toc160610207 \h </w:instrText>
            </w:r>
            <w:r>
              <w:rPr>
                <w:noProof/>
                <w:webHidden/>
              </w:rPr>
            </w:r>
            <w:r>
              <w:rPr>
                <w:noProof/>
                <w:webHidden/>
              </w:rPr>
              <w:fldChar w:fldCharType="separate"/>
            </w:r>
            <w:r>
              <w:rPr>
                <w:noProof/>
                <w:webHidden/>
              </w:rPr>
              <w:t>46</w:t>
            </w:r>
            <w:r>
              <w:rPr>
                <w:noProof/>
                <w:webHidden/>
              </w:rPr>
              <w:fldChar w:fldCharType="end"/>
            </w:r>
          </w:hyperlink>
        </w:p>
        <w:p w14:paraId="769D147F" w14:textId="56C16A39"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8" w:history="1">
            <w:r w:rsidRPr="00B6103E">
              <w:rPr>
                <w:rStyle w:val="Hyperlink"/>
                <w:noProof/>
              </w:rPr>
              <w:t>4.9.3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Révision des prix (art. 38/7)</w:t>
            </w:r>
            <w:r>
              <w:rPr>
                <w:noProof/>
                <w:webHidden/>
              </w:rPr>
              <w:tab/>
            </w:r>
            <w:r>
              <w:rPr>
                <w:noProof/>
                <w:webHidden/>
              </w:rPr>
              <w:fldChar w:fldCharType="begin"/>
            </w:r>
            <w:r>
              <w:rPr>
                <w:noProof/>
                <w:webHidden/>
              </w:rPr>
              <w:instrText xml:space="preserve"> PAGEREF _Toc160610208 \h </w:instrText>
            </w:r>
            <w:r>
              <w:rPr>
                <w:noProof/>
                <w:webHidden/>
              </w:rPr>
            </w:r>
            <w:r>
              <w:rPr>
                <w:noProof/>
                <w:webHidden/>
              </w:rPr>
              <w:fldChar w:fldCharType="separate"/>
            </w:r>
            <w:r>
              <w:rPr>
                <w:noProof/>
                <w:webHidden/>
              </w:rPr>
              <w:t>46</w:t>
            </w:r>
            <w:r>
              <w:rPr>
                <w:noProof/>
                <w:webHidden/>
              </w:rPr>
              <w:fldChar w:fldCharType="end"/>
            </w:r>
          </w:hyperlink>
        </w:p>
        <w:p w14:paraId="03284D51" w14:textId="0719B04C"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09" w:history="1">
            <w:r w:rsidRPr="00B6103E">
              <w:rPr>
                <w:rStyle w:val="Hyperlink"/>
                <w:noProof/>
              </w:rPr>
              <w:t>4.9.4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Indemnités suite aux suspensions ordonnées par l’adjudicateur durant l’exécution (art. 38/12)</w:t>
            </w:r>
            <w:r>
              <w:rPr>
                <w:noProof/>
                <w:webHidden/>
              </w:rPr>
              <w:tab/>
            </w:r>
            <w:r>
              <w:rPr>
                <w:noProof/>
                <w:webHidden/>
              </w:rPr>
              <w:fldChar w:fldCharType="begin"/>
            </w:r>
            <w:r>
              <w:rPr>
                <w:noProof/>
                <w:webHidden/>
              </w:rPr>
              <w:instrText xml:space="preserve"> PAGEREF _Toc160610209 \h </w:instrText>
            </w:r>
            <w:r>
              <w:rPr>
                <w:noProof/>
                <w:webHidden/>
              </w:rPr>
            </w:r>
            <w:r>
              <w:rPr>
                <w:noProof/>
                <w:webHidden/>
              </w:rPr>
              <w:fldChar w:fldCharType="separate"/>
            </w:r>
            <w:r>
              <w:rPr>
                <w:noProof/>
                <w:webHidden/>
              </w:rPr>
              <w:t>47</w:t>
            </w:r>
            <w:r>
              <w:rPr>
                <w:noProof/>
                <w:webHidden/>
              </w:rPr>
              <w:fldChar w:fldCharType="end"/>
            </w:r>
          </w:hyperlink>
        </w:p>
        <w:p w14:paraId="3C2AD599" w14:textId="2D63D7AF"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0" w:history="1">
            <w:r w:rsidRPr="00B6103E">
              <w:rPr>
                <w:rStyle w:val="Hyperlink"/>
                <w:noProof/>
              </w:rPr>
              <w:t>4.9.5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Cas éventuel d’ajout d’un pays où Enabel sera actif</w:t>
            </w:r>
            <w:r>
              <w:rPr>
                <w:noProof/>
                <w:webHidden/>
              </w:rPr>
              <w:tab/>
            </w:r>
            <w:r>
              <w:rPr>
                <w:noProof/>
                <w:webHidden/>
              </w:rPr>
              <w:fldChar w:fldCharType="begin"/>
            </w:r>
            <w:r>
              <w:rPr>
                <w:noProof/>
                <w:webHidden/>
              </w:rPr>
              <w:instrText xml:space="preserve"> PAGEREF _Toc160610210 \h </w:instrText>
            </w:r>
            <w:r>
              <w:rPr>
                <w:noProof/>
                <w:webHidden/>
              </w:rPr>
            </w:r>
            <w:r>
              <w:rPr>
                <w:noProof/>
                <w:webHidden/>
              </w:rPr>
              <w:fldChar w:fldCharType="separate"/>
            </w:r>
            <w:r>
              <w:rPr>
                <w:noProof/>
                <w:webHidden/>
              </w:rPr>
              <w:t>47</w:t>
            </w:r>
            <w:r>
              <w:rPr>
                <w:noProof/>
                <w:webHidden/>
              </w:rPr>
              <w:fldChar w:fldCharType="end"/>
            </w:r>
          </w:hyperlink>
        </w:p>
        <w:p w14:paraId="525118C3" w14:textId="2511792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1" w:history="1">
            <w:r w:rsidRPr="00B6103E">
              <w:rPr>
                <w:rStyle w:val="Hyperlink"/>
                <w:noProof/>
              </w:rPr>
              <w:t>4.9.6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Circonstances imprévisibles (art. 38/11)</w:t>
            </w:r>
            <w:r>
              <w:rPr>
                <w:noProof/>
                <w:webHidden/>
              </w:rPr>
              <w:tab/>
            </w:r>
            <w:r>
              <w:rPr>
                <w:noProof/>
                <w:webHidden/>
              </w:rPr>
              <w:fldChar w:fldCharType="begin"/>
            </w:r>
            <w:r>
              <w:rPr>
                <w:noProof/>
                <w:webHidden/>
              </w:rPr>
              <w:instrText xml:space="preserve"> PAGEREF _Toc160610211 \h </w:instrText>
            </w:r>
            <w:r>
              <w:rPr>
                <w:noProof/>
                <w:webHidden/>
              </w:rPr>
            </w:r>
            <w:r>
              <w:rPr>
                <w:noProof/>
                <w:webHidden/>
              </w:rPr>
              <w:fldChar w:fldCharType="separate"/>
            </w:r>
            <w:r>
              <w:rPr>
                <w:noProof/>
                <w:webHidden/>
              </w:rPr>
              <w:t>47</w:t>
            </w:r>
            <w:r>
              <w:rPr>
                <w:noProof/>
                <w:webHidden/>
              </w:rPr>
              <w:fldChar w:fldCharType="end"/>
            </w:r>
          </w:hyperlink>
        </w:p>
        <w:p w14:paraId="0C2FDAF1" w14:textId="7EEE5F9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2" w:history="1">
            <w:r w:rsidRPr="00B6103E">
              <w:rPr>
                <w:rStyle w:val="Hyperlink"/>
                <w:noProof/>
              </w:rPr>
              <w:t>4.9.7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Impositions ayant une incidence sur le montant du marché</w:t>
            </w:r>
            <w:r>
              <w:rPr>
                <w:noProof/>
                <w:webHidden/>
              </w:rPr>
              <w:tab/>
            </w:r>
            <w:r>
              <w:rPr>
                <w:noProof/>
                <w:webHidden/>
              </w:rPr>
              <w:fldChar w:fldCharType="begin"/>
            </w:r>
            <w:r>
              <w:rPr>
                <w:noProof/>
                <w:webHidden/>
              </w:rPr>
              <w:instrText xml:space="preserve"> PAGEREF _Toc160610212 \h </w:instrText>
            </w:r>
            <w:r>
              <w:rPr>
                <w:noProof/>
                <w:webHidden/>
              </w:rPr>
            </w:r>
            <w:r>
              <w:rPr>
                <w:noProof/>
                <w:webHidden/>
              </w:rPr>
              <w:fldChar w:fldCharType="separate"/>
            </w:r>
            <w:r>
              <w:rPr>
                <w:noProof/>
                <w:webHidden/>
              </w:rPr>
              <w:t>48</w:t>
            </w:r>
            <w:r>
              <w:rPr>
                <w:noProof/>
                <w:webHidden/>
              </w:rPr>
              <w:fldChar w:fldCharType="end"/>
            </w:r>
          </w:hyperlink>
        </w:p>
        <w:p w14:paraId="22EF0AD2" w14:textId="4FE4054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3" w:history="1">
            <w:r w:rsidRPr="00B6103E">
              <w:rPr>
                <w:rStyle w:val="Hyperlink"/>
                <w:noProof/>
              </w:rPr>
              <w:t>4.9.8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Conditions d’introduction (art. 38/14)</w:t>
            </w:r>
            <w:r>
              <w:rPr>
                <w:noProof/>
                <w:webHidden/>
              </w:rPr>
              <w:tab/>
            </w:r>
            <w:r>
              <w:rPr>
                <w:noProof/>
                <w:webHidden/>
              </w:rPr>
              <w:fldChar w:fldCharType="begin"/>
            </w:r>
            <w:r>
              <w:rPr>
                <w:noProof/>
                <w:webHidden/>
              </w:rPr>
              <w:instrText xml:space="preserve"> PAGEREF _Toc160610213 \h </w:instrText>
            </w:r>
            <w:r>
              <w:rPr>
                <w:noProof/>
                <w:webHidden/>
              </w:rPr>
            </w:r>
            <w:r>
              <w:rPr>
                <w:noProof/>
                <w:webHidden/>
              </w:rPr>
              <w:fldChar w:fldCharType="separate"/>
            </w:r>
            <w:r>
              <w:rPr>
                <w:noProof/>
                <w:webHidden/>
              </w:rPr>
              <w:t>48</w:t>
            </w:r>
            <w:r>
              <w:rPr>
                <w:noProof/>
                <w:webHidden/>
              </w:rPr>
              <w:fldChar w:fldCharType="end"/>
            </w:r>
          </w:hyperlink>
        </w:p>
        <w:p w14:paraId="477EE7C4" w14:textId="0DCB8C0E"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14" w:history="1">
            <w:r w:rsidRPr="00B6103E">
              <w:rPr>
                <w:rStyle w:val="Hyperlink"/>
                <w:noProof/>
              </w:rPr>
              <w:t>4.10</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Suivi des prestations</w:t>
            </w:r>
            <w:r>
              <w:rPr>
                <w:noProof/>
                <w:webHidden/>
              </w:rPr>
              <w:tab/>
            </w:r>
            <w:r>
              <w:rPr>
                <w:noProof/>
                <w:webHidden/>
              </w:rPr>
              <w:fldChar w:fldCharType="begin"/>
            </w:r>
            <w:r>
              <w:rPr>
                <w:noProof/>
                <w:webHidden/>
              </w:rPr>
              <w:instrText xml:space="preserve"> PAGEREF _Toc160610214 \h </w:instrText>
            </w:r>
            <w:r>
              <w:rPr>
                <w:noProof/>
                <w:webHidden/>
              </w:rPr>
            </w:r>
            <w:r>
              <w:rPr>
                <w:noProof/>
                <w:webHidden/>
              </w:rPr>
              <w:fldChar w:fldCharType="separate"/>
            </w:r>
            <w:r>
              <w:rPr>
                <w:noProof/>
                <w:webHidden/>
              </w:rPr>
              <w:t>48</w:t>
            </w:r>
            <w:r>
              <w:rPr>
                <w:noProof/>
                <w:webHidden/>
              </w:rPr>
              <w:fldChar w:fldCharType="end"/>
            </w:r>
          </w:hyperlink>
        </w:p>
        <w:p w14:paraId="6A8E1CFF" w14:textId="7398E7ED"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15" w:history="1">
            <w:r w:rsidRPr="00B6103E">
              <w:rPr>
                <w:rStyle w:val="Hyperlink"/>
                <w:noProof/>
              </w:rPr>
              <w:t>4.11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Modalités d’exécution (art. 146 et suivants)</w:t>
            </w:r>
            <w:r>
              <w:rPr>
                <w:noProof/>
                <w:webHidden/>
              </w:rPr>
              <w:tab/>
            </w:r>
            <w:r>
              <w:rPr>
                <w:noProof/>
                <w:webHidden/>
              </w:rPr>
              <w:fldChar w:fldCharType="begin"/>
            </w:r>
            <w:r>
              <w:rPr>
                <w:noProof/>
                <w:webHidden/>
              </w:rPr>
              <w:instrText xml:space="preserve"> PAGEREF _Toc160610215 \h </w:instrText>
            </w:r>
            <w:r>
              <w:rPr>
                <w:noProof/>
                <w:webHidden/>
              </w:rPr>
            </w:r>
            <w:r>
              <w:rPr>
                <w:noProof/>
                <w:webHidden/>
              </w:rPr>
              <w:fldChar w:fldCharType="separate"/>
            </w:r>
            <w:r>
              <w:rPr>
                <w:noProof/>
                <w:webHidden/>
              </w:rPr>
              <w:t>48</w:t>
            </w:r>
            <w:r>
              <w:rPr>
                <w:noProof/>
                <w:webHidden/>
              </w:rPr>
              <w:fldChar w:fldCharType="end"/>
            </w:r>
          </w:hyperlink>
        </w:p>
        <w:p w14:paraId="68FB57D3" w14:textId="19E67612"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6" w:history="1">
            <w:r w:rsidRPr="00B6103E">
              <w:rPr>
                <w:rStyle w:val="Hyperlink"/>
                <w:noProof/>
              </w:rPr>
              <w:t>4.11.1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Délais et clauses (art. 147)</w:t>
            </w:r>
            <w:r>
              <w:rPr>
                <w:noProof/>
                <w:webHidden/>
              </w:rPr>
              <w:tab/>
            </w:r>
            <w:r>
              <w:rPr>
                <w:noProof/>
                <w:webHidden/>
              </w:rPr>
              <w:fldChar w:fldCharType="begin"/>
            </w:r>
            <w:r>
              <w:rPr>
                <w:noProof/>
                <w:webHidden/>
              </w:rPr>
              <w:instrText xml:space="preserve"> PAGEREF _Toc160610216 \h </w:instrText>
            </w:r>
            <w:r>
              <w:rPr>
                <w:noProof/>
                <w:webHidden/>
              </w:rPr>
            </w:r>
            <w:r>
              <w:rPr>
                <w:noProof/>
                <w:webHidden/>
              </w:rPr>
              <w:fldChar w:fldCharType="separate"/>
            </w:r>
            <w:r>
              <w:rPr>
                <w:noProof/>
                <w:webHidden/>
              </w:rPr>
              <w:t>48</w:t>
            </w:r>
            <w:r>
              <w:rPr>
                <w:noProof/>
                <w:webHidden/>
              </w:rPr>
              <w:fldChar w:fldCharType="end"/>
            </w:r>
          </w:hyperlink>
        </w:p>
        <w:p w14:paraId="0D6516CB" w14:textId="098F635D"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7" w:history="1">
            <w:r w:rsidRPr="00B6103E">
              <w:rPr>
                <w:rStyle w:val="Hyperlink"/>
                <w:noProof/>
              </w:rPr>
              <w:t>4.11.2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Lieu où les services doivent être exécutés et modalités de prestation (art. 149)</w:t>
            </w:r>
            <w:r>
              <w:rPr>
                <w:noProof/>
                <w:webHidden/>
              </w:rPr>
              <w:tab/>
            </w:r>
            <w:r>
              <w:rPr>
                <w:noProof/>
                <w:webHidden/>
              </w:rPr>
              <w:fldChar w:fldCharType="begin"/>
            </w:r>
            <w:r>
              <w:rPr>
                <w:noProof/>
                <w:webHidden/>
              </w:rPr>
              <w:instrText xml:space="preserve"> PAGEREF _Toc160610217 \h </w:instrText>
            </w:r>
            <w:r>
              <w:rPr>
                <w:noProof/>
                <w:webHidden/>
              </w:rPr>
            </w:r>
            <w:r>
              <w:rPr>
                <w:noProof/>
                <w:webHidden/>
              </w:rPr>
              <w:fldChar w:fldCharType="separate"/>
            </w:r>
            <w:r>
              <w:rPr>
                <w:noProof/>
                <w:webHidden/>
              </w:rPr>
              <w:t>49</w:t>
            </w:r>
            <w:r>
              <w:rPr>
                <w:noProof/>
                <w:webHidden/>
              </w:rPr>
              <w:fldChar w:fldCharType="end"/>
            </w:r>
          </w:hyperlink>
        </w:p>
        <w:p w14:paraId="7A2814C0" w14:textId="5C076E2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8" w:history="1">
            <w:r w:rsidRPr="00B6103E">
              <w:rPr>
                <w:rStyle w:val="Hyperlink"/>
                <w:noProof/>
              </w:rPr>
              <w:t>4.11.3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Quantités à fournir (art. 117)</w:t>
            </w:r>
            <w:r>
              <w:rPr>
                <w:noProof/>
                <w:webHidden/>
              </w:rPr>
              <w:tab/>
            </w:r>
            <w:r>
              <w:rPr>
                <w:noProof/>
                <w:webHidden/>
              </w:rPr>
              <w:fldChar w:fldCharType="begin"/>
            </w:r>
            <w:r>
              <w:rPr>
                <w:noProof/>
                <w:webHidden/>
              </w:rPr>
              <w:instrText xml:space="preserve"> PAGEREF _Toc160610218 \h </w:instrText>
            </w:r>
            <w:r>
              <w:rPr>
                <w:noProof/>
                <w:webHidden/>
              </w:rPr>
            </w:r>
            <w:r>
              <w:rPr>
                <w:noProof/>
                <w:webHidden/>
              </w:rPr>
              <w:fldChar w:fldCharType="separate"/>
            </w:r>
            <w:r>
              <w:rPr>
                <w:noProof/>
                <w:webHidden/>
              </w:rPr>
              <w:t>49</w:t>
            </w:r>
            <w:r>
              <w:rPr>
                <w:noProof/>
                <w:webHidden/>
              </w:rPr>
              <w:fldChar w:fldCharType="end"/>
            </w:r>
          </w:hyperlink>
        </w:p>
        <w:p w14:paraId="6EB113FD" w14:textId="03F64DBB"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19" w:history="1">
            <w:r w:rsidRPr="00B6103E">
              <w:rPr>
                <w:rStyle w:val="Hyperlink"/>
                <w:noProof/>
              </w:rPr>
              <w:t>4.11.4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Vérification des services (art. 150)</w:t>
            </w:r>
            <w:r>
              <w:rPr>
                <w:noProof/>
                <w:webHidden/>
              </w:rPr>
              <w:tab/>
            </w:r>
            <w:r>
              <w:rPr>
                <w:noProof/>
                <w:webHidden/>
              </w:rPr>
              <w:fldChar w:fldCharType="begin"/>
            </w:r>
            <w:r>
              <w:rPr>
                <w:noProof/>
                <w:webHidden/>
              </w:rPr>
              <w:instrText xml:space="preserve"> PAGEREF _Toc160610219 \h </w:instrText>
            </w:r>
            <w:r>
              <w:rPr>
                <w:noProof/>
                <w:webHidden/>
              </w:rPr>
            </w:r>
            <w:r>
              <w:rPr>
                <w:noProof/>
                <w:webHidden/>
              </w:rPr>
              <w:fldChar w:fldCharType="separate"/>
            </w:r>
            <w:r>
              <w:rPr>
                <w:noProof/>
                <w:webHidden/>
              </w:rPr>
              <w:t>49</w:t>
            </w:r>
            <w:r>
              <w:rPr>
                <w:noProof/>
                <w:webHidden/>
              </w:rPr>
              <w:fldChar w:fldCharType="end"/>
            </w:r>
          </w:hyperlink>
        </w:p>
        <w:p w14:paraId="1A58D60F" w14:textId="2A8C85BA"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20" w:history="1">
            <w:r w:rsidRPr="00B6103E">
              <w:rPr>
                <w:rStyle w:val="Hyperlink"/>
                <w:noProof/>
              </w:rPr>
              <w:t>4.12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Moyens d’action du pouvoir adjudicateur (art. 44-53 et 154-155)</w:t>
            </w:r>
            <w:r>
              <w:rPr>
                <w:noProof/>
                <w:webHidden/>
              </w:rPr>
              <w:tab/>
            </w:r>
            <w:r>
              <w:rPr>
                <w:noProof/>
                <w:webHidden/>
              </w:rPr>
              <w:fldChar w:fldCharType="begin"/>
            </w:r>
            <w:r>
              <w:rPr>
                <w:noProof/>
                <w:webHidden/>
              </w:rPr>
              <w:instrText xml:space="preserve"> PAGEREF _Toc160610220 \h </w:instrText>
            </w:r>
            <w:r>
              <w:rPr>
                <w:noProof/>
                <w:webHidden/>
              </w:rPr>
            </w:r>
            <w:r>
              <w:rPr>
                <w:noProof/>
                <w:webHidden/>
              </w:rPr>
              <w:fldChar w:fldCharType="separate"/>
            </w:r>
            <w:r>
              <w:rPr>
                <w:noProof/>
                <w:webHidden/>
              </w:rPr>
              <w:t>49</w:t>
            </w:r>
            <w:r>
              <w:rPr>
                <w:noProof/>
                <w:webHidden/>
              </w:rPr>
              <w:fldChar w:fldCharType="end"/>
            </w:r>
          </w:hyperlink>
        </w:p>
        <w:p w14:paraId="5D18CEBF" w14:textId="6A41A052"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21" w:history="1">
            <w:r w:rsidRPr="00B6103E">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Défaut d’exécution (art. 44)</w:t>
            </w:r>
            <w:r>
              <w:rPr>
                <w:noProof/>
                <w:webHidden/>
              </w:rPr>
              <w:tab/>
            </w:r>
            <w:r>
              <w:rPr>
                <w:noProof/>
                <w:webHidden/>
              </w:rPr>
              <w:fldChar w:fldCharType="begin"/>
            </w:r>
            <w:r>
              <w:rPr>
                <w:noProof/>
                <w:webHidden/>
              </w:rPr>
              <w:instrText xml:space="preserve"> PAGEREF _Toc160610221 \h </w:instrText>
            </w:r>
            <w:r>
              <w:rPr>
                <w:noProof/>
                <w:webHidden/>
              </w:rPr>
            </w:r>
            <w:r>
              <w:rPr>
                <w:noProof/>
                <w:webHidden/>
              </w:rPr>
              <w:fldChar w:fldCharType="separate"/>
            </w:r>
            <w:r>
              <w:rPr>
                <w:noProof/>
                <w:webHidden/>
              </w:rPr>
              <w:t>50</w:t>
            </w:r>
            <w:r>
              <w:rPr>
                <w:noProof/>
                <w:webHidden/>
              </w:rPr>
              <w:fldChar w:fldCharType="end"/>
            </w:r>
          </w:hyperlink>
        </w:p>
        <w:p w14:paraId="1BC0524D" w14:textId="15D1275C"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22" w:history="1">
            <w:r w:rsidRPr="00B6103E">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Pénalités (art.45)</w:t>
            </w:r>
            <w:r>
              <w:rPr>
                <w:noProof/>
                <w:webHidden/>
              </w:rPr>
              <w:tab/>
            </w:r>
            <w:r>
              <w:rPr>
                <w:noProof/>
                <w:webHidden/>
              </w:rPr>
              <w:fldChar w:fldCharType="begin"/>
            </w:r>
            <w:r>
              <w:rPr>
                <w:noProof/>
                <w:webHidden/>
              </w:rPr>
              <w:instrText xml:space="preserve"> PAGEREF _Toc160610222 \h </w:instrText>
            </w:r>
            <w:r>
              <w:rPr>
                <w:noProof/>
                <w:webHidden/>
              </w:rPr>
            </w:r>
            <w:r>
              <w:rPr>
                <w:noProof/>
                <w:webHidden/>
              </w:rPr>
              <w:fldChar w:fldCharType="separate"/>
            </w:r>
            <w:r>
              <w:rPr>
                <w:noProof/>
                <w:webHidden/>
              </w:rPr>
              <w:t>50</w:t>
            </w:r>
            <w:r>
              <w:rPr>
                <w:noProof/>
                <w:webHidden/>
              </w:rPr>
              <w:fldChar w:fldCharType="end"/>
            </w:r>
          </w:hyperlink>
        </w:p>
        <w:p w14:paraId="3C221071" w14:textId="3A70CF0D"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23" w:history="1">
            <w:r w:rsidRPr="00B6103E">
              <w:rPr>
                <w:rStyle w:val="Hyperlink"/>
                <w:noProof/>
              </w:rPr>
              <w:t>4.12.2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Amendes pour retard (art. 46 et 154)</w:t>
            </w:r>
            <w:r>
              <w:rPr>
                <w:noProof/>
                <w:webHidden/>
              </w:rPr>
              <w:tab/>
            </w:r>
            <w:r>
              <w:rPr>
                <w:noProof/>
                <w:webHidden/>
              </w:rPr>
              <w:fldChar w:fldCharType="begin"/>
            </w:r>
            <w:r>
              <w:rPr>
                <w:noProof/>
                <w:webHidden/>
              </w:rPr>
              <w:instrText xml:space="preserve"> PAGEREF _Toc160610223 \h </w:instrText>
            </w:r>
            <w:r>
              <w:rPr>
                <w:noProof/>
                <w:webHidden/>
              </w:rPr>
            </w:r>
            <w:r>
              <w:rPr>
                <w:noProof/>
                <w:webHidden/>
              </w:rPr>
              <w:fldChar w:fldCharType="separate"/>
            </w:r>
            <w:r>
              <w:rPr>
                <w:noProof/>
                <w:webHidden/>
              </w:rPr>
              <w:t>50</w:t>
            </w:r>
            <w:r>
              <w:rPr>
                <w:noProof/>
                <w:webHidden/>
              </w:rPr>
              <w:fldChar w:fldCharType="end"/>
            </w:r>
          </w:hyperlink>
        </w:p>
        <w:p w14:paraId="01DD88EF" w14:textId="264452D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24" w:history="1">
            <w:r w:rsidRPr="00B6103E">
              <w:rPr>
                <w:rStyle w:val="Hyperlink"/>
                <w:noProof/>
              </w:rPr>
              <w:t>4.12.3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Mesures d’office (art. 47-155)</w:t>
            </w:r>
            <w:r>
              <w:rPr>
                <w:noProof/>
                <w:webHidden/>
              </w:rPr>
              <w:tab/>
            </w:r>
            <w:r>
              <w:rPr>
                <w:noProof/>
                <w:webHidden/>
              </w:rPr>
              <w:fldChar w:fldCharType="begin"/>
            </w:r>
            <w:r>
              <w:rPr>
                <w:noProof/>
                <w:webHidden/>
              </w:rPr>
              <w:instrText xml:space="preserve"> PAGEREF _Toc160610224 \h </w:instrText>
            </w:r>
            <w:r>
              <w:rPr>
                <w:noProof/>
                <w:webHidden/>
              </w:rPr>
            </w:r>
            <w:r>
              <w:rPr>
                <w:noProof/>
                <w:webHidden/>
              </w:rPr>
              <w:fldChar w:fldCharType="separate"/>
            </w:r>
            <w:r>
              <w:rPr>
                <w:noProof/>
                <w:webHidden/>
              </w:rPr>
              <w:t>51</w:t>
            </w:r>
            <w:r>
              <w:rPr>
                <w:noProof/>
                <w:webHidden/>
              </w:rPr>
              <w:fldChar w:fldCharType="end"/>
            </w:r>
          </w:hyperlink>
        </w:p>
        <w:p w14:paraId="2ADAF00C" w14:textId="5D15B89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25" w:history="1">
            <w:r w:rsidRPr="00B6103E">
              <w:rPr>
                <w:rStyle w:val="Hyperlink"/>
                <w:noProof/>
              </w:rPr>
              <w:t>4.13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Réception des services exécutés (art. 64-65 et 156)</w:t>
            </w:r>
            <w:r>
              <w:rPr>
                <w:noProof/>
                <w:webHidden/>
              </w:rPr>
              <w:tab/>
            </w:r>
            <w:r>
              <w:rPr>
                <w:noProof/>
                <w:webHidden/>
              </w:rPr>
              <w:fldChar w:fldCharType="begin"/>
            </w:r>
            <w:r>
              <w:rPr>
                <w:noProof/>
                <w:webHidden/>
              </w:rPr>
              <w:instrText xml:space="preserve"> PAGEREF _Toc160610225 \h </w:instrText>
            </w:r>
            <w:r>
              <w:rPr>
                <w:noProof/>
                <w:webHidden/>
              </w:rPr>
            </w:r>
            <w:r>
              <w:rPr>
                <w:noProof/>
                <w:webHidden/>
              </w:rPr>
              <w:fldChar w:fldCharType="separate"/>
            </w:r>
            <w:r>
              <w:rPr>
                <w:noProof/>
                <w:webHidden/>
              </w:rPr>
              <w:t>51</w:t>
            </w:r>
            <w:r>
              <w:rPr>
                <w:noProof/>
                <w:webHidden/>
              </w:rPr>
              <w:fldChar w:fldCharType="end"/>
            </w:r>
          </w:hyperlink>
        </w:p>
        <w:p w14:paraId="2C37D12F" w14:textId="119E5C29"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26" w:history="1">
            <w:r w:rsidRPr="00B6103E">
              <w:rPr>
                <w:rStyle w:val="Hyperlink"/>
                <w:noProof/>
              </w:rPr>
              <w:t>4.13.1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Réception de l’accord-cadre</w:t>
            </w:r>
            <w:r>
              <w:rPr>
                <w:noProof/>
                <w:webHidden/>
              </w:rPr>
              <w:tab/>
            </w:r>
            <w:r>
              <w:rPr>
                <w:noProof/>
                <w:webHidden/>
              </w:rPr>
              <w:fldChar w:fldCharType="begin"/>
            </w:r>
            <w:r>
              <w:rPr>
                <w:noProof/>
                <w:webHidden/>
              </w:rPr>
              <w:instrText xml:space="preserve"> PAGEREF _Toc160610226 \h </w:instrText>
            </w:r>
            <w:r>
              <w:rPr>
                <w:noProof/>
                <w:webHidden/>
              </w:rPr>
            </w:r>
            <w:r>
              <w:rPr>
                <w:noProof/>
                <w:webHidden/>
              </w:rPr>
              <w:fldChar w:fldCharType="separate"/>
            </w:r>
            <w:r>
              <w:rPr>
                <w:noProof/>
                <w:webHidden/>
              </w:rPr>
              <w:t>51</w:t>
            </w:r>
            <w:r>
              <w:rPr>
                <w:noProof/>
                <w:webHidden/>
              </w:rPr>
              <w:fldChar w:fldCharType="end"/>
            </w:r>
          </w:hyperlink>
        </w:p>
        <w:p w14:paraId="7460B3DD" w14:textId="67D49199"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27" w:history="1">
            <w:r w:rsidRPr="00B6103E">
              <w:rPr>
                <w:rStyle w:val="Hyperlink"/>
                <w:noProof/>
              </w:rPr>
              <w:t>4.14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Facturation et paiement des services (art. 66 à 72 - 160)</w:t>
            </w:r>
            <w:r>
              <w:rPr>
                <w:noProof/>
                <w:webHidden/>
              </w:rPr>
              <w:tab/>
            </w:r>
            <w:r>
              <w:rPr>
                <w:noProof/>
                <w:webHidden/>
              </w:rPr>
              <w:fldChar w:fldCharType="begin"/>
            </w:r>
            <w:r>
              <w:rPr>
                <w:noProof/>
                <w:webHidden/>
              </w:rPr>
              <w:instrText xml:space="preserve"> PAGEREF _Toc160610227 \h </w:instrText>
            </w:r>
            <w:r>
              <w:rPr>
                <w:noProof/>
                <w:webHidden/>
              </w:rPr>
            </w:r>
            <w:r>
              <w:rPr>
                <w:noProof/>
                <w:webHidden/>
              </w:rPr>
              <w:fldChar w:fldCharType="separate"/>
            </w:r>
            <w:r>
              <w:rPr>
                <w:noProof/>
                <w:webHidden/>
              </w:rPr>
              <w:t>51</w:t>
            </w:r>
            <w:r>
              <w:rPr>
                <w:noProof/>
                <w:webHidden/>
              </w:rPr>
              <w:fldChar w:fldCharType="end"/>
            </w:r>
          </w:hyperlink>
        </w:p>
        <w:p w14:paraId="3CE1238A" w14:textId="0B6300B1"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28" w:history="1">
            <w:r w:rsidRPr="00B6103E">
              <w:rPr>
                <w:rStyle w:val="Hyperlink"/>
                <w:noProof/>
              </w:rPr>
              <w:t>4.15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Litiges (art. 73 de l’A.R. du 14.01.2013)</w:t>
            </w:r>
            <w:r>
              <w:rPr>
                <w:noProof/>
                <w:webHidden/>
              </w:rPr>
              <w:tab/>
            </w:r>
            <w:r>
              <w:rPr>
                <w:noProof/>
                <w:webHidden/>
              </w:rPr>
              <w:fldChar w:fldCharType="begin"/>
            </w:r>
            <w:r>
              <w:rPr>
                <w:noProof/>
                <w:webHidden/>
              </w:rPr>
              <w:instrText xml:space="preserve"> PAGEREF _Toc160610228 \h </w:instrText>
            </w:r>
            <w:r>
              <w:rPr>
                <w:noProof/>
                <w:webHidden/>
              </w:rPr>
            </w:r>
            <w:r>
              <w:rPr>
                <w:noProof/>
                <w:webHidden/>
              </w:rPr>
              <w:fldChar w:fldCharType="separate"/>
            </w:r>
            <w:r>
              <w:rPr>
                <w:noProof/>
                <w:webHidden/>
              </w:rPr>
              <w:t>53</w:t>
            </w:r>
            <w:r>
              <w:rPr>
                <w:noProof/>
                <w:webHidden/>
              </w:rPr>
              <w:fldChar w:fldCharType="end"/>
            </w:r>
          </w:hyperlink>
        </w:p>
        <w:p w14:paraId="241D4185" w14:textId="0B248CF8" w:rsidR="00300708" w:rsidRDefault="00300708">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229" w:history="1">
            <w:r w:rsidRPr="00B6103E">
              <w:rPr>
                <w:rStyle w:val="Hyperlink"/>
                <w:noProof/>
              </w:rPr>
              <w:t>5</w:t>
            </w:r>
            <w:r>
              <w:rPr>
                <w:rFonts w:asciiTheme="minorHAnsi" w:eastAsiaTheme="minorEastAsia" w:hAnsiTheme="minorHAnsi"/>
                <w:b w:val="0"/>
                <w:noProof/>
                <w:color w:val="auto"/>
                <w:kern w:val="2"/>
                <w:sz w:val="24"/>
                <w:szCs w:val="24"/>
                <w:lang w:val="fr-BE" w:eastAsia="fr-BE"/>
                <w14:ligatures w14:val="standardContextual"/>
              </w:rPr>
              <w:tab/>
            </w:r>
            <w:r w:rsidRPr="00B6103E">
              <w:rPr>
                <w:rStyle w:val="Hyperlink"/>
                <w:noProof/>
              </w:rPr>
              <w:t>Termes de référence</w:t>
            </w:r>
            <w:r>
              <w:rPr>
                <w:noProof/>
                <w:webHidden/>
              </w:rPr>
              <w:tab/>
            </w:r>
            <w:r>
              <w:rPr>
                <w:noProof/>
                <w:webHidden/>
              </w:rPr>
              <w:fldChar w:fldCharType="begin"/>
            </w:r>
            <w:r>
              <w:rPr>
                <w:noProof/>
                <w:webHidden/>
              </w:rPr>
              <w:instrText xml:space="preserve"> PAGEREF _Toc160610229 \h </w:instrText>
            </w:r>
            <w:r>
              <w:rPr>
                <w:noProof/>
                <w:webHidden/>
              </w:rPr>
            </w:r>
            <w:r>
              <w:rPr>
                <w:noProof/>
                <w:webHidden/>
              </w:rPr>
              <w:fldChar w:fldCharType="separate"/>
            </w:r>
            <w:r>
              <w:rPr>
                <w:noProof/>
                <w:webHidden/>
              </w:rPr>
              <w:t>54</w:t>
            </w:r>
            <w:r>
              <w:rPr>
                <w:noProof/>
                <w:webHidden/>
              </w:rPr>
              <w:fldChar w:fldCharType="end"/>
            </w:r>
          </w:hyperlink>
        </w:p>
        <w:p w14:paraId="116763BC" w14:textId="673584AE"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30" w:history="1">
            <w:r w:rsidRPr="00B6103E">
              <w:rPr>
                <w:rStyle w:val="Hyperlink"/>
                <w:noProof/>
              </w:rPr>
              <w:t>5.1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Exigences générales</w:t>
            </w:r>
            <w:r>
              <w:rPr>
                <w:noProof/>
                <w:webHidden/>
              </w:rPr>
              <w:tab/>
            </w:r>
            <w:r>
              <w:rPr>
                <w:noProof/>
                <w:webHidden/>
              </w:rPr>
              <w:fldChar w:fldCharType="begin"/>
            </w:r>
            <w:r>
              <w:rPr>
                <w:noProof/>
                <w:webHidden/>
              </w:rPr>
              <w:instrText xml:space="preserve"> PAGEREF _Toc160610230 \h </w:instrText>
            </w:r>
            <w:r>
              <w:rPr>
                <w:noProof/>
                <w:webHidden/>
              </w:rPr>
            </w:r>
            <w:r>
              <w:rPr>
                <w:noProof/>
                <w:webHidden/>
              </w:rPr>
              <w:fldChar w:fldCharType="separate"/>
            </w:r>
            <w:r>
              <w:rPr>
                <w:noProof/>
                <w:webHidden/>
              </w:rPr>
              <w:t>54</w:t>
            </w:r>
            <w:r>
              <w:rPr>
                <w:noProof/>
                <w:webHidden/>
              </w:rPr>
              <w:fldChar w:fldCharType="end"/>
            </w:r>
          </w:hyperlink>
        </w:p>
        <w:p w14:paraId="4669E3A9" w14:textId="3EC61EE5"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1" w:history="1">
            <w:r w:rsidRPr="00B6103E">
              <w:rPr>
                <w:rStyle w:val="Hyperlink"/>
                <w:noProof/>
              </w:rPr>
              <w:t>5.1.1.1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_Toc160610231 \h </w:instrText>
            </w:r>
            <w:r>
              <w:rPr>
                <w:noProof/>
                <w:webHidden/>
              </w:rPr>
            </w:r>
            <w:r>
              <w:rPr>
                <w:noProof/>
                <w:webHidden/>
              </w:rPr>
              <w:fldChar w:fldCharType="separate"/>
            </w:r>
            <w:r>
              <w:rPr>
                <w:noProof/>
                <w:webHidden/>
              </w:rPr>
              <w:t>54</w:t>
            </w:r>
            <w:r>
              <w:rPr>
                <w:noProof/>
                <w:webHidden/>
              </w:rPr>
              <w:fldChar w:fldCharType="end"/>
            </w:r>
          </w:hyperlink>
        </w:p>
        <w:p w14:paraId="674FA55B" w14:textId="4DC8142B"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2" w:history="1">
            <w:r w:rsidRPr="00B6103E">
              <w:rPr>
                <w:rStyle w:val="Hyperlink"/>
                <w:noProof/>
              </w:rPr>
              <w:t>5.1.1.2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_Toc160610232 \h </w:instrText>
            </w:r>
            <w:r>
              <w:rPr>
                <w:noProof/>
                <w:webHidden/>
              </w:rPr>
            </w:r>
            <w:r>
              <w:rPr>
                <w:noProof/>
                <w:webHidden/>
              </w:rPr>
              <w:fldChar w:fldCharType="separate"/>
            </w:r>
            <w:r>
              <w:rPr>
                <w:noProof/>
                <w:webHidden/>
              </w:rPr>
              <w:t>54</w:t>
            </w:r>
            <w:r>
              <w:rPr>
                <w:noProof/>
                <w:webHidden/>
              </w:rPr>
              <w:fldChar w:fldCharType="end"/>
            </w:r>
          </w:hyperlink>
        </w:p>
        <w:p w14:paraId="75878187" w14:textId="14D1398F"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3" w:history="1">
            <w:r w:rsidRPr="00B6103E">
              <w:rPr>
                <w:rStyle w:val="Hyperlink"/>
                <w:noProof/>
              </w:rPr>
              <w:t>5.1.1.3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_Toc160610233 \h </w:instrText>
            </w:r>
            <w:r>
              <w:rPr>
                <w:noProof/>
                <w:webHidden/>
              </w:rPr>
            </w:r>
            <w:r>
              <w:rPr>
                <w:noProof/>
                <w:webHidden/>
              </w:rPr>
              <w:fldChar w:fldCharType="separate"/>
            </w:r>
            <w:r>
              <w:rPr>
                <w:noProof/>
                <w:webHidden/>
              </w:rPr>
              <w:t>54</w:t>
            </w:r>
            <w:r>
              <w:rPr>
                <w:noProof/>
                <w:webHidden/>
              </w:rPr>
              <w:fldChar w:fldCharType="end"/>
            </w:r>
          </w:hyperlink>
        </w:p>
        <w:p w14:paraId="6A810057" w14:textId="1762DB94"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34" w:history="1">
            <w:r w:rsidRPr="00B6103E">
              <w:rPr>
                <w:rStyle w:val="Hyperlink"/>
                <w:noProof/>
              </w:rPr>
              <w:t>5.2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Exigences spécifiques par lot / profil d’expert·e</w:t>
            </w:r>
            <w:r>
              <w:rPr>
                <w:noProof/>
                <w:webHidden/>
              </w:rPr>
              <w:tab/>
            </w:r>
            <w:r>
              <w:rPr>
                <w:noProof/>
                <w:webHidden/>
              </w:rPr>
              <w:fldChar w:fldCharType="begin"/>
            </w:r>
            <w:r>
              <w:rPr>
                <w:noProof/>
                <w:webHidden/>
              </w:rPr>
              <w:instrText xml:space="preserve"> PAGEREF _Toc160610234 \h </w:instrText>
            </w:r>
            <w:r>
              <w:rPr>
                <w:noProof/>
                <w:webHidden/>
              </w:rPr>
            </w:r>
            <w:r>
              <w:rPr>
                <w:noProof/>
                <w:webHidden/>
              </w:rPr>
              <w:fldChar w:fldCharType="separate"/>
            </w:r>
            <w:r>
              <w:rPr>
                <w:noProof/>
                <w:webHidden/>
              </w:rPr>
              <w:t>54</w:t>
            </w:r>
            <w:r>
              <w:rPr>
                <w:noProof/>
                <w:webHidden/>
              </w:rPr>
              <w:fldChar w:fldCharType="end"/>
            </w:r>
          </w:hyperlink>
        </w:p>
        <w:p w14:paraId="71F703D0" w14:textId="3332290F"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35" w:history="1">
            <w:r w:rsidRPr="00B6103E">
              <w:rPr>
                <w:rStyle w:val="Hyperlink"/>
                <w:noProof/>
              </w:rPr>
              <w:t>5.2.1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 : Renforcement de la réglementation / WS1</w:t>
            </w:r>
            <w:r>
              <w:rPr>
                <w:noProof/>
                <w:webHidden/>
              </w:rPr>
              <w:tab/>
            </w:r>
            <w:r>
              <w:rPr>
                <w:noProof/>
                <w:webHidden/>
              </w:rPr>
              <w:fldChar w:fldCharType="begin"/>
            </w:r>
            <w:r>
              <w:rPr>
                <w:noProof/>
                <w:webHidden/>
              </w:rPr>
              <w:instrText xml:space="preserve"> PAGEREF _Toc160610235 \h </w:instrText>
            </w:r>
            <w:r>
              <w:rPr>
                <w:noProof/>
                <w:webHidden/>
              </w:rPr>
            </w:r>
            <w:r>
              <w:rPr>
                <w:noProof/>
                <w:webHidden/>
              </w:rPr>
              <w:fldChar w:fldCharType="separate"/>
            </w:r>
            <w:r>
              <w:rPr>
                <w:noProof/>
                <w:webHidden/>
              </w:rPr>
              <w:t>54</w:t>
            </w:r>
            <w:r>
              <w:rPr>
                <w:noProof/>
                <w:webHidden/>
              </w:rPr>
              <w:fldChar w:fldCharType="end"/>
            </w:r>
          </w:hyperlink>
        </w:p>
        <w:p w14:paraId="2C5A2638" w14:textId="78247D6B"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6" w:history="1">
            <w:r w:rsidRPr="00B6103E">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_Toc160610236 \h </w:instrText>
            </w:r>
            <w:r>
              <w:rPr>
                <w:noProof/>
                <w:webHidden/>
              </w:rPr>
            </w:r>
            <w:r>
              <w:rPr>
                <w:noProof/>
                <w:webHidden/>
              </w:rPr>
              <w:fldChar w:fldCharType="separate"/>
            </w:r>
            <w:r>
              <w:rPr>
                <w:noProof/>
                <w:webHidden/>
              </w:rPr>
              <w:t>54</w:t>
            </w:r>
            <w:r>
              <w:rPr>
                <w:noProof/>
                <w:webHidden/>
              </w:rPr>
              <w:fldChar w:fldCharType="end"/>
            </w:r>
          </w:hyperlink>
        </w:p>
        <w:p w14:paraId="1978FC4D" w14:textId="03478BAA"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7" w:history="1">
            <w:r w:rsidRPr="00B6103E">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_Toc160610237 \h </w:instrText>
            </w:r>
            <w:r>
              <w:rPr>
                <w:noProof/>
                <w:webHidden/>
              </w:rPr>
            </w:r>
            <w:r>
              <w:rPr>
                <w:noProof/>
                <w:webHidden/>
              </w:rPr>
              <w:fldChar w:fldCharType="separate"/>
            </w:r>
            <w:r>
              <w:rPr>
                <w:noProof/>
                <w:webHidden/>
              </w:rPr>
              <w:t>55</w:t>
            </w:r>
            <w:r>
              <w:rPr>
                <w:noProof/>
                <w:webHidden/>
              </w:rPr>
              <w:fldChar w:fldCharType="end"/>
            </w:r>
          </w:hyperlink>
        </w:p>
        <w:p w14:paraId="5173D42A" w14:textId="0701B90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38" w:history="1">
            <w:r w:rsidRPr="00B6103E">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_Toc160610238 \h </w:instrText>
            </w:r>
            <w:r>
              <w:rPr>
                <w:noProof/>
                <w:webHidden/>
              </w:rPr>
            </w:r>
            <w:r>
              <w:rPr>
                <w:noProof/>
                <w:webHidden/>
              </w:rPr>
              <w:fldChar w:fldCharType="separate"/>
            </w:r>
            <w:r>
              <w:rPr>
                <w:noProof/>
                <w:webHidden/>
              </w:rPr>
              <w:t>55</w:t>
            </w:r>
            <w:r>
              <w:rPr>
                <w:noProof/>
                <w:webHidden/>
              </w:rPr>
              <w:fldChar w:fldCharType="end"/>
            </w:r>
          </w:hyperlink>
        </w:p>
        <w:p w14:paraId="639F1FF4" w14:textId="0E4042B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39" w:history="1">
            <w:r w:rsidRPr="00B6103E">
              <w:rPr>
                <w:rStyle w:val="Hyperlink"/>
                <w:noProof/>
              </w:rPr>
              <w:t>5.2.2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2 : Autorisation de mise sur le marché (AMM) / WS1</w:t>
            </w:r>
            <w:r>
              <w:rPr>
                <w:noProof/>
                <w:webHidden/>
              </w:rPr>
              <w:tab/>
            </w:r>
            <w:r>
              <w:rPr>
                <w:noProof/>
                <w:webHidden/>
              </w:rPr>
              <w:fldChar w:fldCharType="begin"/>
            </w:r>
            <w:r>
              <w:rPr>
                <w:noProof/>
                <w:webHidden/>
              </w:rPr>
              <w:instrText xml:space="preserve"> PAGEREF _Toc160610239 \h </w:instrText>
            </w:r>
            <w:r>
              <w:rPr>
                <w:noProof/>
                <w:webHidden/>
              </w:rPr>
            </w:r>
            <w:r>
              <w:rPr>
                <w:noProof/>
                <w:webHidden/>
              </w:rPr>
              <w:fldChar w:fldCharType="separate"/>
            </w:r>
            <w:r>
              <w:rPr>
                <w:noProof/>
                <w:webHidden/>
              </w:rPr>
              <w:t>55</w:t>
            </w:r>
            <w:r>
              <w:rPr>
                <w:noProof/>
                <w:webHidden/>
              </w:rPr>
              <w:fldChar w:fldCharType="end"/>
            </w:r>
          </w:hyperlink>
        </w:p>
        <w:p w14:paraId="6A99C588" w14:textId="60F9BD5E"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0" w:history="1">
            <w:r w:rsidRPr="00B6103E">
              <w:rPr>
                <w:rStyle w:val="Hyperlink"/>
                <w:noProof/>
              </w:rPr>
              <w:t>5.2.2.1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_Toc160610240 \h </w:instrText>
            </w:r>
            <w:r>
              <w:rPr>
                <w:noProof/>
                <w:webHidden/>
              </w:rPr>
            </w:r>
            <w:r>
              <w:rPr>
                <w:noProof/>
                <w:webHidden/>
              </w:rPr>
              <w:fldChar w:fldCharType="separate"/>
            </w:r>
            <w:r>
              <w:rPr>
                <w:noProof/>
                <w:webHidden/>
              </w:rPr>
              <w:t>55</w:t>
            </w:r>
            <w:r>
              <w:rPr>
                <w:noProof/>
                <w:webHidden/>
              </w:rPr>
              <w:fldChar w:fldCharType="end"/>
            </w:r>
          </w:hyperlink>
        </w:p>
        <w:p w14:paraId="283BCFD8" w14:textId="05A736BE"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1" w:history="1">
            <w:r w:rsidRPr="00B6103E">
              <w:rPr>
                <w:rStyle w:val="Hyperlink"/>
                <w:noProof/>
              </w:rPr>
              <w:t>5.2.2.2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_Toc160610241 \h </w:instrText>
            </w:r>
            <w:r>
              <w:rPr>
                <w:noProof/>
                <w:webHidden/>
              </w:rPr>
            </w:r>
            <w:r>
              <w:rPr>
                <w:noProof/>
                <w:webHidden/>
              </w:rPr>
              <w:fldChar w:fldCharType="separate"/>
            </w:r>
            <w:r>
              <w:rPr>
                <w:noProof/>
                <w:webHidden/>
              </w:rPr>
              <w:t>55</w:t>
            </w:r>
            <w:r>
              <w:rPr>
                <w:noProof/>
                <w:webHidden/>
              </w:rPr>
              <w:fldChar w:fldCharType="end"/>
            </w:r>
          </w:hyperlink>
        </w:p>
        <w:p w14:paraId="19A1585B" w14:textId="1E906D47"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2" w:history="1">
            <w:r w:rsidRPr="00B6103E">
              <w:rPr>
                <w:rStyle w:val="Hyperlink"/>
                <w:noProof/>
              </w:rPr>
              <w:t>5.2.2.3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_Toc160610242 \h </w:instrText>
            </w:r>
            <w:r>
              <w:rPr>
                <w:noProof/>
                <w:webHidden/>
              </w:rPr>
            </w:r>
            <w:r>
              <w:rPr>
                <w:noProof/>
                <w:webHidden/>
              </w:rPr>
              <w:fldChar w:fldCharType="separate"/>
            </w:r>
            <w:r>
              <w:rPr>
                <w:noProof/>
                <w:webHidden/>
              </w:rPr>
              <w:t>55</w:t>
            </w:r>
            <w:r>
              <w:rPr>
                <w:noProof/>
                <w:webHidden/>
              </w:rPr>
              <w:fldChar w:fldCharType="end"/>
            </w:r>
          </w:hyperlink>
        </w:p>
        <w:p w14:paraId="5DC74817" w14:textId="7590DF67"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43" w:history="1">
            <w:r w:rsidRPr="00B6103E">
              <w:rPr>
                <w:rStyle w:val="Hyperlink"/>
                <w:noProof/>
              </w:rPr>
              <w:t>5.2.3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3 : Propriété intellectuelle (PI) / WS2</w:t>
            </w:r>
            <w:r>
              <w:rPr>
                <w:noProof/>
                <w:webHidden/>
              </w:rPr>
              <w:tab/>
            </w:r>
            <w:r>
              <w:rPr>
                <w:noProof/>
                <w:webHidden/>
              </w:rPr>
              <w:fldChar w:fldCharType="begin"/>
            </w:r>
            <w:r>
              <w:rPr>
                <w:noProof/>
                <w:webHidden/>
              </w:rPr>
              <w:instrText xml:space="preserve"> PAGEREF _Toc160610243 \h </w:instrText>
            </w:r>
            <w:r>
              <w:rPr>
                <w:noProof/>
                <w:webHidden/>
              </w:rPr>
            </w:r>
            <w:r>
              <w:rPr>
                <w:noProof/>
                <w:webHidden/>
              </w:rPr>
              <w:fldChar w:fldCharType="separate"/>
            </w:r>
            <w:r>
              <w:rPr>
                <w:noProof/>
                <w:webHidden/>
              </w:rPr>
              <w:t>55</w:t>
            </w:r>
            <w:r>
              <w:rPr>
                <w:noProof/>
                <w:webHidden/>
              </w:rPr>
              <w:fldChar w:fldCharType="end"/>
            </w:r>
          </w:hyperlink>
        </w:p>
        <w:p w14:paraId="41257A90" w14:textId="060F225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4" w:history="1">
            <w:r w:rsidRPr="00B6103E">
              <w:rPr>
                <w:rStyle w:val="Hyperlink"/>
                <w:noProof/>
              </w:rPr>
              <w:t>5.2.3.1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_Toc160610244 \h </w:instrText>
            </w:r>
            <w:r>
              <w:rPr>
                <w:noProof/>
                <w:webHidden/>
              </w:rPr>
            </w:r>
            <w:r>
              <w:rPr>
                <w:noProof/>
                <w:webHidden/>
              </w:rPr>
              <w:fldChar w:fldCharType="separate"/>
            </w:r>
            <w:r>
              <w:rPr>
                <w:noProof/>
                <w:webHidden/>
              </w:rPr>
              <w:t>55</w:t>
            </w:r>
            <w:r>
              <w:rPr>
                <w:noProof/>
                <w:webHidden/>
              </w:rPr>
              <w:fldChar w:fldCharType="end"/>
            </w:r>
          </w:hyperlink>
        </w:p>
        <w:p w14:paraId="55DBC8D8" w14:textId="546DF31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5" w:history="1">
            <w:r w:rsidRPr="00B6103E">
              <w:rPr>
                <w:rStyle w:val="Hyperlink"/>
                <w:noProof/>
              </w:rPr>
              <w:t>5.2.3.2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_Toc160610245 \h </w:instrText>
            </w:r>
            <w:r>
              <w:rPr>
                <w:noProof/>
                <w:webHidden/>
              </w:rPr>
            </w:r>
            <w:r>
              <w:rPr>
                <w:noProof/>
                <w:webHidden/>
              </w:rPr>
              <w:fldChar w:fldCharType="separate"/>
            </w:r>
            <w:r>
              <w:rPr>
                <w:noProof/>
                <w:webHidden/>
              </w:rPr>
              <w:t>55</w:t>
            </w:r>
            <w:r>
              <w:rPr>
                <w:noProof/>
                <w:webHidden/>
              </w:rPr>
              <w:fldChar w:fldCharType="end"/>
            </w:r>
          </w:hyperlink>
        </w:p>
        <w:p w14:paraId="6BB4DAD6" w14:textId="3D3B38B3"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6" w:history="1">
            <w:r w:rsidRPr="00B6103E">
              <w:rPr>
                <w:rStyle w:val="Hyperlink"/>
                <w:noProof/>
              </w:rPr>
              <w:t>5.2.3.3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_Toc160610246 \h </w:instrText>
            </w:r>
            <w:r>
              <w:rPr>
                <w:noProof/>
                <w:webHidden/>
              </w:rPr>
            </w:r>
            <w:r>
              <w:rPr>
                <w:noProof/>
                <w:webHidden/>
              </w:rPr>
              <w:fldChar w:fldCharType="separate"/>
            </w:r>
            <w:r>
              <w:rPr>
                <w:noProof/>
                <w:webHidden/>
              </w:rPr>
              <w:t>56</w:t>
            </w:r>
            <w:r>
              <w:rPr>
                <w:noProof/>
                <w:webHidden/>
              </w:rPr>
              <w:fldChar w:fldCharType="end"/>
            </w:r>
          </w:hyperlink>
        </w:p>
        <w:p w14:paraId="143C31D1" w14:textId="2EA72DDF"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47" w:history="1">
            <w:r w:rsidRPr="00B6103E">
              <w:rPr>
                <w:rStyle w:val="Hyperlink"/>
                <w:noProof/>
              </w:rPr>
              <w:t>5.2.4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4 : Contrôle de la qualité (CQ) / WS1</w:t>
            </w:r>
            <w:r>
              <w:rPr>
                <w:noProof/>
                <w:webHidden/>
              </w:rPr>
              <w:tab/>
            </w:r>
            <w:r>
              <w:rPr>
                <w:noProof/>
                <w:webHidden/>
              </w:rPr>
              <w:fldChar w:fldCharType="begin"/>
            </w:r>
            <w:r>
              <w:rPr>
                <w:noProof/>
                <w:webHidden/>
              </w:rPr>
              <w:instrText xml:space="preserve"> PAGEREF _Toc160610247 \h </w:instrText>
            </w:r>
            <w:r>
              <w:rPr>
                <w:noProof/>
                <w:webHidden/>
              </w:rPr>
            </w:r>
            <w:r>
              <w:rPr>
                <w:noProof/>
                <w:webHidden/>
              </w:rPr>
              <w:fldChar w:fldCharType="separate"/>
            </w:r>
            <w:r>
              <w:rPr>
                <w:noProof/>
                <w:webHidden/>
              </w:rPr>
              <w:t>56</w:t>
            </w:r>
            <w:r>
              <w:rPr>
                <w:noProof/>
                <w:webHidden/>
              </w:rPr>
              <w:fldChar w:fldCharType="end"/>
            </w:r>
          </w:hyperlink>
        </w:p>
        <w:p w14:paraId="644FCBF5" w14:textId="37697F52"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8" w:history="1">
            <w:r w:rsidRPr="00B6103E">
              <w:rPr>
                <w:rStyle w:val="Hyperlink"/>
                <w:noProof/>
              </w:rPr>
              <w:t>5.2.4.1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_Toc160610248 \h </w:instrText>
            </w:r>
            <w:r>
              <w:rPr>
                <w:noProof/>
                <w:webHidden/>
              </w:rPr>
            </w:r>
            <w:r>
              <w:rPr>
                <w:noProof/>
                <w:webHidden/>
              </w:rPr>
              <w:fldChar w:fldCharType="separate"/>
            </w:r>
            <w:r>
              <w:rPr>
                <w:noProof/>
                <w:webHidden/>
              </w:rPr>
              <w:t>56</w:t>
            </w:r>
            <w:r>
              <w:rPr>
                <w:noProof/>
                <w:webHidden/>
              </w:rPr>
              <w:fldChar w:fldCharType="end"/>
            </w:r>
          </w:hyperlink>
        </w:p>
        <w:p w14:paraId="64505636" w14:textId="77AC7C88"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49" w:history="1">
            <w:r w:rsidRPr="00B6103E">
              <w:rPr>
                <w:rStyle w:val="Hyperlink"/>
                <w:noProof/>
              </w:rPr>
              <w:t>5.2.4.2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_Toc160610249 \h </w:instrText>
            </w:r>
            <w:r>
              <w:rPr>
                <w:noProof/>
                <w:webHidden/>
              </w:rPr>
            </w:r>
            <w:r>
              <w:rPr>
                <w:noProof/>
                <w:webHidden/>
              </w:rPr>
              <w:fldChar w:fldCharType="separate"/>
            </w:r>
            <w:r>
              <w:rPr>
                <w:noProof/>
                <w:webHidden/>
              </w:rPr>
              <w:t>56</w:t>
            </w:r>
            <w:r>
              <w:rPr>
                <w:noProof/>
                <w:webHidden/>
              </w:rPr>
              <w:fldChar w:fldCharType="end"/>
            </w:r>
          </w:hyperlink>
        </w:p>
        <w:p w14:paraId="79083825" w14:textId="241BC28F"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0" w:history="1">
            <w:r w:rsidRPr="00B6103E">
              <w:rPr>
                <w:rStyle w:val="Hyperlink"/>
                <w:noProof/>
              </w:rPr>
              <w:t>5.2.4.3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_Toc160610250 \h </w:instrText>
            </w:r>
            <w:r>
              <w:rPr>
                <w:noProof/>
                <w:webHidden/>
              </w:rPr>
            </w:r>
            <w:r>
              <w:rPr>
                <w:noProof/>
                <w:webHidden/>
              </w:rPr>
              <w:fldChar w:fldCharType="separate"/>
            </w:r>
            <w:r>
              <w:rPr>
                <w:noProof/>
                <w:webHidden/>
              </w:rPr>
              <w:t>56</w:t>
            </w:r>
            <w:r>
              <w:rPr>
                <w:noProof/>
                <w:webHidden/>
              </w:rPr>
              <w:fldChar w:fldCharType="end"/>
            </w:r>
          </w:hyperlink>
        </w:p>
        <w:p w14:paraId="4B5EDE2C" w14:textId="7D9C647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51" w:history="1">
            <w:r w:rsidRPr="00B6103E">
              <w:rPr>
                <w:rStyle w:val="Hyperlink"/>
                <w:noProof/>
              </w:rPr>
              <w:t>5.2.5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5 : Pharmacovigilance (PV) et sécurité des médicaments/vaccins / WS1</w:t>
            </w:r>
            <w:r>
              <w:rPr>
                <w:noProof/>
                <w:webHidden/>
              </w:rPr>
              <w:tab/>
            </w:r>
            <w:r>
              <w:rPr>
                <w:noProof/>
                <w:webHidden/>
              </w:rPr>
              <w:fldChar w:fldCharType="begin"/>
            </w:r>
            <w:r>
              <w:rPr>
                <w:noProof/>
                <w:webHidden/>
              </w:rPr>
              <w:instrText xml:space="preserve"> PAGEREF _Toc160610251 \h </w:instrText>
            </w:r>
            <w:r>
              <w:rPr>
                <w:noProof/>
                <w:webHidden/>
              </w:rPr>
            </w:r>
            <w:r>
              <w:rPr>
                <w:noProof/>
                <w:webHidden/>
              </w:rPr>
              <w:fldChar w:fldCharType="separate"/>
            </w:r>
            <w:r>
              <w:rPr>
                <w:noProof/>
                <w:webHidden/>
              </w:rPr>
              <w:t>56</w:t>
            </w:r>
            <w:r>
              <w:rPr>
                <w:noProof/>
                <w:webHidden/>
              </w:rPr>
              <w:fldChar w:fldCharType="end"/>
            </w:r>
          </w:hyperlink>
        </w:p>
        <w:p w14:paraId="117E2C35" w14:textId="0547C084"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2" w:history="1">
            <w:r w:rsidRPr="00B6103E">
              <w:rPr>
                <w:rStyle w:val="Hyperlink"/>
                <w:noProof/>
              </w:rPr>
              <w:t>5.2.5.1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_Toc160610252 \h </w:instrText>
            </w:r>
            <w:r>
              <w:rPr>
                <w:noProof/>
                <w:webHidden/>
              </w:rPr>
            </w:r>
            <w:r>
              <w:rPr>
                <w:noProof/>
                <w:webHidden/>
              </w:rPr>
              <w:fldChar w:fldCharType="separate"/>
            </w:r>
            <w:r>
              <w:rPr>
                <w:noProof/>
                <w:webHidden/>
              </w:rPr>
              <w:t>56</w:t>
            </w:r>
            <w:r>
              <w:rPr>
                <w:noProof/>
                <w:webHidden/>
              </w:rPr>
              <w:fldChar w:fldCharType="end"/>
            </w:r>
          </w:hyperlink>
        </w:p>
        <w:p w14:paraId="3072A826" w14:textId="2329EB0C"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3" w:history="1">
            <w:r w:rsidRPr="00B6103E">
              <w:rPr>
                <w:rStyle w:val="Hyperlink"/>
                <w:noProof/>
              </w:rPr>
              <w:t>5.2.5.2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_Toc160610253 \h </w:instrText>
            </w:r>
            <w:r>
              <w:rPr>
                <w:noProof/>
                <w:webHidden/>
              </w:rPr>
            </w:r>
            <w:r>
              <w:rPr>
                <w:noProof/>
                <w:webHidden/>
              </w:rPr>
              <w:fldChar w:fldCharType="separate"/>
            </w:r>
            <w:r>
              <w:rPr>
                <w:noProof/>
                <w:webHidden/>
              </w:rPr>
              <w:t>56</w:t>
            </w:r>
            <w:r>
              <w:rPr>
                <w:noProof/>
                <w:webHidden/>
              </w:rPr>
              <w:fldChar w:fldCharType="end"/>
            </w:r>
          </w:hyperlink>
        </w:p>
        <w:p w14:paraId="39A98ACE" w14:textId="075F15D7"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4" w:history="1">
            <w:r w:rsidRPr="00B6103E">
              <w:rPr>
                <w:rStyle w:val="Hyperlink"/>
                <w:noProof/>
              </w:rPr>
              <w:t>5.2.5.3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_Toc160610254 \h </w:instrText>
            </w:r>
            <w:r>
              <w:rPr>
                <w:noProof/>
                <w:webHidden/>
              </w:rPr>
            </w:r>
            <w:r>
              <w:rPr>
                <w:noProof/>
                <w:webHidden/>
              </w:rPr>
              <w:fldChar w:fldCharType="separate"/>
            </w:r>
            <w:r>
              <w:rPr>
                <w:noProof/>
                <w:webHidden/>
              </w:rPr>
              <w:t>57</w:t>
            </w:r>
            <w:r>
              <w:rPr>
                <w:noProof/>
                <w:webHidden/>
              </w:rPr>
              <w:fldChar w:fldCharType="end"/>
            </w:r>
          </w:hyperlink>
        </w:p>
        <w:p w14:paraId="383EC1E0" w14:textId="379B246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55" w:history="1">
            <w:r w:rsidRPr="00B6103E">
              <w:rPr>
                <w:rStyle w:val="Hyperlink"/>
                <w:noProof/>
              </w:rPr>
              <w:t>5.2.6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6 : Transfert technologique / WS2</w:t>
            </w:r>
            <w:r>
              <w:rPr>
                <w:noProof/>
                <w:webHidden/>
              </w:rPr>
              <w:tab/>
            </w:r>
            <w:r>
              <w:rPr>
                <w:noProof/>
                <w:webHidden/>
              </w:rPr>
              <w:fldChar w:fldCharType="begin"/>
            </w:r>
            <w:r>
              <w:rPr>
                <w:noProof/>
                <w:webHidden/>
              </w:rPr>
              <w:instrText xml:space="preserve"> PAGEREF _Toc160610255 \h </w:instrText>
            </w:r>
            <w:r>
              <w:rPr>
                <w:noProof/>
                <w:webHidden/>
              </w:rPr>
            </w:r>
            <w:r>
              <w:rPr>
                <w:noProof/>
                <w:webHidden/>
              </w:rPr>
              <w:fldChar w:fldCharType="separate"/>
            </w:r>
            <w:r>
              <w:rPr>
                <w:noProof/>
                <w:webHidden/>
              </w:rPr>
              <w:t>57</w:t>
            </w:r>
            <w:r>
              <w:rPr>
                <w:noProof/>
                <w:webHidden/>
              </w:rPr>
              <w:fldChar w:fldCharType="end"/>
            </w:r>
          </w:hyperlink>
        </w:p>
        <w:p w14:paraId="5AA07B53" w14:textId="63FADE41"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6" w:history="1">
            <w:r w:rsidRPr="00B6103E">
              <w:rPr>
                <w:rStyle w:val="Hyperlink"/>
                <w:noProof/>
              </w:rPr>
              <w:t>5.2.6.1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_Toc160610256 \h </w:instrText>
            </w:r>
            <w:r>
              <w:rPr>
                <w:noProof/>
                <w:webHidden/>
              </w:rPr>
            </w:r>
            <w:r>
              <w:rPr>
                <w:noProof/>
                <w:webHidden/>
              </w:rPr>
              <w:fldChar w:fldCharType="separate"/>
            </w:r>
            <w:r>
              <w:rPr>
                <w:noProof/>
                <w:webHidden/>
              </w:rPr>
              <w:t>57</w:t>
            </w:r>
            <w:r>
              <w:rPr>
                <w:noProof/>
                <w:webHidden/>
              </w:rPr>
              <w:fldChar w:fldCharType="end"/>
            </w:r>
          </w:hyperlink>
        </w:p>
        <w:p w14:paraId="59A80DE5" w14:textId="3DAE54F6"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7" w:history="1">
            <w:r w:rsidRPr="00B6103E">
              <w:rPr>
                <w:rStyle w:val="Hyperlink"/>
                <w:noProof/>
              </w:rPr>
              <w:t>5.2.6.2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_Toc160610257 \h </w:instrText>
            </w:r>
            <w:r>
              <w:rPr>
                <w:noProof/>
                <w:webHidden/>
              </w:rPr>
            </w:r>
            <w:r>
              <w:rPr>
                <w:noProof/>
                <w:webHidden/>
              </w:rPr>
              <w:fldChar w:fldCharType="separate"/>
            </w:r>
            <w:r>
              <w:rPr>
                <w:noProof/>
                <w:webHidden/>
              </w:rPr>
              <w:t>57</w:t>
            </w:r>
            <w:r>
              <w:rPr>
                <w:noProof/>
                <w:webHidden/>
              </w:rPr>
              <w:fldChar w:fldCharType="end"/>
            </w:r>
          </w:hyperlink>
        </w:p>
        <w:p w14:paraId="1F29F5DE" w14:textId="4179F172"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58" w:history="1">
            <w:r w:rsidRPr="00B6103E">
              <w:rPr>
                <w:rStyle w:val="Hyperlink"/>
                <w:noProof/>
              </w:rPr>
              <w:t>5.2.6.3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_Toc160610258 \h </w:instrText>
            </w:r>
            <w:r>
              <w:rPr>
                <w:noProof/>
                <w:webHidden/>
              </w:rPr>
            </w:r>
            <w:r>
              <w:rPr>
                <w:noProof/>
                <w:webHidden/>
              </w:rPr>
              <w:fldChar w:fldCharType="separate"/>
            </w:r>
            <w:r>
              <w:rPr>
                <w:noProof/>
                <w:webHidden/>
              </w:rPr>
              <w:t>57</w:t>
            </w:r>
            <w:r>
              <w:rPr>
                <w:noProof/>
                <w:webHidden/>
              </w:rPr>
              <w:fldChar w:fldCharType="end"/>
            </w:r>
          </w:hyperlink>
        </w:p>
        <w:p w14:paraId="27C9F9CD" w14:textId="6692169F"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59" w:history="1">
            <w:r w:rsidRPr="00B6103E">
              <w:rPr>
                <w:rStyle w:val="Hyperlink"/>
                <w:noProof/>
              </w:rPr>
              <w:t>5.2.7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7 : Façonnage du marché, demande &amp; facilitation du commerce / WS3</w:t>
            </w:r>
            <w:r>
              <w:rPr>
                <w:noProof/>
                <w:webHidden/>
              </w:rPr>
              <w:tab/>
            </w:r>
            <w:r>
              <w:rPr>
                <w:noProof/>
                <w:webHidden/>
              </w:rPr>
              <w:fldChar w:fldCharType="begin"/>
            </w:r>
            <w:r>
              <w:rPr>
                <w:noProof/>
                <w:webHidden/>
              </w:rPr>
              <w:instrText xml:space="preserve"> PAGEREF _Toc160610259 \h </w:instrText>
            </w:r>
            <w:r>
              <w:rPr>
                <w:noProof/>
                <w:webHidden/>
              </w:rPr>
            </w:r>
            <w:r>
              <w:rPr>
                <w:noProof/>
                <w:webHidden/>
              </w:rPr>
              <w:fldChar w:fldCharType="separate"/>
            </w:r>
            <w:r>
              <w:rPr>
                <w:noProof/>
                <w:webHidden/>
              </w:rPr>
              <w:t>57</w:t>
            </w:r>
            <w:r>
              <w:rPr>
                <w:noProof/>
                <w:webHidden/>
              </w:rPr>
              <w:fldChar w:fldCharType="end"/>
            </w:r>
          </w:hyperlink>
        </w:p>
        <w:p w14:paraId="0A80F123" w14:textId="6FF66256"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0" w:history="1">
            <w:r w:rsidRPr="00B6103E">
              <w:rPr>
                <w:rStyle w:val="Hyperlink"/>
                <w:noProof/>
              </w:rPr>
              <w:t>5.2.7.1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_Toc160610260 \h </w:instrText>
            </w:r>
            <w:r>
              <w:rPr>
                <w:noProof/>
                <w:webHidden/>
              </w:rPr>
            </w:r>
            <w:r>
              <w:rPr>
                <w:noProof/>
                <w:webHidden/>
              </w:rPr>
              <w:fldChar w:fldCharType="separate"/>
            </w:r>
            <w:r>
              <w:rPr>
                <w:noProof/>
                <w:webHidden/>
              </w:rPr>
              <w:t>57</w:t>
            </w:r>
            <w:r>
              <w:rPr>
                <w:noProof/>
                <w:webHidden/>
              </w:rPr>
              <w:fldChar w:fldCharType="end"/>
            </w:r>
          </w:hyperlink>
        </w:p>
        <w:p w14:paraId="0FAF8005" w14:textId="5A3235ED"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1" w:history="1">
            <w:r w:rsidRPr="00B6103E">
              <w:rPr>
                <w:rStyle w:val="Hyperlink"/>
                <w:noProof/>
              </w:rPr>
              <w:t>5.2.7.2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_Toc160610261 \h </w:instrText>
            </w:r>
            <w:r>
              <w:rPr>
                <w:noProof/>
                <w:webHidden/>
              </w:rPr>
            </w:r>
            <w:r>
              <w:rPr>
                <w:noProof/>
                <w:webHidden/>
              </w:rPr>
              <w:fldChar w:fldCharType="separate"/>
            </w:r>
            <w:r>
              <w:rPr>
                <w:noProof/>
                <w:webHidden/>
              </w:rPr>
              <w:t>57</w:t>
            </w:r>
            <w:r>
              <w:rPr>
                <w:noProof/>
                <w:webHidden/>
              </w:rPr>
              <w:fldChar w:fldCharType="end"/>
            </w:r>
          </w:hyperlink>
        </w:p>
        <w:p w14:paraId="5ACEEB0C" w14:textId="5B8E6DB7"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2" w:history="1">
            <w:r w:rsidRPr="00B6103E">
              <w:rPr>
                <w:rStyle w:val="Hyperlink"/>
                <w:noProof/>
              </w:rPr>
              <w:t>5.2.7.3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_Toc160610262 \h </w:instrText>
            </w:r>
            <w:r>
              <w:rPr>
                <w:noProof/>
                <w:webHidden/>
              </w:rPr>
            </w:r>
            <w:r>
              <w:rPr>
                <w:noProof/>
                <w:webHidden/>
              </w:rPr>
              <w:fldChar w:fldCharType="separate"/>
            </w:r>
            <w:r>
              <w:rPr>
                <w:noProof/>
                <w:webHidden/>
              </w:rPr>
              <w:t>57</w:t>
            </w:r>
            <w:r>
              <w:rPr>
                <w:noProof/>
                <w:webHidden/>
              </w:rPr>
              <w:fldChar w:fldCharType="end"/>
            </w:r>
          </w:hyperlink>
        </w:p>
        <w:p w14:paraId="4F1C2425" w14:textId="416C994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63" w:history="1">
            <w:r w:rsidRPr="00B6103E">
              <w:rPr>
                <w:rStyle w:val="Hyperlink"/>
                <w:noProof/>
              </w:rPr>
              <w:t>5.2.8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8 : Gestion de la chaîne d’approvisionnement / WS3</w:t>
            </w:r>
            <w:r>
              <w:rPr>
                <w:noProof/>
                <w:webHidden/>
              </w:rPr>
              <w:tab/>
            </w:r>
            <w:r>
              <w:rPr>
                <w:noProof/>
                <w:webHidden/>
              </w:rPr>
              <w:fldChar w:fldCharType="begin"/>
            </w:r>
            <w:r>
              <w:rPr>
                <w:noProof/>
                <w:webHidden/>
              </w:rPr>
              <w:instrText xml:space="preserve"> PAGEREF _Toc160610263 \h </w:instrText>
            </w:r>
            <w:r>
              <w:rPr>
                <w:noProof/>
                <w:webHidden/>
              </w:rPr>
            </w:r>
            <w:r>
              <w:rPr>
                <w:noProof/>
                <w:webHidden/>
              </w:rPr>
              <w:fldChar w:fldCharType="separate"/>
            </w:r>
            <w:r>
              <w:rPr>
                <w:noProof/>
                <w:webHidden/>
              </w:rPr>
              <w:t>57</w:t>
            </w:r>
            <w:r>
              <w:rPr>
                <w:noProof/>
                <w:webHidden/>
              </w:rPr>
              <w:fldChar w:fldCharType="end"/>
            </w:r>
          </w:hyperlink>
        </w:p>
        <w:p w14:paraId="05A371CB" w14:textId="16997652"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4" w:history="1">
            <w:r w:rsidRPr="00B6103E">
              <w:rPr>
                <w:rStyle w:val="Hyperlink"/>
                <w:noProof/>
              </w:rPr>
              <w:t>5.2.8.1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_Toc160610264 \h </w:instrText>
            </w:r>
            <w:r>
              <w:rPr>
                <w:noProof/>
                <w:webHidden/>
              </w:rPr>
            </w:r>
            <w:r>
              <w:rPr>
                <w:noProof/>
                <w:webHidden/>
              </w:rPr>
              <w:fldChar w:fldCharType="separate"/>
            </w:r>
            <w:r>
              <w:rPr>
                <w:noProof/>
                <w:webHidden/>
              </w:rPr>
              <w:t>58</w:t>
            </w:r>
            <w:r>
              <w:rPr>
                <w:noProof/>
                <w:webHidden/>
              </w:rPr>
              <w:fldChar w:fldCharType="end"/>
            </w:r>
          </w:hyperlink>
        </w:p>
        <w:p w14:paraId="6A511DC2" w14:textId="5850156E"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5" w:history="1">
            <w:r w:rsidRPr="00B6103E">
              <w:rPr>
                <w:rStyle w:val="Hyperlink"/>
                <w:noProof/>
              </w:rPr>
              <w:t>5.2.8.2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_Toc160610265 \h </w:instrText>
            </w:r>
            <w:r>
              <w:rPr>
                <w:noProof/>
                <w:webHidden/>
              </w:rPr>
            </w:r>
            <w:r>
              <w:rPr>
                <w:noProof/>
                <w:webHidden/>
              </w:rPr>
              <w:fldChar w:fldCharType="separate"/>
            </w:r>
            <w:r>
              <w:rPr>
                <w:noProof/>
                <w:webHidden/>
              </w:rPr>
              <w:t>58</w:t>
            </w:r>
            <w:r>
              <w:rPr>
                <w:noProof/>
                <w:webHidden/>
              </w:rPr>
              <w:fldChar w:fldCharType="end"/>
            </w:r>
          </w:hyperlink>
        </w:p>
        <w:p w14:paraId="44EF9157" w14:textId="0FA5DC91"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6" w:history="1">
            <w:r w:rsidRPr="00B6103E">
              <w:rPr>
                <w:rStyle w:val="Hyperlink"/>
                <w:noProof/>
              </w:rPr>
              <w:t>5.2.8.3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_Toc160610266 \h </w:instrText>
            </w:r>
            <w:r>
              <w:rPr>
                <w:noProof/>
                <w:webHidden/>
              </w:rPr>
            </w:r>
            <w:r>
              <w:rPr>
                <w:noProof/>
                <w:webHidden/>
              </w:rPr>
              <w:fldChar w:fldCharType="separate"/>
            </w:r>
            <w:r>
              <w:rPr>
                <w:noProof/>
                <w:webHidden/>
              </w:rPr>
              <w:t>58</w:t>
            </w:r>
            <w:r>
              <w:rPr>
                <w:noProof/>
                <w:webHidden/>
              </w:rPr>
              <w:fldChar w:fldCharType="end"/>
            </w:r>
          </w:hyperlink>
        </w:p>
        <w:p w14:paraId="35A785BB" w14:textId="4F31BA1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67" w:history="1">
            <w:r w:rsidRPr="00B6103E">
              <w:rPr>
                <w:rStyle w:val="Hyperlink"/>
                <w:noProof/>
              </w:rPr>
              <w:t>5.2.9</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9 : Recherche &amp; développement (R&amp;D) / WS4</w:t>
            </w:r>
            <w:r>
              <w:rPr>
                <w:noProof/>
                <w:webHidden/>
              </w:rPr>
              <w:tab/>
            </w:r>
            <w:r>
              <w:rPr>
                <w:noProof/>
                <w:webHidden/>
              </w:rPr>
              <w:fldChar w:fldCharType="begin"/>
            </w:r>
            <w:r>
              <w:rPr>
                <w:noProof/>
                <w:webHidden/>
              </w:rPr>
              <w:instrText xml:space="preserve"> PAGEREF _Toc160610267 \h </w:instrText>
            </w:r>
            <w:r>
              <w:rPr>
                <w:noProof/>
                <w:webHidden/>
              </w:rPr>
            </w:r>
            <w:r>
              <w:rPr>
                <w:noProof/>
                <w:webHidden/>
              </w:rPr>
              <w:fldChar w:fldCharType="separate"/>
            </w:r>
            <w:r>
              <w:rPr>
                <w:noProof/>
                <w:webHidden/>
              </w:rPr>
              <w:t>58</w:t>
            </w:r>
            <w:r>
              <w:rPr>
                <w:noProof/>
                <w:webHidden/>
              </w:rPr>
              <w:fldChar w:fldCharType="end"/>
            </w:r>
          </w:hyperlink>
        </w:p>
        <w:p w14:paraId="76C22994" w14:textId="2BB4793C"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8" w:history="1">
            <w:r w:rsidRPr="00B6103E">
              <w:rPr>
                <w:rStyle w:val="Hyperlink"/>
                <w:noProof/>
              </w:rPr>
              <w:t>5.2.9.1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_Toc160610268 \h </w:instrText>
            </w:r>
            <w:r>
              <w:rPr>
                <w:noProof/>
                <w:webHidden/>
              </w:rPr>
            </w:r>
            <w:r>
              <w:rPr>
                <w:noProof/>
                <w:webHidden/>
              </w:rPr>
              <w:fldChar w:fldCharType="separate"/>
            </w:r>
            <w:r>
              <w:rPr>
                <w:noProof/>
                <w:webHidden/>
              </w:rPr>
              <w:t>58</w:t>
            </w:r>
            <w:r>
              <w:rPr>
                <w:noProof/>
                <w:webHidden/>
              </w:rPr>
              <w:fldChar w:fldCharType="end"/>
            </w:r>
          </w:hyperlink>
        </w:p>
        <w:p w14:paraId="11C1FA05" w14:textId="0B45A3A7"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69" w:history="1">
            <w:r w:rsidRPr="00B6103E">
              <w:rPr>
                <w:rStyle w:val="Hyperlink"/>
                <w:noProof/>
              </w:rPr>
              <w:t>5.2.9.2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_Toc160610269 \h </w:instrText>
            </w:r>
            <w:r>
              <w:rPr>
                <w:noProof/>
                <w:webHidden/>
              </w:rPr>
            </w:r>
            <w:r>
              <w:rPr>
                <w:noProof/>
                <w:webHidden/>
              </w:rPr>
              <w:fldChar w:fldCharType="separate"/>
            </w:r>
            <w:r>
              <w:rPr>
                <w:noProof/>
                <w:webHidden/>
              </w:rPr>
              <w:t>58</w:t>
            </w:r>
            <w:r>
              <w:rPr>
                <w:noProof/>
                <w:webHidden/>
              </w:rPr>
              <w:fldChar w:fldCharType="end"/>
            </w:r>
          </w:hyperlink>
        </w:p>
        <w:p w14:paraId="59A150FB" w14:textId="357E41DE" w:rsidR="00300708" w:rsidRDefault="00300708">
          <w:pPr>
            <w:pStyle w:val="TOC4"/>
            <w:rPr>
              <w:rFonts w:asciiTheme="minorHAnsi" w:eastAsiaTheme="minorEastAsia" w:hAnsiTheme="minorHAnsi"/>
              <w:noProof/>
              <w:color w:val="auto"/>
              <w:kern w:val="2"/>
              <w:sz w:val="24"/>
              <w:szCs w:val="24"/>
              <w:lang w:val="fr-BE" w:eastAsia="fr-BE"/>
              <w14:ligatures w14:val="standardContextual"/>
            </w:rPr>
          </w:pPr>
          <w:hyperlink w:anchor="_Toc160610270" w:history="1">
            <w:r w:rsidRPr="00B6103E">
              <w:rPr>
                <w:rStyle w:val="Hyperlink"/>
                <w:noProof/>
              </w:rPr>
              <w:t>5.2.9.3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_Toc160610270 \h </w:instrText>
            </w:r>
            <w:r>
              <w:rPr>
                <w:noProof/>
                <w:webHidden/>
              </w:rPr>
            </w:r>
            <w:r>
              <w:rPr>
                <w:noProof/>
                <w:webHidden/>
              </w:rPr>
              <w:fldChar w:fldCharType="separate"/>
            </w:r>
            <w:r>
              <w:rPr>
                <w:noProof/>
                <w:webHidden/>
              </w:rPr>
              <w:t>58</w:t>
            </w:r>
            <w:r>
              <w:rPr>
                <w:noProof/>
                <w:webHidden/>
              </w:rPr>
              <w:fldChar w:fldCharType="end"/>
            </w:r>
          </w:hyperlink>
        </w:p>
        <w:p w14:paraId="1CAC8BBF" w14:textId="6E65D58A"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71" w:history="1">
            <w:r w:rsidRPr="00B6103E">
              <w:rPr>
                <w:rStyle w:val="Hyperlink"/>
                <w:noProof/>
              </w:rPr>
              <w:t>5.2.10</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10 : Enseignement supérieur et renforcement des compétences / WS4</w:t>
            </w:r>
            <w:r>
              <w:rPr>
                <w:noProof/>
                <w:webHidden/>
              </w:rPr>
              <w:tab/>
            </w:r>
            <w:r>
              <w:rPr>
                <w:noProof/>
                <w:webHidden/>
              </w:rPr>
              <w:fldChar w:fldCharType="begin"/>
            </w:r>
            <w:r>
              <w:rPr>
                <w:noProof/>
                <w:webHidden/>
              </w:rPr>
              <w:instrText xml:space="preserve"> PAGEREF _Toc160610271 \h </w:instrText>
            </w:r>
            <w:r>
              <w:rPr>
                <w:noProof/>
                <w:webHidden/>
              </w:rPr>
            </w:r>
            <w:r>
              <w:rPr>
                <w:noProof/>
                <w:webHidden/>
              </w:rPr>
              <w:fldChar w:fldCharType="separate"/>
            </w:r>
            <w:r>
              <w:rPr>
                <w:noProof/>
                <w:webHidden/>
              </w:rPr>
              <w:t>58</w:t>
            </w:r>
            <w:r>
              <w:rPr>
                <w:noProof/>
                <w:webHidden/>
              </w:rPr>
              <w:fldChar w:fldCharType="end"/>
            </w:r>
          </w:hyperlink>
        </w:p>
        <w:p w14:paraId="2279DAB5" w14:textId="2C483CBE"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2" w:history="1">
            <w:r w:rsidRPr="00B6103E">
              <w:rPr>
                <w:rStyle w:val="Hyperlink"/>
                <w:noProof/>
              </w:rPr>
              <w:t>5.2.10.1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_Toc160610272 \h </w:instrText>
            </w:r>
            <w:r>
              <w:rPr>
                <w:noProof/>
                <w:webHidden/>
              </w:rPr>
            </w:r>
            <w:r>
              <w:rPr>
                <w:noProof/>
                <w:webHidden/>
              </w:rPr>
              <w:fldChar w:fldCharType="separate"/>
            </w:r>
            <w:r>
              <w:rPr>
                <w:noProof/>
                <w:webHidden/>
              </w:rPr>
              <w:t>58</w:t>
            </w:r>
            <w:r>
              <w:rPr>
                <w:noProof/>
                <w:webHidden/>
              </w:rPr>
              <w:fldChar w:fldCharType="end"/>
            </w:r>
          </w:hyperlink>
        </w:p>
        <w:p w14:paraId="37C80DB3" w14:textId="3EF8EA6C"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3" w:history="1">
            <w:r w:rsidRPr="00B6103E">
              <w:rPr>
                <w:rStyle w:val="Hyperlink"/>
                <w:noProof/>
              </w:rPr>
              <w:t>5.2.10.2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_Toc160610273 \h </w:instrText>
            </w:r>
            <w:r>
              <w:rPr>
                <w:noProof/>
                <w:webHidden/>
              </w:rPr>
            </w:r>
            <w:r>
              <w:rPr>
                <w:noProof/>
                <w:webHidden/>
              </w:rPr>
              <w:fldChar w:fldCharType="separate"/>
            </w:r>
            <w:r>
              <w:rPr>
                <w:noProof/>
                <w:webHidden/>
              </w:rPr>
              <w:t>59</w:t>
            </w:r>
            <w:r>
              <w:rPr>
                <w:noProof/>
                <w:webHidden/>
              </w:rPr>
              <w:fldChar w:fldCharType="end"/>
            </w:r>
          </w:hyperlink>
        </w:p>
        <w:p w14:paraId="10C24B7F" w14:textId="666237F2"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4" w:history="1">
            <w:r w:rsidRPr="00B6103E">
              <w:rPr>
                <w:rStyle w:val="Hyperlink"/>
                <w:noProof/>
              </w:rPr>
              <w:t>5.2.10.3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_Toc160610274 \h </w:instrText>
            </w:r>
            <w:r>
              <w:rPr>
                <w:noProof/>
                <w:webHidden/>
              </w:rPr>
            </w:r>
            <w:r>
              <w:rPr>
                <w:noProof/>
                <w:webHidden/>
              </w:rPr>
              <w:fldChar w:fldCharType="separate"/>
            </w:r>
            <w:r>
              <w:rPr>
                <w:noProof/>
                <w:webHidden/>
              </w:rPr>
              <w:t>59</w:t>
            </w:r>
            <w:r>
              <w:rPr>
                <w:noProof/>
                <w:webHidden/>
              </w:rPr>
              <w:fldChar w:fldCharType="end"/>
            </w:r>
          </w:hyperlink>
        </w:p>
        <w:p w14:paraId="08D6F4D9" w14:textId="77FA3E0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75" w:history="1">
            <w:r w:rsidRPr="00B6103E">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11 : Accès au financement et partenariat / WS5</w:t>
            </w:r>
            <w:r>
              <w:rPr>
                <w:noProof/>
                <w:webHidden/>
              </w:rPr>
              <w:tab/>
            </w:r>
            <w:r>
              <w:rPr>
                <w:noProof/>
                <w:webHidden/>
              </w:rPr>
              <w:fldChar w:fldCharType="begin"/>
            </w:r>
            <w:r>
              <w:rPr>
                <w:noProof/>
                <w:webHidden/>
              </w:rPr>
              <w:instrText xml:space="preserve"> PAGEREF _Toc160610275 \h </w:instrText>
            </w:r>
            <w:r>
              <w:rPr>
                <w:noProof/>
                <w:webHidden/>
              </w:rPr>
            </w:r>
            <w:r>
              <w:rPr>
                <w:noProof/>
                <w:webHidden/>
              </w:rPr>
              <w:fldChar w:fldCharType="separate"/>
            </w:r>
            <w:r>
              <w:rPr>
                <w:noProof/>
                <w:webHidden/>
              </w:rPr>
              <w:t>59</w:t>
            </w:r>
            <w:r>
              <w:rPr>
                <w:noProof/>
                <w:webHidden/>
              </w:rPr>
              <w:fldChar w:fldCharType="end"/>
            </w:r>
          </w:hyperlink>
        </w:p>
        <w:p w14:paraId="397BD4AA" w14:textId="2CAA09AD"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6" w:history="1">
            <w:r w:rsidRPr="00B6103E">
              <w:rPr>
                <w:rStyle w:val="Hyperlink"/>
                <w:noProof/>
              </w:rPr>
              <w:t>5.2.11.1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_Toc160610276 \h </w:instrText>
            </w:r>
            <w:r>
              <w:rPr>
                <w:noProof/>
                <w:webHidden/>
              </w:rPr>
            </w:r>
            <w:r>
              <w:rPr>
                <w:noProof/>
                <w:webHidden/>
              </w:rPr>
              <w:fldChar w:fldCharType="separate"/>
            </w:r>
            <w:r>
              <w:rPr>
                <w:noProof/>
                <w:webHidden/>
              </w:rPr>
              <w:t>59</w:t>
            </w:r>
            <w:r>
              <w:rPr>
                <w:noProof/>
                <w:webHidden/>
              </w:rPr>
              <w:fldChar w:fldCharType="end"/>
            </w:r>
          </w:hyperlink>
        </w:p>
        <w:p w14:paraId="5E9A6190" w14:textId="4412BF07"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7" w:history="1">
            <w:r w:rsidRPr="00B6103E">
              <w:rPr>
                <w:rStyle w:val="Hyperlink"/>
                <w:noProof/>
              </w:rPr>
              <w:t>5.2.11.2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_Toc160610277 \h </w:instrText>
            </w:r>
            <w:r>
              <w:rPr>
                <w:noProof/>
                <w:webHidden/>
              </w:rPr>
            </w:r>
            <w:r>
              <w:rPr>
                <w:noProof/>
                <w:webHidden/>
              </w:rPr>
              <w:fldChar w:fldCharType="separate"/>
            </w:r>
            <w:r>
              <w:rPr>
                <w:noProof/>
                <w:webHidden/>
              </w:rPr>
              <w:t>59</w:t>
            </w:r>
            <w:r>
              <w:rPr>
                <w:noProof/>
                <w:webHidden/>
              </w:rPr>
              <w:fldChar w:fldCharType="end"/>
            </w:r>
          </w:hyperlink>
        </w:p>
        <w:p w14:paraId="639DA90D" w14:textId="35F4989D"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78" w:history="1">
            <w:r w:rsidRPr="00B6103E">
              <w:rPr>
                <w:rStyle w:val="Hyperlink"/>
                <w:noProof/>
              </w:rPr>
              <w:t>5.2.11.3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_Toc160610278 \h </w:instrText>
            </w:r>
            <w:r>
              <w:rPr>
                <w:noProof/>
                <w:webHidden/>
              </w:rPr>
            </w:r>
            <w:r>
              <w:rPr>
                <w:noProof/>
                <w:webHidden/>
              </w:rPr>
              <w:fldChar w:fldCharType="separate"/>
            </w:r>
            <w:r>
              <w:rPr>
                <w:noProof/>
                <w:webHidden/>
              </w:rPr>
              <w:t>59</w:t>
            </w:r>
            <w:r>
              <w:rPr>
                <w:noProof/>
                <w:webHidden/>
              </w:rPr>
              <w:fldChar w:fldCharType="end"/>
            </w:r>
          </w:hyperlink>
        </w:p>
        <w:p w14:paraId="326B4C76" w14:textId="35DF02B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79" w:history="1">
            <w:r w:rsidRPr="00B6103E">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12 : Industrialisation / WS6</w:t>
            </w:r>
            <w:r>
              <w:rPr>
                <w:noProof/>
                <w:webHidden/>
              </w:rPr>
              <w:tab/>
            </w:r>
            <w:r>
              <w:rPr>
                <w:noProof/>
                <w:webHidden/>
              </w:rPr>
              <w:fldChar w:fldCharType="begin"/>
            </w:r>
            <w:r>
              <w:rPr>
                <w:noProof/>
                <w:webHidden/>
              </w:rPr>
              <w:instrText xml:space="preserve"> PAGEREF _Toc160610279 \h </w:instrText>
            </w:r>
            <w:r>
              <w:rPr>
                <w:noProof/>
                <w:webHidden/>
              </w:rPr>
            </w:r>
            <w:r>
              <w:rPr>
                <w:noProof/>
                <w:webHidden/>
              </w:rPr>
              <w:fldChar w:fldCharType="separate"/>
            </w:r>
            <w:r>
              <w:rPr>
                <w:noProof/>
                <w:webHidden/>
              </w:rPr>
              <w:t>59</w:t>
            </w:r>
            <w:r>
              <w:rPr>
                <w:noProof/>
                <w:webHidden/>
              </w:rPr>
              <w:fldChar w:fldCharType="end"/>
            </w:r>
          </w:hyperlink>
        </w:p>
        <w:p w14:paraId="5961248E" w14:textId="6A9107C5"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0" w:history="1">
            <w:r w:rsidRPr="00B6103E">
              <w:rPr>
                <w:rStyle w:val="Hyperlink"/>
                <w:noProof/>
              </w:rPr>
              <w:t>5.2.12.1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_Toc160610280 \h </w:instrText>
            </w:r>
            <w:r>
              <w:rPr>
                <w:noProof/>
                <w:webHidden/>
              </w:rPr>
            </w:r>
            <w:r>
              <w:rPr>
                <w:noProof/>
                <w:webHidden/>
              </w:rPr>
              <w:fldChar w:fldCharType="separate"/>
            </w:r>
            <w:r>
              <w:rPr>
                <w:noProof/>
                <w:webHidden/>
              </w:rPr>
              <w:t>59</w:t>
            </w:r>
            <w:r>
              <w:rPr>
                <w:noProof/>
                <w:webHidden/>
              </w:rPr>
              <w:fldChar w:fldCharType="end"/>
            </w:r>
          </w:hyperlink>
        </w:p>
        <w:p w14:paraId="7EC445AE" w14:textId="5B997EB3"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1" w:history="1">
            <w:r w:rsidRPr="00B6103E">
              <w:rPr>
                <w:rStyle w:val="Hyperlink"/>
                <w:noProof/>
              </w:rPr>
              <w:t>5.2.12.2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_Toc160610281 \h </w:instrText>
            </w:r>
            <w:r>
              <w:rPr>
                <w:noProof/>
                <w:webHidden/>
              </w:rPr>
            </w:r>
            <w:r>
              <w:rPr>
                <w:noProof/>
                <w:webHidden/>
              </w:rPr>
              <w:fldChar w:fldCharType="separate"/>
            </w:r>
            <w:r>
              <w:rPr>
                <w:noProof/>
                <w:webHidden/>
              </w:rPr>
              <w:t>60</w:t>
            </w:r>
            <w:r>
              <w:rPr>
                <w:noProof/>
                <w:webHidden/>
              </w:rPr>
              <w:fldChar w:fldCharType="end"/>
            </w:r>
          </w:hyperlink>
        </w:p>
        <w:p w14:paraId="4AB22C35" w14:textId="1D66C4EB"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2" w:history="1">
            <w:r w:rsidRPr="00B6103E">
              <w:rPr>
                <w:rStyle w:val="Hyperlink"/>
                <w:noProof/>
              </w:rPr>
              <w:t>5.2.12.3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_Toc160610282 \h </w:instrText>
            </w:r>
            <w:r>
              <w:rPr>
                <w:noProof/>
                <w:webHidden/>
              </w:rPr>
            </w:r>
            <w:r>
              <w:rPr>
                <w:noProof/>
                <w:webHidden/>
              </w:rPr>
              <w:fldChar w:fldCharType="separate"/>
            </w:r>
            <w:r>
              <w:rPr>
                <w:noProof/>
                <w:webHidden/>
              </w:rPr>
              <w:t>60</w:t>
            </w:r>
            <w:r>
              <w:rPr>
                <w:noProof/>
                <w:webHidden/>
              </w:rPr>
              <w:fldChar w:fldCharType="end"/>
            </w:r>
          </w:hyperlink>
        </w:p>
        <w:p w14:paraId="3056BACE" w14:textId="26DF85E2"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83" w:history="1">
            <w:r w:rsidRPr="00B6103E">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13 : Développement et mobilisation du secteur privé / WS6</w:t>
            </w:r>
            <w:r>
              <w:rPr>
                <w:noProof/>
                <w:webHidden/>
              </w:rPr>
              <w:tab/>
            </w:r>
            <w:r>
              <w:rPr>
                <w:noProof/>
                <w:webHidden/>
              </w:rPr>
              <w:fldChar w:fldCharType="begin"/>
            </w:r>
            <w:r>
              <w:rPr>
                <w:noProof/>
                <w:webHidden/>
              </w:rPr>
              <w:instrText xml:space="preserve"> PAGEREF _Toc160610283 \h </w:instrText>
            </w:r>
            <w:r>
              <w:rPr>
                <w:noProof/>
                <w:webHidden/>
              </w:rPr>
            </w:r>
            <w:r>
              <w:rPr>
                <w:noProof/>
                <w:webHidden/>
              </w:rPr>
              <w:fldChar w:fldCharType="separate"/>
            </w:r>
            <w:r>
              <w:rPr>
                <w:noProof/>
                <w:webHidden/>
              </w:rPr>
              <w:t>60</w:t>
            </w:r>
            <w:r>
              <w:rPr>
                <w:noProof/>
                <w:webHidden/>
              </w:rPr>
              <w:fldChar w:fldCharType="end"/>
            </w:r>
          </w:hyperlink>
        </w:p>
        <w:p w14:paraId="0A494A9B" w14:textId="73F15427"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4" w:history="1">
            <w:r w:rsidRPr="00B6103E">
              <w:rPr>
                <w:rStyle w:val="Hyperlink"/>
                <w:noProof/>
              </w:rPr>
              <w:t>5.2.13.1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_Toc160610284 \h </w:instrText>
            </w:r>
            <w:r>
              <w:rPr>
                <w:noProof/>
                <w:webHidden/>
              </w:rPr>
            </w:r>
            <w:r>
              <w:rPr>
                <w:noProof/>
                <w:webHidden/>
              </w:rPr>
              <w:fldChar w:fldCharType="separate"/>
            </w:r>
            <w:r>
              <w:rPr>
                <w:noProof/>
                <w:webHidden/>
              </w:rPr>
              <w:t>60</w:t>
            </w:r>
            <w:r>
              <w:rPr>
                <w:noProof/>
                <w:webHidden/>
              </w:rPr>
              <w:fldChar w:fldCharType="end"/>
            </w:r>
          </w:hyperlink>
        </w:p>
        <w:p w14:paraId="38BFC0A6" w14:textId="7BDA0AAD"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5" w:history="1">
            <w:r w:rsidRPr="00B6103E">
              <w:rPr>
                <w:rStyle w:val="Hyperlink"/>
                <w:noProof/>
              </w:rPr>
              <w:t>5.2.13.2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_Toc160610285 \h </w:instrText>
            </w:r>
            <w:r>
              <w:rPr>
                <w:noProof/>
                <w:webHidden/>
              </w:rPr>
            </w:r>
            <w:r>
              <w:rPr>
                <w:noProof/>
                <w:webHidden/>
              </w:rPr>
              <w:fldChar w:fldCharType="separate"/>
            </w:r>
            <w:r>
              <w:rPr>
                <w:noProof/>
                <w:webHidden/>
              </w:rPr>
              <w:t>60</w:t>
            </w:r>
            <w:r>
              <w:rPr>
                <w:noProof/>
                <w:webHidden/>
              </w:rPr>
              <w:fldChar w:fldCharType="end"/>
            </w:r>
          </w:hyperlink>
        </w:p>
        <w:p w14:paraId="2F4E7DD1" w14:textId="51B13FB8"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6" w:history="1">
            <w:r w:rsidRPr="00B6103E">
              <w:rPr>
                <w:rStyle w:val="Hyperlink"/>
                <w:noProof/>
              </w:rPr>
              <w:t>5.2.13.3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_Toc160610286 \h </w:instrText>
            </w:r>
            <w:r>
              <w:rPr>
                <w:noProof/>
                <w:webHidden/>
              </w:rPr>
            </w:r>
            <w:r>
              <w:rPr>
                <w:noProof/>
                <w:webHidden/>
              </w:rPr>
              <w:fldChar w:fldCharType="separate"/>
            </w:r>
            <w:r>
              <w:rPr>
                <w:noProof/>
                <w:webHidden/>
              </w:rPr>
              <w:t>60</w:t>
            </w:r>
            <w:r>
              <w:rPr>
                <w:noProof/>
                <w:webHidden/>
              </w:rPr>
              <w:fldChar w:fldCharType="end"/>
            </w:r>
          </w:hyperlink>
        </w:p>
        <w:p w14:paraId="713D88C6" w14:textId="04DC1868"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87" w:history="1">
            <w:r w:rsidRPr="00B6103E">
              <w:rPr>
                <w:rStyle w:val="Hyperlink"/>
                <w:noProof/>
              </w:rPr>
              <w:t>5.2.14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14 : Monitoring &amp; Évaluation / Transversal</w:t>
            </w:r>
            <w:r>
              <w:rPr>
                <w:noProof/>
                <w:webHidden/>
              </w:rPr>
              <w:tab/>
            </w:r>
            <w:r>
              <w:rPr>
                <w:noProof/>
                <w:webHidden/>
              </w:rPr>
              <w:fldChar w:fldCharType="begin"/>
            </w:r>
            <w:r>
              <w:rPr>
                <w:noProof/>
                <w:webHidden/>
              </w:rPr>
              <w:instrText xml:space="preserve"> PAGEREF _Toc160610287 \h </w:instrText>
            </w:r>
            <w:r>
              <w:rPr>
                <w:noProof/>
                <w:webHidden/>
              </w:rPr>
            </w:r>
            <w:r>
              <w:rPr>
                <w:noProof/>
                <w:webHidden/>
              </w:rPr>
              <w:fldChar w:fldCharType="separate"/>
            </w:r>
            <w:r>
              <w:rPr>
                <w:noProof/>
                <w:webHidden/>
              </w:rPr>
              <w:t>60</w:t>
            </w:r>
            <w:r>
              <w:rPr>
                <w:noProof/>
                <w:webHidden/>
              </w:rPr>
              <w:fldChar w:fldCharType="end"/>
            </w:r>
          </w:hyperlink>
        </w:p>
        <w:p w14:paraId="60B50991" w14:textId="0313792D"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8" w:history="1">
            <w:r w:rsidRPr="00B6103E">
              <w:rPr>
                <w:rStyle w:val="Hyperlink"/>
                <w:noProof/>
              </w:rPr>
              <w:t>5.2.14.1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_Toc160610288 \h </w:instrText>
            </w:r>
            <w:r>
              <w:rPr>
                <w:noProof/>
                <w:webHidden/>
              </w:rPr>
            </w:r>
            <w:r>
              <w:rPr>
                <w:noProof/>
                <w:webHidden/>
              </w:rPr>
              <w:fldChar w:fldCharType="separate"/>
            </w:r>
            <w:r>
              <w:rPr>
                <w:noProof/>
                <w:webHidden/>
              </w:rPr>
              <w:t>60</w:t>
            </w:r>
            <w:r>
              <w:rPr>
                <w:noProof/>
                <w:webHidden/>
              </w:rPr>
              <w:fldChar w:fldCharType="end"/>
            </w:r>
          </w:hyperlink>
        </w:p>
        <w:p w14:paraId="1C3CE069" w14:textId="507C84D6"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89" w:history="1">
            <w:r w:rsidRPr="00B6103E">
              <w:rPr>
                <w:rStyle w:val="Hyperlink"/>
                <w:noProof/>
              </w:rPr>
              <w:t>5.2.14.2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_Toc160610289 \h </w:instrText>
            </w:r>
            <w:r>
              <w:rPr>
                <w:noProof/>
                <w:webHidden/>
              </w:rPr>
            </w:r>
            <w:r>
              <w:rPr>
                <w:noProof/>
                <w:webHidden/>
              </w:rPr>
              <w:fldChar w:fldCharType="separate"/>
            </w:r>
            <w:r>
              <w:rPr>
                <w:noProof/>
                <w:webHidden/>
              </w:rPr>
              <w:t>60</w:t>
            </w:r>
            <w:r>
              <w:rPr>
                <w:noProof/>
                <w:webHidden/>
              </w:rPr>
              <w:fldChar w:fldCharType="end"/>
            </w:r>
          </w:hyperlink>
        </w:p>
        <w:p w14:paraId="6679E2BA" w14:textId="73935788"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90" w:history="1">
            <w:r w:rsidRPr="00B6103E">
              <w:rPr>
                <w:rStyle w:val="Hyperlink"/>
                <w:noProof/>
              </w:rPr>
              <w:t>5.2.14.3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_Toc160610290 \h </w:instrText>
            </w:r>
            <w:r>
              <w:rPr>
                <w:noProof/>
                <w:webHidden/>
              </w:rPr>
            </w:r>
            <w:r>
              <w:rPr>
                <w:noProof/>
                <w:webHidden/>
              </w:rPr>
              <w:fldChar w:fldCharType="separate"/>
            </w:r>
            <w:r>
              <w:rPr>
                <w:noProof/>
                <w:webHidden/>
              </w:rPr>
              <w:t>61</w:t>
            </w:r>
            <w:r>
              <w:rPr>
                <w:noProof/>
                <w:webHidden/>
              </w:rPr>
              <w:fldChar w:fldCharType="end"/>
            </w:r>
          </w:hyperlink>
        </w:p>
        <w:p w14:paraId="6CFBD774" w14:textId="6BD8069C"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91" w:history="1">
            <w:r w:rsidRPr="00B6103E">
              <w:rPr>
                <w:rStyle w:val="Hyperlink"/>
                <w:noProof/>
              </w:rPr>
              <w:t>5.2.15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15 : Soutien managérial, institutionnel et auxiliaire / Transversal</w:t>
            </w:r>
            <w:r>
              <w:rPr>
                <w:noProof/>
                <w:webHidden/>
              </w:rPr>
              <w:tab/>
            </w:r>
            <w:r>
              <w:rPr>
                <w:noProof/>
                <w:webHidden/>
              </w:rPr>
              <w:fldChar w:fldCharType="begin"/>
            </w:r>
            <w:r>
              <w:rPr>
                <w:noProof/>
                <w:webHidden/>
              </w:rPr>
              <w:instrText xml:space="preserve"> PAGEREF _Toc160610291 \h </w:instrText>
            </w:r>
            <w:r>
              <w:rPr>
                <w:noProof/>
                <w:webHidden/>
              </w:rPr>
            </w:r>
            <w:r>
              <w:rPr>
                <w:noProof/>
                <w:webHidden/>
              </w:rPr>
              <w:fldChar w:fldCharType="separate"/>
            </w:r>
            <w:r>
              <w:rPr>
                <w:noProof/>
                <w:webHidden/>
              </w:rPr>
              <w:t>61</w:t>
            </w:r>
            <w:r>
              <w:rPr>
                <w:noProof/>
                <w:webHidden/>
              </w:rPr>
              <w:fldChar w:fldCharType="end"/>
            </w:r>
          </w:hyperlink>
        </w:p>
        <w:p w14:paraId="14856DD6" w14:textId="1813B1D7"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92" w:history="1">
            <w:r w:rsidRPr="00B6103E">
              <w:rPr>
                <w:rStyle w:val="Hyperlink"/>
                <w:noProof/>
              </w:rPr>
              <w:t>5.2.15.1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Niveau de formation requis</w:t>
            </w:r>
            <w:r>
              <w:rPr>
                <w:noProof/>
                <w:webHidden/>
              </w:rPr>
              <w:tab/>
            </w:r>
            <w:r>
              <w:rPr>
                <w:noProof/>
                <w:webHidden/>
              </w:rPr>
              <w:fldChar w:fldCharType="begin"/>
            </w:r>
            <w:r>
              <w:rPr>
                <w:noProof/>
                <w:webHidden/>
              </w:rPr>
              <w:instrText xml:space="preserve"> PAGEREF _Toc160610292 \h </w:instrText>
            </w:r>
            <w:r>
              <w:rPr>
                <w:noProof/>
                <w:webHidden/>
              </w:rPr>
            </w:r>
            <w:r>
              <w:rPr>
                <w:noProof/>
                <w:webHidden/>
              </w:rPr>
              <w:fldChar w:fldCharType="separate"/>
            </w:r>
            <w:r>
              <w:rPr>
                <w:noProof/>
                <w:webHidden/>
              </w:rPr>
              <w:t>61</w:t>
            </w:r>
            <w:r>
              <w:rPr>
                <w:noProof/>
                <w:webHidden/>
              </w:rPr>
              <w:fldChar w:fldCharType="end"/>
            </w:r>
          </w:hyperlink>
        </w:p>
        <w:p w14:paraId="5DD36569" w14:textId="405F866F"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93" w:history="1">
            <w:r w:rsidRPr="00B6103E">
              <w:rPr>
                <w:rStyle w:val="Hyperlink"/>
                <w:noProof/>
              </w:rPr>
              <w:t>5.2.15.2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Expérience professionnelle</w:t>
            </w:r>
            <w:r>
              <w:rPr>
                <w:noProof/>
                <w:webHidden/>
              </w:rPr>
              <w:tab/>
            </w:r>
            <w:r>
              <w:rPr>
                <w:noProof/>
                <w:webHidden/>
              </w:rPr>
              <w:fldChar w:fldCharType="begin"/>
            </w:r>
            <w:r>
              <w:rPr>
                <w:noProof/>
                <w:webHidden/>
              </w:rPr>
              <w:instrText xml:space="preserve"> PAGEREF _Toc160610293 \h </w:instrText>
            </w:r>
            <w:r>
              <w:rPr>
                <w:noProof/>
                <w:webHidden/>
              </w:rPr>
            </w:r>
            <w:r>
              <w:rPr>
                <w:noProof/>
                <w:webHidden/>
              </w:rPr>
              <w:fldChar w:fldCharType="separate"/>
            </w:r>
            <w:r>
              <w:rPr>
                <w:noProof/>
                <w:webHidden/>
              </w:rPr>
              <w:t>61</w:t>
            </w:r>
            <w:r>
              <w:rPr>
                <w:noProof/>
                <w:webHidden/>
              </w:rPr>
              <w:fldChar w:fldCharType="end"/>
            </w:r>
          </w:hyperlink>
        </w:p>
        <w:p w14:paraId="11E64F9A" w14:textId="4DD1B69F" w:rsidR="00300708" w:rsidRDefault="00300708">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294" w:history="1">
            <w:r w:rsidRPr="00B6103E">
              <w:rPr>
                <w:rStyle w:val="Hyperlink"/>
                <w:noProof/>
              </w:rPr>
              <w:t>5.2.15.3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Connaissances et compétences</w:t>
            </w:r>
            <w:r>
              <w:rPr>
                <w:noProof/>
                <w:webHidden/>
              </w:rPr>
              <w:tab/>
            </w:r>
            <w:r>
              <w:rPr>
                <w:noProof/>
                <w:webHidden/>
              </w:rPr>
              <w:fldChar w:fldCharType="begin"/>
            </w:r>
            <w:r>
              <w:rPr>
                <w:noProof/>
                <w:webHidden/>
              </w:rPr>
              <w:instrText xml:space="preserve"> PAGEREF _Toc160610294 \h </w:instrText>
            </w:r>
            <w:r>
              <w:rPr>
                <w:noProof/>
                <w:webHidden/>
              </w:rPr>
            </w:r>
            <w:r>
              <w:rPr>
                <w:noProof/>
                <w:webHidden/>
              </w:rPr>
              <w:fldChar w:fldCharType="separate"/>
            </w:r>
            <w:r>
              <w:rPr>
                <w:noProof/>
                <w:webHidden/>
              </w:rPr>
              <w:t>61</w:t>
            </w:r>
            <w:r>
              <w:rPr>
                <w:noProof/>
                <w:webHidden/>
              </w:rPr>
              <w:fldChar w:fldCharType="end"/>
            </w:r>
          </w:hyperlink>
        </w:p>
        <w:p w14:paraId="4B889459" w14:textId="69EC7591" w:rsidR="00300708" w:rsidRDefault="00300708">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295" w:history="1">
            <w:r w:rsidRPr="00B6103E">
              <w:rPr>
                <w:rStyle w:val="Hyperlink"/>
                <w:noProof/>
              </w:rPr>
              <w:t>6</w:t>
            </w:r>
            <w:r>
              <w:rPr>
                <w:rFonts w:asciiTheme="minorHAnsi" w:eastAsiaTheme="minorEastAsia" w:hAnsiTheme="minorHAnsi"/>
                <w:b w:val="0"/>
                <w:noProof/>
                <w:color w:val="auto"/>
                <w:kern w:val="2"/>
                <w:sz w:val="24"/>
                <w:szCs w:val="24"/>
                <w:lang w:val="fr-BE" w:eastAsia="fr-BE"/>
                <w14:ligatures w14:val="standardContextual"/>
              </w:rPr>
              <w:tab/>
            </w:r>
            <w:r w:rsidRPr="00B6103E">
              <w:rPr>
                <w:rStyle w:val="Hyperlink"/>
                <w:noProof/>
              </w:rPr>
              <w:t>Formulaires</w:t>
            </w:r>
            <w:r>
              <w:rPr>
                <w:noProof/>
                <w:webHidden/>
              </w:rPr>
              <w:tab/>
            </w:r>
            <w:r>
              <w:rPr>
                <w:noProof/>
                <w:webHidden/>
              </w:rPr>
              <w:fldChar w:fldCharType="begin"/>
            </w:r>
            <w:r>
              <w:rPr>
                <w:noProof/>
                <w:webHidden/>
              </w:rPr>
              <w:instrText xml:space="preserve"> PAGEREF _Toc160610295 \h </w:instrText>
            </w:r>
            <w:r>
              <w:rPr>
                <w:noProof/>
                <w:webHidden/>
              </w:rPr>
            </w:r>
            <w:r>
              <w:rPr>
                <w:noProof/>
                <w:webHidden/>
              </w:rPr>
              <w:fldChar w:fldCharType="separate"/>
            </w:r>
            <w:r>
              <w:rPr>
                <w:noProof/>
                <w:webHidden/>
              </w:rPr>
              <w:t>62</w:t>
            </w:r>
            <w:r>
              <w:rPr>
                <w:noProof/>
                <w:webHidden/>
              </w:rPr>
              <w:fldChar w:fldCharType="end"/>
            </w:r>
          </w:hyperlink>
        </w:p>
        <w:p w14:paraId="51AFE629" w14:textId="284764A9"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96" w:history="1">
            <w:r w:rsidRPr="00B6103E">
              <w:rPr>
                <w:rStyle w:val="Hyperlink"/>
                <w:noProof/>
              </w:rPr>
              <w:t>6.1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Identification du soumissionnaire</w:t>
            </w:r>
            <w:r>
              <w:rPr>
                <w:noProof/>
                <w:webHidden/>
              </w:rPr>
              <w:tab/>
            </w:r>
            <w:r>
              <w:rPr>
                <w:noProof/>
                <w:webHidden/>
              </w:rPr>
              <w:fldChar w:fldCharType="begin"/>
            </w:r>
            <w:r>
              <w:rPr>
                <w:noProof/>
                <w:webHidden/>
              </w:rPr>
              <w:instrText xml:space="preserve"> PAGEREF _Toc160610296 \h </w:instrText>
            </w:r>
            <w:r>
              <w:rPr>
                <w:noProof/>
                <w:webHidden/>
              </w:rPr>
            </w:r>
            <w:r>
              <w:rPr>
                <w:noProof/>
                <w:webHidden/>
              </w:rPr>
              <w:fldChar w:fldCharType="separate"/>
            </w:r>
            <w:r>
              <w:rPr>
                <w:noProof/>
                <w:webHidden/>
              </w:rPr>
              <w:t>62</w:t>
            </w:r>
            <w:r>
              <w:rPr>
                <w:noProof/>
                <w:webHidden/>
              </w:rPr>
              <w:fldChar w:fldCharType="end"/>
            </w:r>
          </w:hyperlink>
        </w:p>
        <w:p w14:paraId="641D85D7" w14:textId="4816CB44"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297" w:history="1">
            <w:r w:rsidRPr="00B6103E">
              <w:rPr>
                <w:rStyle w:val="Hyperlink"/>
                <w:noProof/>
              </w:rPr>
              <w:t>6.2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Formulaire d’offre – Prix</w:t>
            </w:r>
            <w:r>
              <w:rPr>
                <w:noProof/>
                <w:webHidden/>
              </w:rPr>
              <w:tab/>
            </w:r>
            <w:r>
              <w:rPr>
                <w:noProof/>
                <w:webHidden/>
              </w:rPr>
              <w:fldChar w:fldCharType="begin"/>
            </w:r>
            <w:r>
              <w:rPr>
                <w:noProof/>
                <w:webHidden/>
              </w:rPr>
              <w:instrText xml:space="preserve"> PAGEREF _Toc160610297 \h </w:instrText>
            </w:r>
            <w:r>
              <w:rPr>
                <w:noProof/>
                <w:webHidden/>
              </w:rPr>
            </w:r>
            <w:r>
              <w:rPr>
                <w:noProof/>
                <w:webHidden/>
              </w:rPr>
              <w:fldChar w:fldCharType="separate"/>
            </w:r>
            <w:r>
              <w:rPr>
                <w:noProof/>
                <w:webHidden/>
              </w:rPr>
              <w:t>64</w:t>
            </w:r>
            <w:r>
              <w:rPr>
                <w:noProof/>
                <w:webHidden/>
              </w:rPr>
              <w:fldChar w:fldCharType="end"/>
            </w:r>
          </w:hyperlink>
        </w:p>
        <w:p w14:paraId="5BA465DE" w14:textId="5E24D07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98" w:history="1">
            <w:r w:rsidRPr="00B6103E">
              <w:rPr>
                <w:rStyle w:val="Hyperlink"/>
                <w:noProof/>
              </w:rPr>
              <w:t>6.2.1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 : Renforcement de la réglementation / WS1</w:t>
            </w:r>
            <w:r>
              <w:rPr>
                <w:noProof/>
                <w:webHidden/>
              </w:rPr>
              <w:tab/>
            </w:r>
            <w:r>
              <w:rPr>
                <w:noProof/>
                <w:webHidden/>
              </w:rPr>
              <w:fldChar w:fldCharType="begin"/>
            </w:r>
            <w:r>
              <w:rPr>
                <w:noProof/>
                <w:webHidden/>
              </w:rPr>
              <w:instrText xml:space="preserve"> PAGEREF _Toc160610298 \h </w:instrText>
            </w:r>
            <w:r>
              <w:rPr>
                <w:noProof/>
                <w:webHidden/>
              </w:rPr>
            </w:r>
            <w:r>
              <w:rPr>
                <w:noProof/>
                <w:webHidden/>
              </w:rPr>
              <w:fldChar w:fldCharType="separate"/>
            </w:r>
            <w:r>
              <w:rPr>
                <w:noProof/>
                <w:webHidden/>
              </w:rPr>
              <w:t>64</w:t>
            </w:r>
            <w:r>
              <w:rPr>
                <w:noProof/>
                <w:webHidden/>
              </w:rPr>
              <w:fldChar w:fldCharType="end"/>
            </w:r>
          </w:hyperlink>
        </w:p>
        <w:p w14:paraId="4CE4CA8B" w14:textId="04581F0B"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299" w:history="1">
            <w:r w:rsidRPr="00B6103E">
              <w:rPr>
                <w:rStyle w:val="Hyperlink"/>
                <w:noProof/>
              </w:rPr>
              <w:t>6.2.2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2 : Autorisation de mise sur le marché (AMM)</w:t>
            </w:r>
            <w:r>
              <w:rPr>
                <w:noProof/>
                <w:webHidden/>
              </w:rPr>
              <w:tab/>
            </w:r>
            <w:r>
              <w:rPr>
                <w:noProof/>
                <w:webHidden/>
              </w:rPr>
              <w:fldChar w:fldCharType="begin"/>
            </w:r>
            <w:r>
              <w:rPr>
                <w:noProof/>
                <w:webHidden/>
              </w:rPr>
              <w:instrText xml:space="preserve"> PAGEREF _Toc160610299 \h </w:instrText>
            </w:r>
            <w:r>
              <w:rPr>
                <w:noProof/>
                <w:webHidden/>
              </w:rPr>
            </w:r>
            <w:r>
              <w:rPr>
                <w:noProof/>
                <w:webHidden/>
              </w:rPr>
              <w:fldChar w:fldCharType="separate"/>
            </w:r>
            <w:r>
              <w:rPr>
                <w:noProof/>
                <w:webHidden/>
              </w:rPr>
              <w:t>64</w:t>
            </w:r>
            <w:r>
              <w:rPr>
                <w:noProof/>
                <w:webHidden/>
              </w:rPr>
              <w:fldChar w:fldCharType="end"/>
            </w:r>
          </w:hyperlink>
        </w:p>
        <w:p w14:paraId="003B089F" w14:textId="0C834F88"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0" w:history="1">
            <w:r w:rsidRPr="00B6103E">
              <w:rPr>
                <w:rStyle w:val="Hyperlink"/>
                <w:noProof/>
              </w:rPr>
              <w:t>6.2.3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3 : Propriété intellectuelle (PI)</w:t>
            </w:r>
            <w:r>
              <w:rPr>
                <w:noProof/>
                <w:webHidden/>
              </w:rPr>
              <w:tab/>
            </w:r>
            <w:r>
              <w:rPr>
                <w:noProof/>
                <w:webHidden/>
              </w:rPr>
              <w:fldChar w:fldCharType="begin"/>
            </w:r>
            <w:r>
              <w:rPr>
                <w:noProof/>
                <w:webHidden/>
              </w:rPr>
              <w:instrText xml:space="preserve"> PAGEREF _Toc160610300 \h </w:instrText>
            </w:r>
            <w:r>
              <w:rPr>
                <w:noProof/>
                <w:webHidden/>
              </w:rPr>
            </w:r>
            <w:r>
              <w:rPr>
                <w:noProof/>
                <w:webHidden/>
              </w:rPr>
              <w:fldChar w:fldCharType="separate"/>
            </w:r>
            <w:r>
              <w:rPr>
                <w:noProof/>
                <w:webHidden/>
              </w:rPr>
              <w:t>65</w:t>
            </w:r>
            <w:r>
              <w:rPr>
                <w:noProof/>
                <w:webHidden/>
              </w:rPr>
              <w:fldChar w:fldCharType="end"/>
            </w:r>
          </w:hyperlink>
        </w:p>
        <w:p w14:paraId="73C6723B" w14:textId="37DBA790"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1" w:history="1">
            <w:r w:rsidRPr="00B6103E">
              <w:rPr>
                <w:rStyle w:val="Hyperlink"/>
                <w:noProof/>
              </w:rPr>
              <w:t>6.2.4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4 : Contrôle de la qualité (CQ)</w:t>
            </w:r>
            <w:r>
              <w:rPr>
                <w:noProof/>
                <w:webHidden/>
              </w:rPr>
              <w:tab/>
            </w:r>
            <w:r>
              <w:rPr>
                <w:noProof/>
                <w:webHidden/>
              </w:rPr>
              <w:fldChar w:fldCharType="begin"/>
            </w:r>
            <w:r>
              <w:rPr>
                <w:noProof/>
                <w:webHidden/>
              </w:rPr>
              <w:instrText xml:space="preserve"> PAGEREF _Toc160610301 \h </w:instrText>
            </w:r>
            <w:r>
              <w:rPr>
                <w:noProof/>
                <w:webHidden/>
              </w:rPr>
            </w:r>
            <w:r>
              <w:rPr>
                <w:noProof/>
                <w:webHidden/>
              </w:rPr>
              <w:fldChar w:fldCharType="separate"/>
            </w:r>
            <w:r>
              <w:rPr>
                <w:noProof/>
                <w:webHidden/>
              </w:rPr>
              <w:t>65</w:t>
            </w:r>
            <w:r>
              <w:rPr>
                <w:noProof/>
                <w:webHidden/>
              </w:rPr>
              <w:fldChar w:fldCharType="end"/>
            </w:r>
          </w:hyperlink>
        </w:p>
        <w:p w14:paraId="1F1943AA" w14:textId="156EFB9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2" w:history="1">
            <w:r w:rsidRPr="00B6103E">
              <w:rPr>
                <w:rStyle w:val="Hyperlink"/>
                <w:noProof/>
              </w:rPr>
              <w:t>6.2.5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5 : Pharmacovigilance (PV) et sécurité des médicaments/vaccins</w:t>
            </w:r>
            <w:r>
              <w:rPr>
                <w:noProof/>
                <w:webHidden/>
              </w:rPr>
              <w:tab/>
            </w:r>
            <w:r>
              <w:rPr>
                <w:noProof/>
                <w:webHidden/>
              </w:rPr>
              <w:fldChar w:fldCharType="begin"/>
            </w:r>
            <w:r>
              <w:rPr>
                <w:noProof/>
                <w:webHidden/>
              </w:rPr>
              <w:instrText xml:space="preserve"> PAGEREF _Toc160610302 \h </w:instrText>
            </w:r>
            <w:r>
              <w:rPr>
                <w:noProof/>
                <w:webHidden/>
              </w:rPr>
            </w:r>
            <w:r>
              <w:rPr>
                <w:noProof/>
                <w:webHidden/>
              </w:rPr>
              <w:fldChar w:fldCharType="separate"/>
            </w:r>
            <w:r>
              <w:rPr>
                <w:noProof/>
                <w:webHidden/>
              </w:rPr>
              <w:t>65</w:t>
            </w:r>
            <w:r>
              <w:rPr>
                <w:noProof/>
                <w:webHidden/>
              </w:rPr>
              <w:fldChar w:fldCharType="end"/>
            </w:r>
          </w:hyperlink>
        </w:p>
        <w:p w14:paraId="274586C8" w14:textId="4F7E4994"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3" w:history="1">
            <w:r w:rsidRPr="00B6103E">
              <w:rPr>
                <w:rStyle w:val="Hyperlink"/>
                <w:noProof/>
              </w:rPr>
              <w:t>6.2.6</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6 : Transfert technologique</w:t>
            </w:r>
            <w:r>
              <w:rPr>
                <w:noProof/>
                <w:webHidden/>
              </w:rPr>
              <w:tab/>
            </w:r>
            <w:r>
              <w:rPr>
                <w:noProof/>
                <w:webHidden/>
              </w:rPr>
              <w:fldChar w:fldCharType="begin"/>
            </w:r>
            <w:r>
              <w:rPr>
                <w:noProof/>
                <w:webHidden/>
              </w:rPr>
              <w:instrText xml:space="preserve"> PAGEREF _Toc160610303 \h </w:instrText>
            </w:r>
            <w:r>
              <w:rPr>
                <w:noProof/>
                <w:webHidden/>
              </w:rPr>
            </w:r>
            <w:r>
              <w:rPr>
                <w:noProof/>
                <w:webHidden/>
              </w:rPr>
              <w:fldChar w:fldCharType="separate"/>
            </w:r>
            <w:r>
              <w:rPr>
                <w:noProof/>
                <w:webHidden/>
              </w:rPr>
              <w:t>66</w:t>
            </w:r>
            <w:r>
              <w:rPr>
                <w:noProof/>
                <w:webHidden/>
              </w:rPr>
              <w:fldChar w:fldCharType="end"/>
            </w:r>
          </w:hyperlink>
        </w:p>
        <w:p w14:paraId="31507F13" w14:textId="56CC9964"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4" w:history="1">
            <w:r w:rsidRPr="00B6103E">
              <w:rPr>
                <w:rStyle w:val="Hyperlink"/>
                <w:noProof/>
              </w:rPr>
              <w:t>6.2.7</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7 : Façonnage du marché, demande &amp; facilitation du commerce</w:t>
            </w:r>
            <w:r>
              <w:rPr>
                <w:noProof/>
                <w:webHidden/>
              </w:rPr>
              <w:tab/>
            </w:r>
            <w:r>
              <w:rPr>
                <w:noProof/>
                <w:webHidden/>
              </w:rPr>
              <w:fldChar w:fldCharType="begin"/>
            </w:r>
            <w:r>
              <w:rPr>
                <w:noProof/>
                <w:webHidden/>
              </w:rPr>
              <w:instrText xml:space="preserve"> PAGEREF _Toc160610304 \h </w:instrText>
            </w:r>
            <w:r>
              <w:rPr>
                <w:noProof/>
                <w:webHidden/>
              </w:rPr>
            </w:r>
            <w:r>
              <w:rPr>
                <w:noProof/>
                <w:webHidden/>
              </w:rPr>
              <w:fldChar w:fldCharType="separate"/>
            </w:r>
            <w:r>
              <w:rPr>
                <w:noProof/>
                <w:webHidden/>
              </w:rPr>
              <w:t>66</w:t>
            </w:r>
            <w:r>
              <w:rPr>
                <w:noProof/>
                <w:webHidden/>
              </w:rPr>
              <w:fldChar w:fldCharType="end"/>
            </w:r>
          </w:hyperlink>
        </w:p>
        <w:p w14:paraId="7827BC43" w14:textId="637DA2A8"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5" w:history="1">
            <w:r w:rsidRPr="00B6103E">
              <w:rPr>
                <w:rStyle w:val="Hyperlink"/>
                <w:noProof/>
              </w:rPr>
              <w:t>6.2.8</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8 : Gestion de la chaîne d’approvisionnement</w:t>
            </w:r>
            <w:r>
              <w:rPr>
                <w:noProof/>
                <w:webHidden/>
              </w:rPr>
              <w:tab/>
            </w:r>
            <w:r>
              <w:rPr>
                <w:noProof/>
                <w:webHidden/>
              </w:rPr>
              <w:fldChar w:fldCharType="begin"/>
            </w:r>
            <w:r>
              <w:rPr>
                <w:noProof/>
                <w:webHidden/>
              </w:rPr>
              <w:instrText xml:space="preserve"> PAGEREF _Toc160610305 \h </w:instrText>
            </w:r>
            <w:r>
              <w:rPr>
                <w:noProof/>
                <w:webHidden/>
              </w:rPr>
            </w:r>
            <w:r>
              <w:rPr>
                <w:noProof/>
                <w:webHidden/>
              </w:rPr>
              <w:fldChar w:fldCharType="separate"/>
            </w:r>
            <w:r>
              <w:rPr>
                <w:noProof/>
                <w:webHidden/>
              </w:rPr>
              <w:t>66</w:t>
            </w:r>
            <w:r>
              <w:rPr>
                <w:noProof/>
                <w:webHidden/>
              </w:rPr>
              <w:fldChar w:fldCharType="end"/>
            </w:r>
          </w:hyperlink>
        </w:p>
        <w:p w14:paraId="276E57AB" w14:textId="68CE3A4E"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6" w:history="1">
            <w:r w:rsidRPr="00B6103E">
              <w:rPr>
                <w:rStyle w:val="Hyperlink"/>
                <w:noProof/>
              </w:rPr>
              <w:t>6.2.9</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9 : Recherche &amp; développement (R&amp;D)</w:t>
            </w:r>
            <w:r>
              <w:rPr>
                <w:noProof/>
                <w:webHidden/>
              </w:rPr>
              <w:tab/>
            </w:r>
            <w:r>
              <w:rPr>
                <w:noProof/>
                <w:webHidden/>
              </w:rPr>
              <w:fldChar w:fldCharType="begin"/>
            </w:r>
            <w:r>
              <w:rPr>
                <w:noProof/>
                <w:webHidden/>
              </w:rPr>
              <w:instrText xml:space="preserve"> PAGEREF _Toc160610306 \h </w:instrText>
            </w:r>
            <w:r>
              <w:rPr>
                <w:noProof/>
                <w:webHidden/>
              </w:rPr>
            </w:r>
            <w:r>
              <w:rPr>
                <w:noProof/>
                <w:webHidden/>
              </w:rPr>
              <w:fldChar w:fldCharType="separate"/>
            </w:r>
            <w:r>
              <w:rPr>
                <w:noProof/>
                <w:webHidden/>
              </w:rPr>
              <w:t>67</w:t>
            </w:r>
            <w:r>
              <w:rPr>
                <w:noProof/>
                <w:webHidden/>
              </w:rPr>
              <w:fldChar w:fldCharType="end"/>
            </w:r>
          </w:hyperlink>
        </w:p>
        <w:p w14:paraId="4F260261" w14:textId="5E7878E4"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7" w:history="1">
            <w:r w:rsidRPr="00B6103E">
              <w:rPr>
                <w:rStyle w:val="Hyperlink"/>
                <w:noProof/>
              </w:rPr>
              <w:t>6.2.10</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10 : Enseignement supérieur et compétences</w:t>
            </w:r>
            <w:r>
              <w:rPr>
                <w:noProof/>
                <w:webHidden/>
              </w:rPr>
              <w:tab/>
            </w:r>
            <w:r>
              <w:rPr>
                <w:noProof/>
                <w:webHidden/>
              </w:rPr>
              <w:fldChar w:fldCharType="begin"/>
            </w:r>
            <w:r>
              <w:rPr>
                <w:noProof/>
                <w:webHidden/>
              </w:rPr>
              <w:instrText xml:space="preserve"> PAGEREF _Toc160610307 \h </w:instrText>
            </w:r>
            <w:r>
              <w:rPr>
                <w:noProof/>
                <w:webHidden/>
              </w:rPr>
            </w:r>
            <w:r>
              <w:rPr>
                <w:noProof/>
                <w:webHidden/>
              </w:rPr>
              <w:fldChar w:fldCharType="separate"/>
            </w:r>
            <w:r>
              <w:rPr>
                <w:noProof/>
                <w:webHidden/>
              </w:rPr>
              <w:t>67</w:t>
            </w:r>
            <w:r>
              <w:rPr>
                <w:noProof/>
                <w:webHidden/>
              </w:rPr>
              <w:fldChar w:fldCharType="end"/>
            </w:r>
          </w:hyperlink>
        </w:p>
        <w:p w14:paraId="0036131E" w14:textId="2FFDBB75"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8" w:history="1">
            <w:r w:rsidRPr="00B6103E">
              <w:rPr>
                <w:rStyle w:val="Hyperlink"/>
                <w:noProof/>
              </w:rPr>
              <w:t>6.2.11</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11 : Accès au financement et partenariat</w:t>
            </w:r>
            <w:r>
              <w:rPr>
                <w:noProof/>
                <w:webHidden/>
              </w:rPr>
              <w:tab/>
            </w:r>
            <w:r>
              <w:rPr>
                <w:noProof/>
                <w:webHidden/>
              </w:rPr>
              <w:fldChar w:fldCharType="begin"/>
            </w:r>
            <w:r>
              <w:rPr>
                <w:noProof/>
                <w:webHidden/>
              </w:rPr>
              <w:instrText xml:space="preserve"> PAGEREF _Toc160610308 \h </w:instrText>
            </w:r>
            <w:r>
              <w:rPr>
                <w:noProof/>
                <w:webHidden/>
              </w:rPr>
            </w:r>
            <w:r>
              <w:rPr>
                <w:noProof/>
                <w:webHidden/>
              </w:rPr>
              <w:fldChar w:fldCharType="separate"/>
            </w:r>
            <w:r>
              <w:rPr>
                <w:noProof/>
                <w:webHidden/>
              </w:rPr>
              <w:t>67</w:t>
            </w:r>
            <w:r>
              <w:rPr>
                <w:noProof/>
                <w:webHidden/>
              </w:rPr>
              <w:fldChar w:fldCharType="end"/>
            </w:r>
          </w:hyperlink>
        </w:p>
        <w:p w14:paraId="35880B24" w14:textId="1B46587D"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09" w:history="1">
            <w:r w:rsidRPr="00B6103E">
              <w:rPr>
                <w:rStyle w:val="Hyperlink"/>
                <w:noProof/>
              </w:rPr>
              <w:t>6.2.12</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12 : Industrialisation</w:t>
            </w:r>
            <w:r>
              <w:rPr>
                <w:noProof/>
                <w:webHidden/>
              </w:rPr>
              <w:tab/>
            </w:r>
            <w:r>
              <w:rPr>
                <w:noProof/>
                <w:webHidden/>
              </w:rPr>
              <w:fldChar w:fldCharType="begin"/>
            </w:r>
            <w:r>
              <w:rPr>
                <w:noProof/>
                <w:webHidden/>
              </w:rPr>
              <w:instrText xml:space="preserve"> PAGEREF _Toc160610309 \h </w:instrText>
            </w:r>
            <w:r>
              <w:rPr>
                <w:noProof/>
                <w:webHidden/>
              </w:rPr>
            </w:r>
            <w:r>
              <w:rPr>
                <w:noProof/>
                <w:webHidden/>
              </w:rPr>
              <w:fldChar w:fldCharType="separate"/>
            </w:r>
            <w:r>
              <w:rPr>
                <w:noProof/>
                <w:webHidden/>
              </w:rPr>
              <w:t>68</w:t>
            </w:r>
            <w:r>
              <w:rPr>
                <w:noProof/>
                <w:webHidden/>
              </w:rPr>
              <w:fldChar w:fldCharType="end"/>
            </w:r>
          </w:hyperlink>
        </w:p>
        <w:p w14:paraId="3F20221F" w14:textId="6C2A6E91"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10" w:history="1">
            <w:r w:rsidRPr="00B6103E">
              <w:rPr>
                <w:rStyle w:val="Hyperlink"/>
                <w:noProof/>
              </w:rPr>
              <w:t>6.2.13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13 : Développement et mobilisation du secteur privé</w:t>
            </w:r>
            <w:r>
              <w:rPr>
                <w:noProof/>
                <w:webHidden/>
              </w:rPr>
              <w:tab/>
            </w:r>
            <w:r>
              <w:rPr>
                <w:noProof/>
                <w:webHidden/>
              </w:rPr>
              <w:fldChar w:fldCharType="begin"/>
            </w:r>
            <w:r>
              <w:rPr>
                <w:noProof/>
                <w:webHidden/>
              </w:rPr>
              <w:instrText xml:space="preserve"> PAGEREF _Toc160610310 \h </w:instrText>
            </w:r>
            <w:r>
              <w:rPr>
                <w:noProof/>
                <w:webHidden/>
              </w:rPr>
            </w:r>
            <w:r>
              <w:rPr>
                <w:noProof/>
                <w:webHidden/>
              </w:rPr>
              <w:fldChar w:fldCharType="separate"/>
            </w:r>
            <w:r>
              <w:rPr>
                <w:noProof/>
                <w:webHidden/>
              </w:rPr>
              <w:t>68</w:t>
            </w:r>
            <w:r>
              <w:rPr>
                <w:noProof/>
                <w:webHidden/>
              </w:rPr>
              <w:fldChar w:fldCharType="end"/>
            </w:r>
          </w:hyperlink>
        </w:p>
        <w:p w14:paraId="4EC9D069" w14:textId="54F0E070"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11" w:history="1">
            <w:r w:rsidRPr="00B6103E">
              <w:rPr>
                <w:rStyle w:val="Hyperlink"/>
                <w:noProof/>
              </w:rPr>
              <w:t>6.2.14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14 : Monitoring &amp; Évaluation</w:t>
            </w:r>
            <w:r>
              <w:rPr>
                <w:noProof/>
                <w:webHidden/>
              </w:rPr>
              <w:tab/>
            </w:r>
            <w:r>
              <w:rPr>
                <w:noProof/>
                <w:webHidden/>
              </w:rPr>
              <w:fldChar w:fldCharType="begin"/>
            </w:r>
            <w:r>
              <w:rPr>
                <w:noProof/>
                <w:webHidden/>
              </w:rPr>
              <w:instrText xml:space="preserve"> PAGEREF _Toc160610311 \h </w:instrText>
            </w:r>
            <w:r>
              <w:rPr>
                <w:noProof/>
                <w:webHidden/>
              </w:rPr>
            </w:r>
            <w:r>
              <w:rPr>
                <w:noProof/>
                <w:webHidden/>
              </w:rPr>
              <w:fldChar w:fldCharType="separate"/>
            </w:r>
            <w:r>
              <w:rPr>
                <w:noProof/>
                <w:webHidden/>
              </w:rPr>
              <w:t>68</w:t>
            </w:r>
            <w:r>
              <w:rPr>
                <w:noProof/>
                <w:webHidden/>
              </w:rPr>
              <w:fldChar w:fldCharType="end"/>
            </w:r>
          </w:hyperlink>
        </w:p>
        <w:p w14:paraId="2F4D1B1F" w14:textId="3CB9B180" w:rsidR="00300708" w:rsidRDefault="00300708">
          <w:pPr>
            <w:pStyle w:val="TOC3"/>
            <w:rPr>
              <w:rFonts w:asciiTheme="minorHAnsi" w:eastAsiaTheme="minorEastAsia" w:hAnsiTheme="minorHAnsi"/>
              <w:noProof/>
              <w:color w:val="auto"/>
              <w:kern w:val="2"/>
              <w:sz w:val="24"/>
              <w:szCs w:val="24"/>
              <w:lang w:val="fr-BE" w:eastAsia="fr-BE"/>
              <w14:ligatures w14:val="standardContextual"/>
            </w:rPr>
          </w:pPr>
          <w:hyperlink w:anchor="_Toc160610312" w:history="1">
            <w:r w:rsidRPr="00B6103E">
              <w:rPr>
                <w:rStyle w:val="Hyperlink"/>
                <w:noProof/>
              </w:rPr>
              <w:t>6.2.15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Lot 15 : Soutien managérial, institutionnel et auxiliaire</w:t>
            </w:r>
            <w:r>
              <w:rPr>
                <w:noProof/>
                <w:webHidden/>
              </w:rPr>
              <w:tab/>
            </w:r>
            <w:r>
              <w:rPr>
                <w:noProof/>
                <w:webHidden/>
              </w:rPr>
              <w:fldChar w:fldCharType="begin"/>
            </w:r>
            <w:r>
              <w:rPr>
                <w:noProof/>
                <w:webHidden/>
              </w:rPr>
              <w:instrText xml:space="preserve"> PAGEREF _Toc160610312 \h </w:instrText>
            </w:r>
            <w:r>
              <w:rPr>
                <w:noProof/>
                <w:webHidden/>
              </w:rPr>
            </w:r>
            <w:r>
              <w:rPr>
                <w:noProof/>
                <w:webHidden/>
              </w:rPr>
              <w:fldChar w:fldCharType="separate"/>
            </w:r>
            <w:r>
              <w:rPr>
                <w:noProof/>
                <w:webHidden/>
              </w:rPr>
              <w:t>69</w:t>
            </w:r>
            <w:r>
              <w:rPr>
                <w:noProof/>
                <w:webHidden/>
              </w:rPr>
              <w:fldChar w:fldCharType="end"/>
            </w:r>
          </w:hyperlink>
        </w:p>
        <w:p w14:paraId="3C1638F9" w14:textId="61FCD090"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313" w:history="1">
            <w:r w:rsidRPr="00B6103E">
              <w:rPr>
                <w:rStyle w:val="Hyperlink"/>
                <w:noProof/>
              </w:rPr>
              <w:t>6.3</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Liste des sous-traitants</w:t>
            </w:r>
            <w:r>
              <w:rPr>
                <w:noProof/>
                <w:webHidden/>
              </w:rPr>
              <w:tab/>
            </w:r>
            <w:r>
              <w:rPr>
                <w:noProof/>
                <w:webHidden/>
              </w:rPr>
              <w:fldChar w:fldCharType="begin"/>
            </w:r>
            <w:r>
              <w:rPr>
                <w:noProof/>
                <w:webHidden/>
              </w:rPr>
              <w:instrText xml:space="preserve"> PAGEREF _Toc160610313 \h </w:instrText>
            </w:r>
            <w:r>
              <w:rPr>
                <w:noProof/>
                <w:webHidden/>
              </w:rPr>
            </w:r>
            <w:r>
              <w:rPr>
                <w:noProof/>
                <w:webHidden/>
              </w:rPr>
              <w:fldChar w:fldCharType="separate"/>
            </w:r>
            <w:r>
              <w:rPr>
                <w:noProof/>
                <w:webHidden/>
              </w:rPr>
              <w:t>70</w:t>
            </w:r>
            <w:r>
              <w:rPr>
                <w:noProof/>
                <w:webHidden/>
              </w:rPr>
              <w:fldChar w:fldCharType="end"/>
            </w:r>
          </w:hyperlink>
        </w:p>
        <w:p w14:paraId="3B947196" w14:textId="653557A4"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314" w:history="1">
            <w:r w:rsidRPr="00B6103E">
              <w:rPr>
                <w:rStyle w:val="Hyperlink"/>
                <w:bCs/>
                <w:noProof/>
              </w:rPr>
              <w:t>6.4</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Déclaration sur l’honneur – motifs d’exclusion</w:t>
            </w:r>
            <w:r>
              <w:rPr>
                <w:noProof/>
                <w:webHidden/>
              </w:rPr>
              <w:tab/>
            </w:r>
            <w:r>
              <w:rPr>
                <w:noProof/>
                <w:webHidden/>
              </w:rPr>
              <w:fldChar w:fldCharType="begin"/>
            </w:r>
            <w:r>
              <w:rPr>
                <w:noProof/>
                <w:webHidden/>
              </w:rPr>
              <w:instrText xml:space="preserve"> PAGEREF _Toc160610314 \h </w:instrText>
            </w:r>
            <w:r>
              <w:rPr>
                <w:noProof/>
                <w:webHidden/>
              </w:rPr>
            </w:r>
            <w:r>
              <w:rPr>
                <w:noProof/>
                <w:webHidden/>
              </w:rPr>
              <w:fldChar w:fldCharType="separate"/>
            </w:r>
            <w:r>
              <w:rPr>
                <w:noProof/>
                <w:webHidden/>
              </w:rPr>
              <w:t>71</w:t>
            </w:r>
            <w:r>
              <w:rPr>
                <w:noProof/>
                <w:webHidden/>
              </w:rPr>
              <w:fldChar w:fldCharType="end"/>
            </w:r>
          </w:hyperlink>
        </w:p>
        <w:p w14:paraId="48D66C1F" w14:textId="30CF828F" w:rsidR="00300708" w:rsidRDefault="00300708">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315" w:history="1">
            <w:r w:rsidRPr="00B6103E">
              <w:rPr>
                <w:rStyle w:val="Hyperlink"/>
                <w:noProof/>
              </w:rPr>
              <w:t>6.5</w:t>
            </w:r>
            <w:r>
              <w:rPr>
                <w:rFonts w:asciiTheme="minorHAnsi" w:eastAsiaTheme="minorEastAsia" w:hAnsiTheme="minorHAnsi"/>
                <w:noProof/>
                <w:color w:val="auto"/>
                <w:kern w:val="2"/>
                <w:sz w:val="24"/>
                <w:szCs w:val="24"/>
                <w:lang w:val="fr-BE" w:eastAsia="fr-BE"/>
                <w14:ligatures w14:val="standardContextual"/>
              </w:rPr>
              <w:tab/>
            </w:r>
            <w:r w:rsidRPr="00B6103E">
              <w:rPr>
                <w:rStyle w:val="Hyperlink"/>
                <w:noProof/>
              </w:rPr>
              <w:t>Récapitulatif des documents à remettre</w:t>
            </w:r>
            <w:r>
              <w:rPr>
                <w:noProof/>
                <w:webHidden/>
              </w:rPr>
              <w:tab/>
            </w:r>
            <w:r>
              <w:rPr>
                <w:noProof/>
                <w:webHidden/>
              </w:rPr>
              <w:fldChar w:fldCharType="begin"/>
            </w:r>
            <w:r>
              <w:rPr>
                <w:noProof/>
                <w:webHidden/>
              </w:rPr>
              <w:instrText xml:space="preserve"> PAGEREF _Toc160610315 \h </w:instrText>
            </w:r>
            <w:r>
              <w:rPr>
                <w:noProof/>
                <w:webHidden/>
              </w:rPr>
            </w:r>
            <w:r>
              <w:rPr>
                <w:noProof/>
                <w:webHidden/>
              </w:rPr>
              <w:fldChar w:fldCharType="separate"/>
            </w:r>
            <w:r>
              <w:rPr>
                <w:noProof/>
                <w:webHidden/>
              </w:rPr>
              <w:t>73</w:t>
            </w:r>
            <w:r>
              <w:rPr>
                <w:noProof/>
                <w:webHidden/>
              </w:rPr>
              <w:fldChar w:fldCharType="end"/>
            </w:r>
          </w:hyperlink>
        </w:p>
        <w:p w14:paraId="038A8A2A" w14:textId="64FEB8ED" w:rsidR="00EF296F" w:rsidRDefault="00C45EFE">
          <w:pPr>
            <w:sectPr w:rsidR="00EF296F" w:rsidSect="00F74575">
              <w:headerReference w:type="first" r:id="rId15"/>
              <w:pgSz w:w="11906" w:h="16838"/>
              <w:pgMar w:top="1418" w:right="1531" w:bottom="1418" w:left="1871" w:header="709" w:footer="709" w:gutter="0"/>
              <w:cols w:space="708"/>
              <w:docGrid w:linePitch="360"/>
            </w:sectPr>
          </w:pPr>
          <w:r w:rsidRPr="005D080C">
            <w:fldChar w:fldCharType="end"/>
          </w:r>
        </w:p>
        <w:p w14:paraId="6D3040F6" w14:textId="7A074BA6" w:rsidR="00C45EFE" w:rsidRDefault="00000000"/>
      </w:sdtContent>
    </w:sdt>
    <w:p w14:paraId="6D3040FA" w14:textId="77777777" w:rsidR="000D0691" w:rsidRDefault="000D0691" w:rsidP="00B7382D">
      <w:pPr>
        <w:pStyle w:val="Heading1"/>
      </w:pPr>
      <w:bookmarkStart w:id="0" w:name="_Toc160610142"/>
      <w:r>
        <w:t>Généralités</w:t>
      </w:r>
      <w:bookmarkEnd w:id="0"/>
    </w:p>
    <w:p w14:paraId="6D3040FB" w14:textId="77777777" w:rsidR="000D0691" w:rsidRDefault="000D0691" w:rsidP="00B7382D">
      <w:pPr>
        <w:pStyle w:val="Heading2"/>
      </w:pPr>
      <w:bookmarkStart w:id="1" w:name="_Toc160610143"/>
      <w:r>
        <w:t>Dérogations à l’A.R. du 14.01.2013</w:t>
      </w:r>
      <w:bookmarkEnd w:id="1"/>
    </w:p>
    <w:p w14:paraId="6D3040FC" w14:textId="00AF98E8" w:rsidR="000D0691" w:rsidRPr="00A50864" w:rsidRDefault="000D0691" w:rsidP="000D0691">
      <w:pPr>
        <w:rPr>
          <w:szCs w:val="21"/>
        </w:rPr>
      </w:pPr>
      <w:r>
        <w:t>La section 1.5. «</w:t>
      </w:r>
      <w:r w:rsidR="00AD683F">
        <w:rPr>
          <w:rFonts w:ascii="Times New Roman" w:hAnsi="Times New Roman" w:cs="Times New Roman"/>
        </w:rPr>
        <w:t> </w:t>
      </w:r>
      <w:r>
        <w:t>Conditions contractuelles et administratives particulières</w:t>
      </w:r>
      <w:r w:rsidR="00AD683F">
        <w:rPr>
          <w:rFonts w:ascii="Times New Roman" w:hAnsi="Times New Roman" w:cs="Times New Roman"/>
        </w:rPr>
        <w:t> </w:t>
      </w:r>
      <w:r>
        <w:t xml:space="preserve">» du présent cahier spécial des charges (CSC) contient les clauses administratives et contractuelles particulières applicables au présent marché public par dérogation à l’A.R. du 14.01.2013 ou qui complètent ou précisent celui-ci. </w:t>
      </w:r>
    </w:p>
    <w:p w14:paraId="1AAF542E" w14:textId="0E030A6F" w:rsidR="00AB722E" w:rsidRPr="00AB722E" w:rsidRDefault="000F2C5B" w:rsidP="00AB722E">
      <w:pPr>
        <w:rPr>
          <w:szCs w:val="21"/>
        </w:rPr>
      </w:pPr>
      <w:r>
        <w:t>Dans le présent CSC, il est dérogé à l’article 26 des règles générales d’exécution – RGE (A.R. du 14.01.2013). Le cautionnement peut être établi via un établissement dont le siège social se situe dans un des pays de destination des services. Le pouvoir adjudicateur se réserve le droit d’accepter ou non la constitution du cautionnement via cet établissement. L’adjudicataire mentionnera le nom et l’adresse de cet établissement dans l’offre. La dérogation est motivée pour laisser l’opportunité aux éventuels soumissionnaires locaux d’introduire une offre. Cette mesure est rendue indispensable par les exigences particulières du marché.</w:t>
      </w:r>
    </w:p>
    <w:p w14:paraId="44146AA0" w14:textId="533D1D76" w:rsidR="0061689B" w:rsidRPr="00E461A9" w:rsidRDefault="0061689B" w:rsidP="00E461A9">
      <w:pPr>
        <w:rPr>
          <w:sz w:val="20"/>
          <w:szCs w:val="20"/>
        </w:rPr>
      </w:pPr>
    </w:p>
    <w:p w14:paraId="6D3040FE" w14:textId="77777777" w:rsidR="000D0691" w:rsidRDefault="000D0691" w:rsidP="00B7382D">
      <w:pPr>
        <w:pStyle w:val="Heading2"/>
      </w:pPr>
      <w:bookmarkStart w:id="2" w:name="_Toc160610144"/>
      <w:r>
        <w:t>Pouvoir adjudicateur</w:t>
      </w:r>
      <w:bookmarkEnd w:id="2"/>
      <w:r>
        <w:t xml:space="preserve"> </w:t>
      </w:r>
    </w:p>
    <w:p w14:paraId="6D3040FF" w14:textId="12306819" w:rsidR="000D0691" w:rsidRPr="00A50864" w:rsidRDefault="000D0691" w:rsidP="000D0691">
      <w:pPr>
        <w:rPr>
          <w:szCs w:val="21"/>
        </w:rPr>
      </w:pPr>
      <w:r>
        <w:t xml:space="preserve">Le pouvoir adjudicateur, ci-après aussi l’adjudicateur du présent marché public est </w:t>
      </w:r>
      <w:proofErr w:type="spellStart"/>
      <w:r>
        <w:t>Enabel</w:t>
      </w:r>
      <w:proofErr w:type="spellEnd"/>
      <w:r>
        <w:t>, société anonyme de droit public à finalité sociale, ayant son siège social à 147, rue Haute, 1000 Bruxelles (numéro d’entreprise 0264.814.354, RPM Bruxelles), appelée «</w:t>
      </w:r>
      <w:r w:rsidR="00AD683F">
        <w:rPr>
          <w:rFonts w:ascii="Times New Roman" w:hAnsi="Times New Roman" w:cs="Times New Roman"/>
        </w:rPr>
        <w:t> </w:t>
      </w:r>
      <w:proofErr w:type="spellStart"/>
      <w:r>
        <w:t>Enabel</w:t>
      </w:r>
      <w:proofErr w:type="spellEnd"/>
      <w:r w:rsidR="00AD683F">
        <w:rPr>
          <w:rFonts w:ascii="Times New Roman" w:hAnsi="Times New Roman" w:cs="Times New Roman"/>
        </w:rPr>
        <w:t> </w:t>
      </w:r>
      <w:r>
        <w:t xml:space="preserve">» suite à l’entrée en vigueur de la loi du 23 novembre 2017 portant modification du nom </w:t>
      </w:r>
      <w:proofErr w:type="spellStart"/>
      <w:r>
        <w:t>Enabel</w:t>
      </w:r>
      <w:proofErr w:type="spellEnd"/>
      <w:r>
        <w:t xml:space="preserve"> et définition des missions et du fonctionnement d’</w:t>
      </w:r>
      <w:proofErr w:type="spellStart"/>
      <w:r>
        <w:t>Enabel</w:t>
      </w:r>
      <w:proofErr w:type="spellEnd"/>
      <w:r>
        <w:t xml:space="preserve">, Agence belge de Développement </w:t>
      </w:r>
    </w:p>
    <w:p w14:paraId="6D304100" w14:textId="77777777" w:rsidR="000D0691" w:rsidRPr="00A50864" w:rsidRDefault="000D0691" w:rsidP="000D0691">
      <w:pPr>
        <w:rPr>
          <w:szCs w:val="21"/>
        </w:rPr>
      </w:pPr>
      <w:proofErr w:type="spellStart"/>
      <w:r>
        <w:t>Enabel</w:t>
      </w:r>
      <w:proofErr w:type="spellEnd"/>
      <w:r>
        <w:t xml:space="preserve"> se voit confier l’exclusivité de l’exécution, tant en Belgique qu’à l’étranger, des tâches de service public en matière de coopération bilatérale directe avec des pays partenaires. En outre, elle peut exécuter d’autres missions de coopération à la demande d’organismes d’intérêt public et développer des actions propres qui contribuent à ses objectifs.</w:t>
      </w:r>
    </w:p>
    <w:p w14:paraId="7C9F1F35" w14:textId="77777777" w:rsidR="00957318" w:rsidRPr="00A61062" w:rsidRDefault="00957318" w:rsidP="00957318">
      <w:pPr>
        <w:pStyle w:val="BodyText"/>
        <w:rPr>
          <w:rFonts w:ascii="Georgia" w:eastAsia="Calibri" w:hAnsi="Georgia" w:cs="Times New Roman"/>
          <w:color w:val="585756"/>
          <w:kern w:val="0"/>
          <w:sz w:val="21"/>
          <w:szCs w:val="22"/>
        </w:rPr>
      </w:pPr>
      <w:r>
        <w:rPr>
          <w:rFonts w:ascii="Georgia" w:hAnsi="Georgia"/>
          <w:color w:val="585756"/>
          <w:sz w:val="21"/>
        </w:rPr>
        <w:t xml:space="preserve">Pour ce marché public, </w:t>
      </w:r>
      <w:proofErr w:type="spellStart"/>
      <w:r>
        <w:rPr>
          <w:rFonts w:ascii="Georgia" w:hAnsi="Georgia"/>
          <w:color w:val="585756"/>
          <w:sz w:val="21"/>
        </w:rPr>
        <w:t>Enabel</w:t>
      </w:r>
      <w:proofErr w:type="spellEnd"/>
      <w:r>
        <w:rPr>
          <w:rFonts w:ascii="Georgia" w:hAnsi="Georgia"/>
          <w:color w:val="585756"/>
          <w:sz w:val="21"/>
        </w:rPr>
        <w:t xml:space="preserve"> est valablement représentée par Jean Van Wetter, Directeur général, et Danny </w:t>
      </w:r>
      <w:proofErr w:type="spellStart"/>
      <w:r>
        <w:rPr>
          <w:rFonts w:ascii="Georgia" w:hAnsi="Georgia"/>
          <w:color w:val="585756"/>
          <w:sz w:val="21"/>
        </w:rPr>
        <w:t>Verspreet</w:t>
      </w:r>
      <w:proofErr w:type="spellEnd"/>
      <w:r>
        <w:rPr>
          <w:rFonts w:ascii="Georgia" w:hAnsi="Georgia"/>
          <w:color w:val="585756"/>
          <w:sz w:val="21"/>
        </w:rPr>
        <w:t>, Directeur Finances &amp; IT.</w:t>
      </w:r>
    </w:p>
    <w:p w14:paraId="0C2AAB06" w14:textId="77777777" w:rsidR="0061689B" w:rsidRPr="00551626" w:rsidRDefault="0061689B" w:rsidP="000D0691">
      <w:pPr>
        <w:rPr>
          <w:sz w:val="20"/>
          <w:szCs w:val="20"/>
        </w:rPr>
      </w:pPr>
    </w:p>
    <w:p w14:paraId="1D8DAC46" w14:textId="77777777" w:rsidR="00E80B01" w:rsidRDefault="00E80B01" w:rsidP="00E80B01">
      <w:pPr>
        <w:pStyle w:val="Heading2"/>
        <w:keepLines w:val="0"/>
        <w:widowControl w:val="0"/>
        <w:tabs>
          <w:tab w:val="num" w:pos="576"/>
        </w:tabs>
        <w:suppressAutoHyphens/>
        <w:spacing w:after="240"/>
      </w:pPr>
      <w:bookmarkStart w:id="3" w:name="_Toc122009323"/>
      <w:bookmarkStart w:id="4" w:name="_Toc160610145"/>
      <w:r>
        <w:t>Cadre institutionnel d’</w:t>
      </w:r>
      <w:proofErr w:type="spellStart"/>
      <w:r>
        <w:t>Enabel</w:t>
      </w:r>
      <w:bookmarkEnd w:id="3"/>
      <w:bookmarkEnd w:id="4"/>
      <w:proofErr w:type="spellEnd"/>
    </w:p>
    <w:p w14:paraId="5F16BA8A" w14:textId="77777777"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t xml:space="preserve">Le cadre de référence général dans lequel travaille </w:t>
      </w:r>
      <w:proofErr w:type="spellStart"/>
      <w:r>
        <w:rPr>
          <w:rFonts w:ascii="Georgia" w:hAnsi="Georgia"/>
          <w:color w:val="585756"/>
          <w:sz w:val="21"/>
        </w:rPr>
        <w:t>Enabel</w:t>
      </w:r>
      <w:proofErr w:type="spellEnd"/>
      <w:r>
        <w:rPr>
          <w:rFonts w:ascii="Georgia" w:hAnsi="Georgia"/>
          <w:color w:val="585756"/>
          <w:sz w:val="21"/>
        </w:rPr>
        <w:t xml:space="preserve"> est :</w:t>
      </w:r>
    </w:p>
    <w:p w14:paraId="05FF3A6B" w14:textId="46242E63" w:rsidR="00E80B01" w:rsidRPr="00C91137" w:rsidRDefault="00DE2EE8" w:rsidP="00E80B01">
      <w:pPr>
        <w:pStyle w:val="BTCtextCTB"/>
        <w:rPr>
          <w:rFonts w:ascii="Georgia" w:eastAsia="Calibri" w:hAnsi="Georgia"/>
          <w:color w:val="585756"/>
          <w:sz w:val="21"/>
          <w:szCs w:val="22"/>
        </w:rPr>
      </w:pPr>
      <w:r>
        <w:rPr>
          <w:rFonts w:ascii="Georgia" w:hAnsi="Georgia"/>
          <w:color w:val="585756"/>
          <w:sz w:val="21"/>
        </w:rPr>
        <w:t>- la loi belge du 19 mars 2013 relative à la Coopération au Développement</w:t>
      </w:r>
      <w:r w:rsidR="00E80B01" w:rsidRPr="00247747">
        <w:rPr>
          <w:rFonts w:ascii="Georgia" w:eastAsia="Calibri" w:hAnsi="Georgia"/>
          <w:color w:val="585756"/>
          <w:sz w:val="21"/>
          <w:szCs w:val="22"/>
          <w:vertAlign w:val="superscript"/>
        </w:rPr>
        <w:footnoteReference w:id="2"/>
      </w:r>
      <w:r>
        <w:rPr>
          <w:rFonts w:ascii="Georgia" w:hAnsi="Georgia"/>
          <w:color w:val="585756"/>
          <w:sz w:val="21"/>
        </w:rPr>
        <w:t> ;</w:t>
      </w:r>
    </w:p>
    <w:p w14:paraId="2B70DF22" w14:textId="027A1D60"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t>- la loi belge du 21 décembre 1998 portant création de la «</w:t>
      </w:r>
      <w:r w:rsidR="00AD683F">
        <w:rPr>
          <w:rFonts w:ascii="Times New Roman" w:hAnsi="Times New Roman"/>
          <w:color w:val="585756"/>
          <w:sz w:val="21"/>
        </w:rPr>
        <w:t> </w:t>
      </w:r>
      <w:r>
        <w:rPr>
          <w:rFonts w:ascii="Georgia" w:hAnsi="Georgia"/>
          <w:color w:val="585756"/>
          <w:sz w:val="21"/>
        </w:rPr>
        <w:t>Coopération Technique Belge</w:t>
      </w:r>
      <w:r w:rsidR="00AD683F">
        <w:rPr>
          <w:rFonts w:ascii="Times New Roman" w:hAnsi="Times New Roman"/>
          <w:color w:val="585756"/>
          <w:sz w:val="21"/>
        </w:rPr>
        <w:t> </w:t>
      </w:r>
      <w:r>
        <w:rPr>
          <w:rFonts w:ascii="Georgia" w:hAnsi="Georgia"/>
          <w:color w:val="585756"/>
          <w:sz w:val="21"/>
        </w:rPr>
        <w:t>» sous la forme d’une société de droit public</w:t>
      </w:r>
      <w:r w:rsidRPr="00247747">
        <w:rPr>
          <w:rFonts w:ascii="Georgia" w:eastAsia="Calibri" w:hAnsi="Georgia"/>
          <w:color w:val="585756"/>
          <w:sz w:val="21"/>
          <w:szCs w:val="22"/>
          <w:vertAlign w:val="superscript"/>
        </w:rPr>
        <w:footnoteReference w:id="3"/>
      </w:r>
      <w:r>
        <w:rPr>
          <w:rFonts w:ascii="Georgia" w:hAnsi="Georgia"/>
          <w:color w:val="585756"/>
          <w:sz w:val="21"/>
        </w:rPr>
        <w:t> ;</w:t>
      </w:r>
    </w:p>
    <w:p w14:paraId="242CE109" w14:textId="77777777" w:rsidR="00E80B01" w:rsidRPr="00C91137" w:rsidRDefault="00E80B01" w:rsidP="00E80B01">
      <w:pPr>
        <w:pStyle w:val="BTCtextCTB"/>
        <w:rPr>
          <w:rFonts w:ascii="Georgia" w:eastAsia="Calibri" w:hAnsi="Georgia"/>
          <w:color w:val="585756"/>
          <w:sz w:val="21"/>
          <w:szCs w:val="22"/>
        </w:rPr>
      </w:pPr>
      <w:r>
        <w:rPr>
          <w:rFonts w:ascii="Georgia" w:hAnsi="Georgia"/>
          <w:color w:val="585756"/>
          <w:sz w:val="21"/>
        </w:rPr>
        <w:lastRenderedPageBreak/>
        <w:t>- la loi du 23 novembre 2017 portant modification du nom de la Coopération technique belge et définition des missions et du fonctionnement d’</w:t>
      </w:r>
      <w:proofErr w:type="spellStart"/>
      <w:r>
        <w:rPr>
          <w:rFonts w:ascii="Georgia" w:hAnsi="Georgia"/>
          <w:color w:val="585756"/>
          <w:sz w:val="21"/>
        </w:rPr>
        <w:t>Enabel</w:t>
      </w:r>
      <w:proofErr w:type="spellEnd"/>
      <w:r>
        <w:rPr>
          <w:rFonts w:ascii="Georgia" w:hAnsi="Georgia"/>
          <w:color w:val="585756"/>
          <w:sz w:val="21"/>
        </w:rPr>
        <w:t xml:space="preserve">, Agence belge de Développement, publiée au Moniteur belge du 11 décembre 2017. </w:t>
      </w:r>
    </w:p>
    <w:p w14:paraId="68C1ED42" w14:textId="77777777" w:rsidR="00E80B01" w:rsidRPr="00C91137" w:rsidRDefault="00E80B01" w:rsidP="00E80B01">
      <w:pPr>
        <w:pStyle w:val="BodyText"/>
        <w:rPr>
          <w:rFonts w:ascii="Georgia" w:eastAsia="Calibri" w:hAnsi="Georgia" w:cs="Times New Roman"/>
          <w:color w:val="585756"/>
          <w:kern w:val="0"/>
          <w:sz w:val="21"/>
          <w:szCs w:val="22"/>
        </w:rPr>
      </w:pPr>
      <w:r>
        <w:rPr>
          <w:rFonts w:ascii="Georgia" w:hAnsi="Georgia"/>
          <w:color w:val="585756"/>
          <w:sz w:val="21"/>
        </w:rPr>
        <w:t>Les développements suivants constituent eux aussi un fil rouge dans le travail d’</w:t>
      </w:r>
      <w:proofErr w:type="spellStart"/>
      <w:r>
        <w:rPr>
          <w:rFonts w:ascii="Georgia" w:hAnsi="Georgia"/>
          <w:color w:val="585756"/>
          <w:sz w:val="21"/>
        </w:rPr>
        <w:t>Enabel</w:t>
      </w:r>
      <w:proofErr w:type="spellEnd"/>
      <w:r>
        <w:rPr>
          <w:rFonts w:ascii="Georgia" w:hAnsi="Georgia"/>
          <w:color w:val="585756"/>
          <w:sz w:val="21"/>
        </w:rPr>
        <w:t> ; citons, à titre de principaux exemples :</w:t>
      </w:r>
    </w:p>
    <w:p w14:paraId="72B7F8C1" w14:textId="77777777" w:rsidR="00E80B01" w:rsidRPr="00C91137"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 xml:space="preserve">sur le plan de la coopération internationale : les Objectifs de développement durable des Nations Unies et la Déclaration de Paris sur l’harmonisation et l’alignement de l’aide ; </w:t>
      </w:r>
    </w:p>
    <w:p w14:paraId="16CF0704" w14:textId="77777777" w:rsidR="00E80B01" w:rsidRPr="00211A79"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sur le plan de la lutte contre la corruption : la loi du 8 mai 2007 portant assentiment à la Convention des Nations Unies contre la corruption, faite à New York le 31 octobre 2003</w:t>
      </w:r>
      <w:r w:rsidRPr="00FC126B">
        <w:rPr>
          <w:rFonts w:ascii="Georgia" w:eastAsia="Calibri" w:hAnsi="Georgia"/>
          <w:bCs w:val="0"/>
          <w:color w:val="585756"/>
          <w:sz w:val="21"/>
          <w:szCs w:val="22"/>
          <w:vertAlign w:val="superscript"/>
          <w:lang w:val="en-US" w:eastAsia="en-US"/>
        </w:rPr>
        <w:footnoteReference w:id="4"/>
      </w:r>
      <w:r>
        <w:rPr>
          <w:rFonts w:ascii="Georgia" w:hAnsi="Georgia"/>
          <w:color w:val="585756"/>
          <w:sz w:val="21"/>
        </w:rPr>
        <w:t>, ainsi que la loi du 10 février 1999 relative à la répression de la corruption transposant la Convention relative à la lutte contre la corruption de fonctionnaires étrangers dans des transactions commerciales internationales ;</w:t>
      </w:r>
    </w:p>
    <w:p w14:paraId="1F4CE485" w14:textId="63C98660" w:rsidR="00E80B01" w:rsidRPr="00211A79"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sur le plan des droits humains : la Déclaration Universelle des Droits de l’Homme des Nations Unies (1948) ainsi que les 8</w:t>
      </w:r>
      <w:r w:rsidR="00B5602D">
        <w:rPr>
          <w:rFonts w:ascii="Georgia" w:hAnsi="Georgia"/>
          <w:color w:val="585756"/>
          <w:sz w:val="21"/>
        </w:rPr>
        <w:t> </w:t>
      </w:r>
      <w:r>
        <w:rPr>
          <w:rFonts w:ascii="Georgia" w:hAnsi="Georgia"/>
          <w:color w:val="585756"/>
          <w:sz w:val="21"/>
        </w:rPr>
        <w:t>conventions de base de l’Organisation Internationale du Travail</w:t>
      </w:r>
      <w:r w:rsidRPr="0051411C">
        <w:rPr>
          <w:rFonts w:ascii="Georgia" w:eastAsia="Calibri" w:hAnsi="Georgia"/>
          <w:bCs w:val="0"/>
          <w:color w:val="585756"/>
          <w:sz w:val="21"/>
          <w:szCs w:val="22"/>
          <w:lang w:val="fr-BE" w:eastAsia="en-US"/>
        </w:rPr>
        <w:footnoteReference w:id="5"/>
      </w:r>
      <w:r>
        <w:rPr>
          <w:rFonts w:ascii="Georgia" w:hAnsi="Georgia"/>
          <w:color w:val="585756"/>
          <w:sz w:val="21"/>
        </w:rPr>
        <w:t> consacrant en particulier le droit à la liberté syndicale (C. n° 87), le droit d’organisation et de négociation collective (C. n° 98), l’interdiction du travail forcé (C. n° 29 et 105), l’interdiction de toute discrimination en matière de travail et de rémunération (C. n° 100 et 111), l’âge minimum fixé pour le travail des enfants (C. n° 138), l’interdiction des pires formes de ce travail (C. n° 182) ;</w:t>
      </w:r>
    </w:p>
    <w:p w14:paraId="63E78167" w14:textId="14AEC0A7" w:rsidR="00E80B01" w:rsidRPr="0051411C"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sur le plan du respect de l’environnement : la Convention-cadre sur les changements climatiques de Paris du 12 décembre 2015 ;</w:t>
      </w:r>
    </w:p>
    <w:p w14:paraId="435C4A5F" w14:textId="77777777" w:rsidR="00E80B01" w:rsidRPr="0051411C" w:rsidRDefault="00E80B01">
      <w:pPr>
        <w:pStyle w:val="BTCbulletsCTB"/>
        <w:numPr>
          <w:ilvl w:val="0"/>
          <w:numId w:val="15"/>
        </w:numPr>
        <w:rPr>
          <w:rFonts w:ascii="Georgia" w:eastAsia="Calibri" w:hAnsi="Georgia"/>
          <w:bCs w:val="0"/>
          <w:color w:val="585756"/>
          <w:sz w:val="21"/>
          <w:szCs w:val="22"/>
        </w:rPr>
      </w:pPr>
      <w:r>
        <w:rPr>
          <w:rFonts w:ascii="Georgia" w:hAnsi="Georgia"/>
          <w:color w:val="585756"/>
          <w:sz w:val="21"/>
        </w:rPr>
        <w:t xml:space="preserve">le premier contrat de gestion entre </w:t>
      </w:r>
      <w:proofErr w:type="spellStart"/>
      <w:r>
        <w:rPr>
          <w:rFonts w:ascii="Georgia" w:hAnsi="Georgia"/>
          <w:color w:val="585756"/>
          <w:sz w:val="21"/>
        </w:rPr>
        <w:t>Enabel</w:t>
      </w:r>
      <w:proofErr w:type="spellEnd"/>
      <w:r>
        <w:rPr>
          <w:rFonts w:ascii="Georgia" w:hAnsi="Georgia"/>
          <w:color w:val="585756"/>
          <w:sz w:val="21"/>
        </w:rPr>
        <w:t xml:space="preserve"> et l’État fédéral belge (approuvé par A.R. du 17.12.2017, M.B. 22.12.2017) qui arrête les règles et les conditions spéciales relatives à l’exercice des tâches de service public par </w:t>
      </w:r>
      <w:proofErr w:type="spellStart"/>
      <w:r>
        <w:rPr>
          <w:rFonts w:ascii="Georgia" w:hAnsi="Georgia"/>
          <w:color w:val="585756"/>
          <w:sz w:val="21"/>
        </w:rPr>
        <w:t>Enabel</w:t>
      </w:r>
      <w:proofErr w:type="spellEnd"/>
      <w:r>
        <w:rPr>
          <w:rFonts w:ascii="Georgia" w:hAnsi="Georgia"/>
          <w:color w:val="585756"/>
          <w:sz w:val="21"/>
        </w:rPr>
        <w:t xml:space="preserve"> pour le compte de l’État belge ;</w:t>
      </w:r>
    </w:p>
    <w:p w14:paraId="469E0550" w14:textId="67E0CED4" w:rsidR="00E80B01" w:rsidRDefault="00E80B01">
      <w:pPr>
        <w:pStyle w:val="BTCbulletsCTB"/>
        <w:numPr>
          <w:ilvl w:val="0"/>
          <w:numId w:val="15"/>
        </w:numPr>
        <w:rPr>
          <w:rFonts w:ascii="Georgia" w:eastAsia="Calibri" w:hAnsi="Georgia"/>
          <w:color w:val="585756"/>
          <w:sz w:val="21"/>
          <w:szCs w:val="21"/>
        </w:rPr>
      </w:pPr>
      <w:r>
        <w:rPr>
          <w:rFonts w:ascii="Georgia" w:hAnsi="Georgia"/>
          <w:color w:val="585756"/>
          <w:sz w:val="21"/>
        </w:rPr>
        <w:t>le Code éthique d’</w:t>
      </w:r>
      <w:proofErr w:type="spellStart"/>
      <w:r>
        <w:rPr>
          <w:rFonts w:ascii="Georgia" w:hAnsi="Georgia"/>
          <w:color w:val="585756"/>
          <w:sz w:val="21"/>
        </w:rPr>
        <w:t>Enabel</w:t>
      </w:r>
      <w:proofErr w:type="spellEnd"/>
      <w:r>
        <w:rPr>
          <w:rFonts w:ascii="Georgia" w:hAnsi="Georgia"/>
          <w:color w:val="585756"/>
          <w:sz w:val="21"/>
        </w:rPr>
        <w:t xml:space="preserve"> de janvier 2019, ainsi que la Politique d’</w:t>
      </w:r>
      <w:proofErr w:type="spellStart"/>
      <w:r>
        <w:rPr>
          <w:rFonts w:ascii="Georgia" w:hAnsi="Georgia"/>
          <w:color w:val="585756"/>
          <w:sz w:val="21"/>
        </w:rPr>
        <w:t>Enabel</w:t>
      </w:r>
      <w:proofErr w:type="spellEnd"/>
      <w:r>
        <w:rPr>
          <w:rFonts w:ascii="Georgia" w:hAnsi="Georgia"/>
          <w:color w:val="585756"/>
          <w:sz w:val="21"/>
        </w:rPr>
        <w:t xml:space="preserve"> concernant l’exploitation et les abus sexuels de juin 2019 et la Politique d’</w:t>
      </w:r>
      <w:proofErr w:type="spellStart"/>
      <w:r>
        <w:rPr>
          <w:rFonts w:ascii="Georgia" w:hAnsi="Georgia"/>
          <w:color w:val="585756"/>
          <w:sz w:val="21"/>
        </w:rPr>
        <w:t>Enabel</w:t>
      </w:r>
      <w:proofErr w:type="spellEnd"/>
      <w:r>
        <w:rPr>
          <w:rFonts w:ascii="Georgia" w:hAnsi="Georgia"/>
          <w:color w:val="585756"/>
          <w:sz w:val="21"/>
        </w:rPr>
        <w:t xml:space="preserve"> concernant la maîtrise des risques de fraude et de corruption de juin 2019.</w:t>
      </w:r>
    </w:p>
    <w:p w14:paraId="366B89D6" w14:textId="77777777" w:rsidR="0089496F" w:rsidRPr="005B7D75" w:rsidRDefault="0089496F" w:rsidP="0089496F">
      <w:pPr>
        <w:pStyle w:val="BTCbulletsCTB"/>
        <w:tabs>
          <w:tab w:val="clear" w:pos="1224"/>
        </w:tabs>
        <w:ind w:left="0" w:firstLine="0"/>
        <w:rPr>
          <w:rFonts w:ascii="Georgia" w:eastAsia="Calibri" w:hAnsi="Georgia"/>
          <w:color w:val="585756"/>
          <w:sz w:val="21"/>
          <w:szCs w:val="21"/>
          <w:lang w:eastAsia="en-US"/>
        </w:rPr>
      </w:pPr>
    </w:p>
    <w:p w14:paraId="373EAFFF" w14:textId="77777777" w:rsidR="00E80B01" w:rsidRDefault="00E80B01" w:rsidP="00E80B01">
      <w:pPr>
        <w:pStyle w:val="Heading2"/>
      </w:pPr>
      <w:bookmarkStart w:id="5" w:name="législation"/>
      <w:bookmarkStart w:id="6" w:name="_Ref233108991"/>
      <w:bookmarkStart w:id="7" w:name="_Ref233108994"/>
      <w:bookmarkStart w:id="8" w:name="_Toc257380472"/>
      <w:bookmarkStart w:id="9" w:name="_Toc260134189"/>
      <w:bookmarkStart w:id="10" w:name="_Toc364253063"/>
      <w:bookmarkStart w:id="11" w:name="_Toc122009324"/>
      <w:bookmarkStart w:id="12" w:name="_Toc160610146"/>
      <w:r>
        <w:t>Règles régissant le marché</w:t>
      </w:r>
      <w:bookmarkEnd w:id="5"/>
      <w:bookmarkEnd w:id="6"/>
      <w:bookmarkEnd w:id="7"/>
      <w:bookmarkEnd w:id="8"/>
      <w:bookmarkEnd w:id="9"/>
      <w:bookmarkEnd w:id="10"/>
      <w:bookmarkEnd w:id="11"/>
      <w:bookmarkEnd w:id="12"/>
    </w:p>
    <w:p w14:paraId="7AF28C9F" w14:textId="77777777" w:rsidR="00E80B01" w:rsidRPr="00E80B01" w:rsidRDefault="00E80B01" w:rsidP="00E80B01">
      <w:pPr>
        <w:rPr>
          <w:szCs w:val="21"/>
        </w:rPr>
      </w:pPr>
      <w:r>
        <w:t>Sont e.a. d’application au présent marché public :</w:t>
      </w:r>
    </w:p>
    <w:p w14:paraId="46099870"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La loi du 17 juin 2016 relative aux marchés publics</w:t>
      </w:r>
      <w:r w:rsidRPr="00E80B01">
        <w:rPr>
          <w:rFonts w:ascii="Georgia" w:eastAsia="Calibri" w:hAnsi="Georgia"/>
          <w:bCs w:val="0"/>
          <w:color w:val="585756"/>
          <w:sz w:val="21"/>
          <w:szCs w:val="21"/>
          <w:vertAlign w:val="superscript"/>
          <w:lang w:val="en-US" w:eastAsia="en-US"/>
        </w:rPr>
        <w:footnoteReference w:id="6"/>
      </w:r>
      <w:r>
        <w:rPr>
          <w:rFonts w:ascii="Georgia" w:hAnsi="Georgia"/>
          <w:color w:val="585756"/>
          <w:sz w:val="21"/>
        </w:rPr>
        <w:t> ;</w:t>
      </w:r>
    </w:p>
    <w:p w14:paraId="7929D115"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la loi du 17 juin 2013 relative à la motivation, à l’information et aux voies de recours en matière de marchés publics et de certains marchés de travaux, de fournitures et de services</w:t>
      </w:r>
      <w:r w:rsidRPr="00E80B01">
        <w:rPr>
          <w:rFonts w:ascii="Georgia" w:eastAsia="Calibri" w:hAnsi="Georgia"/>
          <w:bCs w:val="0"/>
          <w:color w:val="585756"/>
          <w:sz w:val="21"/>
          <w:szCs w:val="21"/>
          <w:vertAlign w:val="superscript"/>
          <w:lang w:val="en-US" w:eastAsia="en-US"/>
        </w:rPr>
        <w:footnoteReference w:id="7"/>
      </w:r>
      <w:r>
        <w:rPr>
          <w:rFonts w:ascii="Georgia" w:hAnsi="Georgia"/>
          <w:color w:val="585756"/>
          <w:sz w:val="21"/>
        </w:rPr>
        <w:t> ;</w:t>
      </w:r>
    </w:p>
    <w:p w14:paraId="54470F02"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l’A.R. du 18 avril 2017 relatif à la passation des marchés publics dans les secteurs classiques ;</w:t>
      </w:r>
    </w:p>
    <w:p w14:paraId="4517ADA5" w14:textId="77777777"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lastRenderedPageBreak/>
        <w:t>l’A.R. du 14 janvier 2013 établissant les règles générales d’exécution des marchés publics</w:t>
      </w:r>
      <w:r w:rsidRPr="00E80B01">
        <w:rPr>
          <w:rFonts w:ascii="Georgia" w:eastAsia="Calibri" w:hAnsi="Georgia"/>
          <w:bCs w:val="0"/>
          <w:color w:val="585756"/>
          <w:sz w:val="21"/>
          <w:szCs w:val="21"/>
          <w:vertAlign w:val="superscript"/>
          <w:lang w:val="en-US" w:eastAsia="en-US"/>
        </w:rPr>
        <w:footnoteReference w:id="8"/>
      </w:r>
      <w:r>
        <w:rPr>
          <w:rFonts w:ascii="Georgia" w:hAnsi="Georgia"/>
          <w:color w:val="585756"/>
          <w:sz w:val="21"/>
        </w:rPr>
        <w:t> ;</w:t>
      </w:r>
    </w:p>
    <w:p w14:paraId="386D7EB0" w14:textId="1BCD1879" w:rsidR="00E80B01" w:rsidRPr="00E80B01" w:rsidRDefault="00E80B01">
      <w:pPr>
        <w:pStyle w:val="BTCbulletsCTB"/>
        <w:numPr>
          <w:ilvl w:val="0"/>
          <w:numId w:val="15"/>
        </w:numPr>
        <w:rPr>
          <w:rFonts w:ascii="Georgia" w:eastAsia="Calibri" w:hAnsi="Georgia"/>
          <w:bCs w:val="0"/>
          <w:color w:val="585756"/>
          <w:sz w:val="21"/>
          <w:szCs w:val="21"/>
        </w:rPr>
      </w:pPr>
      <w:r>
        <w:rPr>
          <w:rFonts w:ascii="Georgia" w:hAnsi="Georgia"/>
          <w:color w:val="585756"/>
          <w:sz w:val="21"/>
        </w:rPr>
        <w:t>les circulaires du Premier Ministre en matière de marchés publics ;</w:t>
      </w:r>
    </w:p>
    <w:p w14:paraId="5BA2076B" w14:textId="77777777" w:rsidR="00E80B01" w:rsidRPr="00E80B01" w:rsidRDefault="00E80B01">
      <w:pPr>
        <w:pStyle w:val="ListParagraph"/>
        <w:numPr>
          <w:ilvl w:val="0"/>
          <w:numId w:val="15"/>
        </w:numPr>
        <w:rPr>
          <w:szCs w:val="21"/>
        </w:rPr>
      </w:pPr>
      <w:r>
        <w:t>la politique d’</w:t>
      </w:r>
      <w:proofErr w:type="spellStart"/>
      <w:r>
        <w:t>Enabel</w:t>
      </w:r>
      <w:proofErr w:type="spellEnd"/>
      <w:r>
        <w:t xml:space="preserve"> concernant l’exploitation et les abus sexuels – juin 2019 ;</w:t>
      </w:r>
    </w:p>
    <w:p w14:paraId="720379C5" w14:textId="6CFDD6E4" w:rsidR="00E80B01" w:rsidRPr="00E80B01" w:rsidRDefault="00E80B01">
      <w:pPr>
        <w:pStyle w:val="ListParagraph"/>
        <w:numPr>
          <w:ilvl w:val="0"/>
          <w:numId w:val="15"/>
        </w:numPr>
        <w:rPr>
          <w:szCs w:val="21"/>
        </w:rPr>
      </w:pPr>
      <w:r>
        <w:t>la politique d’</w:t>
      </w:r>
      <w:proofErr w:type="spellStart"/>
      <w:r>
        <w:t>Enabel</w:t>
      </w:r>
      <w:proofErr w:type="spellEnd"/>
      <w:r>
        <w:t xml:space="preserve"> concernant la maîtrise des risques de fraude et de corruption – juin 2019 ;</w:t>
      </w:r>
    </w:p>
    <w:p w14:paraId="0A637BF9" w14:textId="77777777" w:rsidR="00E80B01" w:rsidRPr="00E80B01" w:rsidRDefault="00E80B01" w:rsidP="00E80B01">
      <w:pPr>
        <w:rPr>
          <w:szCs w:val="21"/>
        </w:rPr>
      </w:pPr>
      <w:r>
        <w:t>toute la réglementation belge sur les marchés publics peut être consultée sur www.publicprocurement.be, et le Code éthique et les politiques d’</w:t>
      </w:r>
      <w:proofErr w:type="spellStart"/>
      <w:r>
        <w:t>Enabel</w:t>
      </w:r>
      <w:proofErr w:type="spellEnd"/>
      <w:r>
        <w:t xml:space="preserve"> mentionnés ci-dessus sur le site web d’</w:t>
      </w:r>
      <w:proofErr w:type="spellStart"/>
      <w:r>
        <w:t>Enabel</w:t>
      </w:r>
      <w:proofErr w:type="spellEnd"/>
      <w:r>
        <w:t xml:space="preserve"> à l’adresse https://www.enabel.be/content/integrity-desk.</w:t>
      </w:r>
    </w:p>
    <w:p w14:paraId="2597A73F" w14:textId="77777777" w:rsidR="00E80B01" w:rsidRPr="00E80B01" w:rsidRDefault="00E80B01" w:rsidP="00E80B01">
      <w:pPr>
        <w:rPr>
          <w:szCs w:val="21"/>
        </w:rPr>
      </w:pPr>
      <w:r>
        <w:t xml:space="preserve">Sont également d’application au présent contrat : </w:t>
      </w:r>
    </w:p>
    <w:p w14:paraId="45F7E0AC" w14:textId="77777777" w:rsidR="00E80B01" w:rsidRPr="00E80B01" w:rsidRDefault="00E80B01">
      <w:pPr>
        <w:pStyle w:val="ListParagraph"/>
        <w:numPr>
          <w:ilvl w:val="0"/>
          <w:numId w:val="15"/>
        </w:numPr>
        <w:rPr>
          <w:szCs w:val="21"/>
        </w:rPr>
      </w:pPr>
      <w:r>
        <w:t>le Règlement (UE) 2016/679 du Parlement européen et du Conseil du 27 avril 2016 relatif à la protection des personnes physiques à l’égard du traitement des données à caractère personnel et à la libre circulation de ces données (Règlement général relatif à la protection des données, ci-après RGPD), et abrogeant la directive 95/46/CE ;</w:t>
      </w:r>
    </w:p>
    <w:p w14:paraId="5172F695" w14:textId="77777777" w:rsidR="00E80B01" w:rsidRPr="00E80B01" w:rsidRDefault="00E80B01">
      <w:pPr>
        <w:pStyle w:val="ListParagraph"/>
        <w:numPr>
          <w:ilvl w:val="0"/>
          <w:numId w:val="15"/>
        </w:numPr>
        <w:rPr>
          <w:szCs w:val="21"/>
        </w:rPr>
      </w:pPr>
      <w:r>
        <w:t>la loi du 3 décembre 2017 portant création de l’Autorité de protection des données ;</w:t>
      </w:r>
    </w:p>
    <w:p w14:paraId="426A92A3" w14:textId="77777777" w:rsidR="00E80B01" w:rsidRPr="00E80B01" w:rsidRDefault="00E80B01">
      <w:pPr>
        <w:pStyle w:val="ListParagraph"/>
        <w:numPr>
          <w:ilvl w:val="0"/>
          <w:numId w:val="15"/>
        </w:numPr>
        <w:rPr>
          <w:szCs w:val="21"/>
        </w:rPr>
      </w:pPr>
      <w:r>
        <w:t>la loi du 30 juillet 2018 relative à la protection des personnes physiques à l’égard des traitements de données à caractère personnel.</w:t>
      </w:r>
    </w:p>
    <w:p w14:paraId="1C7FAAEB" w14:textId="77777777" w:rsidR="00BE1FEA" w:rsidRPr="00BE1FEA" w:rsidRDefault="00BE1FEA" w:rsidP="00BE1FEA">
      <w:pPr>
        <w:jc w:val="both"/>
        <w:rPr>
          <w:sz w:val="20"/>
          <w:szCs w:val="20"/>
        </w:rPr>
      </w:pPr>
    </w:p>
    <w:p w14:paraId="6D304116" w14:textId="77777777" w:rsidR="000D0691" w:rsidRPr="000D0691" w:rsidRDefault="000D0691" w:rsidP="00B7382D">
      <w:pPr>
        <w:pStyle w:val="Heading2"/>
      </w:pPr>
      <w:bookmarkStart w:id="13" w:name="_Toc160610147"/>
      <w:r>
        <w:t>Définitions</w:t>
      </w:r>
      <w:bookmarkEnd w:id="13"/>
    </w:p>
    <w:p w14:paraId="6D304117" w14:textId="5679875F" w:rsidR="000D0691" w:rsidRPr="00A50864" w:rsidRDefault="000D0691" w:rsidP="000D0691">
      <w:pPr>
        <w:rPr>
          <w:szCs w:val="21"/>
        </w:rPr>
      </w:pPr>
      <w:r>
        <w:t>Dans le cadre de ce marché, il faut comprendre par :</w:t>
      </w:r>
    </w:p>
    <w:p w14:paraId="6D304118" w14:textId="14224C9D" w:rsidR="000D0691" w:rsidRPr="00A50864" w:rsidRDefault="000D0691" w:rsidP="00777B24">
      <w:pPr>
        <w:pStyle w:val="ListParagraph"/>
        <w:numPr>
          <w:ilvl w:val="0"/>
          <w:numId w:val="3"/>
        </w:numPr>
        <w:rPr>
          <w:szCs w:val="21"/>
        </w:rPr>
      </w:pPr>
      <w:r>
        <w:rPr>
          <w:u w:val="single"/>
        </w:rPr>
        <w:t>Le soumissionnaire</w:t>
      </w:r>
      <w:r>
        <w:t> : la personne physique (m/f) ou morale qui introduit une offre ;</w:t>
      </w:r>
    </w:p>
    <w:p w14:paraId="6D304119" w14:textId="02E1CD86" w:rsidR="000D0691" w:rsidRPr="00A50864" w:rsidRDefault="000D0691" w:rsidP="00777B24">
      <w:pPr>
        <w:pStyle w:val="ListParagraph"/>
        <w:numPr>
          <w:ilvl w:val="0"/>
          <w:numId w:val="3"/>
        </w:numPr>
        <w:rPr>
          <w:szCs w:val="21"/>
        </w:rPr>
      </w:pPr>
      <w:r>
        <w:rPr>
          <w:u w:val="single"/>
        </w:rPr>
        <w:t>L’adjudicataire / le prestataire de services</w:t>
      </w:r>
      <w:r>
        <w:t> : le soumissionnaire à qui le marché est attribué ;</w:t>
      </w:r>
    </w:p>
    <w:p w14:paraId="6D30411A" w14:textId="2B9640C8" w:rsidR="000D0691" w:rsidRPr="00A50864" w:rsidRDefault="0031744D" w:rsidP="00777B24">
      <w:pPr>
        <w:pStyle w:val="ListParagraph"/>
        <w:numPr>
          <w:ilvl w:val="0"/>
          <w:numId w:val="3"/>
        </w:numPr>
        <w:rPr>
          <w:szCs w:val="21"/>
        </w:rPr>
      </w:pPr>
      <w:r>
        <w:rPr>
          <w:u w:val="single"/>
        </w:rPr>
        <w:t>Le pouvoir adjudicateur ou l’adjudicateur</w:t>
      </w:r>
      <w:r>
        <w:t xml:space="preserve"> : </w:t>
      </w:r>
      <w:proofErr w:type="spellStart"/>
      <w:r>
        <w:t>Enabel</w:t>
      </w:r>
      <w:proofErr w:type="spellEnd"/>
      <w:r>
        <w:t> ;</w:t>
      </w:r>
    </w:p>
    <w:p w14:paraId="6D30411B" w14:textId="3A6042D5" w:rsidR="000D0691" w:rsidRPr="00A50864" w:rsidRDefault="000D0691" w:rsidP="00777B24">
      <w:pPr>
        <w:pStyle w:val="ListParagraph"/>
        <w:numPr>
          <w:ilvl w:val="0"/>
          <w:numId w:val="3"/>
        </w:numPr>
        <w:rPr>
          <w:szCs w:val="21"/>
        </w:rPr>
      </w:pPr>
      <w:r>
        <w:rPr>
          <w:u w:val="single"/>
        </w:rPr>
        <w:t>L’offre</w:t>
      </w:r>
      <w:r>
        <w:t> : l’engagement du soumissionnaire d’exécuter le marché aux conditions qu’il présente ;</w:t>
      </w:r>
    </w:p>
    <w:p w14:paraId="2AECDFFC" w14:textId="19F0A8AB" w:rsidR="00AD19C7" w:rsidRPr="00A50864" w:rsidRDefault="00AD19C7" w:rsidP="00777B24">
      <w:pPr>
        <w:pStyle w:val="ListParagraph"/>
        <w:numPr>
          <w:ilvl w:val="0"/>
          <w:numId w:val="3"/>
        </w:numPr>
        <w:rPr>
          <w:szCs w:val="21"/>
        </w:rPr>
      </w:pPr>
      <w:r>
        <w:rPr>
          <w:u w:val="single"/>
        </w:rPr>
        <w:t>Signature électronique</w:t>
      </w:r>
      <w:r>
        <w:t> : des données sous forme électronique, qui sont jointes ou associées logiquement à d’autres données sous forme électronique et que le signataire utilise pour signer ;</w:t>
      </w:r>
    </w:p>
    <w:p w14:paraId="6D30411C" w14:textId="0B0486C2" w:rsidR="000D0691" w:rsidRPr="00A50864" w:rsidRDefault="000D0691" w:rsidP="00777B24">
      <w:pPr>
        <w:pStyle w:val="ListParagraph"/>
        <w:numPr>
          <w:ilvl w:val="0"/>
          <w:numId w:val="3"/>
        </w:numPr>
        <w:rPr>
          <w:szCs w:val="21"/>
        </w:rPr>
      </w:pPr>
      <w:r>
        <w:rPr>
          <w:u w:val="single"/>
        </w:rPr>
        <w:t>Jours</w:t>
      </w:r>
      <w:r>
        <w:t> : à défaut d’indication dans le cahier spécial des charges et la réglementation applicable, tous les jours s’entendent comme des jours de calendrier ;</w:t>
      </w:r>
    </w:p>
    <w:p w14:paraId="6D30411D" w14:textId="22B2B95A" w:rsidR="000D0691" w:rsidRPr="00A50864" w:rsidRDefault="000D0691" w:rsidP="00777B24">
      <w:pPr>
        <w:pStyle w:val="ListParagraph"/>
        <w:numPr>
          <w:ilvl w:val="0"/>
          <w:numId w:val="3"/>
        </w:numPr>
        <w:jc w:val="both"/>
        <w:rPr>
          <w:szCs w:val="21"/>
        </w:rPr>
      </w:pPr>
      <w:r>
        <w:rPr>
          <w:u w:val="single"/>
        </w:rPr>
        <w:t>Documents du marché</w:t>
      </w:r>
      <w:r>
        <w:t> : avis de marché et cahier spécial des charges, y inclus les annexes et les documents auxquels ils se réfèrent ;</w:t>
      </w:r>
    </w:p>
    <w:p w14:paraId="6D30411E" w14:textId="7D08157E" w:rsidR="000D0691" w:rsidRPr="00A50864" w:rsidRDefault="000D0691" w:rsidP="00777B24">
      <w:pPr>
        <w:pStyle w:val="ListParagraph"/>
        <w:numPr>
          <w:ilvl w:val="0"/>
          <w:numId w:val="3"/>
        </w:numPr>
        <w:jc w:val="both"/>
        <w:rPr>
          <w:szCs w:val="21"/>
        </w:rPr>
      </w:pPr>
      <w:r>
        <w:rPr>
          <w:u w:val="single"/>
        </w:rPr>
        <w:t>Spécification technique</w:t>
      </w:r>
      <w:r>
        <w:t xml:space="preserve"> : une spécification qui figure dans un document définissant les caractéristiques requises d’un produit ou d’un service, telles que les niveaux de qualité, les niveaux de la performance environnementale et climatique, la conception pour tous les besoins, y compris l’accessibilité pour les personnes handicapées, et l’évaluation de la conformité, la propriété d’emploi, l’utilisation du produit, la sécurité ou les dimensions, y compris les prescriptions applicables au produit en ce qui concerne le nom sous lequel il est vendu, la terminologie, les symboles, les essais et méthodes d’essais, l’emballage, le marquage et l’étiquetage, les instructions </w:t>
      </w:r>
      <w:r>
        <w:lastRenderedPageBreak/>
        <w:t>d’utilisation, les processus et méthodes de production à tout stade du cycle de vie de la fourniture ou du service, ainsi que les procédures d’évaluation de la conformité ;</w:t>
      </w:r>
    </w:p>
    <w:p w14:paraId="6D30411F" w14:textId="3A2D87EC" w:rsidR="000D0691" w:rsidRPr="00A50864" w:rsidRDefault="000D0691" w:rsidP="00777B24">
      <w:pPr>
        <w:pStyle w:val="ListParagraph"/>
        <w:numPr>
          <w:ilvl w:val="0"/>
          <w:numId w:val="3"/>
        </w:numPr>
        <w:jc w:val="both"/>
        <w:rPr>
          <w:szCs w:val="21"/>
        </w:rPr>
      </w:pPr>
      <w:r>
        <w:rPr>
          <w:u w:val="single"/>
        </w:rPr>
        <w:t>Variante</w:t>
      </w:r>
      <w:r>
        <w:t> : un mode alternatif de conception ou d’exécution qui est introduit soit à la demande du pouvoir adjudicateur, soit sur l’initiative du soumissionnaire ;</w:t>
      </w:r>
    </w:p>
    <w:p w14:paraId="6D304120" w14:textId="7FC43A07" w:rsidR="000D0691" w:rsidRPr="00A50864" w:rsidRDefault="000D0691" w:rsidP="00777B24">
      <w:pPr>
        <w:pStyle w:val="ListParagraph"/>
        <w:numPr>
          <w:ilvl w:val="0"/>
          <w:numId w:val="3"/>
        </w:numPr>
        <w:jc w:val="both"/>
        <w:rPr>
          <w:szCs w:val="21"/>
        </w:rPr>
      </w:pPr>
      <w:r>
        <w:rPr>
          <w:u w:val="single"/>
        </w:rPr>
        <w:t>Option </w:t>
      </w:r>
      <w:r>
        <w:t xml:space="preserve">: un élément accessoire et non strictement nécessaire à l’exécution du marché, </w:t>
      </w:r>
      <w:r>
        <w:rPr>
          <w:rFonts w:ascii="Times New Roman" w:hAnsi="Times New Roman"/>
        </w:rPr>
        <w:t>qui est introduit soit à la demande du pouvoir adjudicateur, soit sur l’initiative du soumissionnaire</w:t>
      </w:r>
      <w:r>
        <w:t> ;</w:t>
      </w:r>
    </w:p>
    <w:p w14:paraId="6D304121" w14:textId="25F321D2" w:rsidR="000D0691" w:rsidRPr="00A50864" w:rsidRDefault="000D0691" w:rsidP="00777B24">
      <w:pPr>
        <w:pStyle w:val="ListParagraph"/>
        <w:numPr>
          <w:ilvl w:val="0"/>
          <w:numId w:val="3"/>
        </w:numPr>
        <w:jc w:val="both"/>
        <w:rPr>
          <w:szCs w:val="21"/>
        </w:rPr>
      </w:pPr>
      <w:r>
        <w:rPr>
          <w:u w:val="single"/>
        </w:rPr>
        <w:t>Inventaire</w:t>
      </w:r>
      <w:r>
        <w:rPr>
          <w:rFonts w:ascii="Times New Roman" w:hAnsi="Times New Roman"/>
        </w:rPr>
        <w:t> : dans un marché de fournitures ou de services, le document du marché qui fractionne les prestations en postes différents et précise pour chacun d’eux la quantité ou le mode de détermination du prix ;</w:t>
      </w:r>
    </w:p>
    <w:p w14:paraId="6D304122" w14:textId="7B6531C1" w:rsidR="000D0691" w:rsidRPr="00A50864" w:rsidRDefault="000D0691" w:rsidP="00777B24">
      <w:pPr>
        <w:pStyle w:val="ListParagraph"/>
        <w:numPr>
          <w:ilvl w:val="0"/>
          <w:numId w:val="3"/>
        </w:numPr>
        <w:jc w:val="both"/>
        <w:rPr>
          <w:szCs w:val="21"/>
        </w:rPr>
      </w:pPr>
      <w:r>
        <w:rPr>
          <w:u w:val="single"/>
        </w:rPr>
        <w:t xml:space="preserve">BDA </w:t>
      </w:r>
      <w:r>
        <w:t>: le Bulletin des Adjudications ;</w:t>
      </w:r>
    </w:p>
    <w:p w14:paraId="6D304123" w14:textId="5697E5CB" w:rsidR="000D0691" w:rsidRPr="00A50864" w:rsidRDefault="000D0691" w:rsidP="00777B24">
      <w:pPr>
        <w:pStyle w:val="ListParagraph"/>
        <w:numPr>
          <w:ilvl w:val="0"/>
          <w:numId w:val="3"/>
        </w:numPr>
        <w:jc w:val="both"/>
        <w:rPr>
          <w:szCs w:val="21"/>
        </w:rPr>
      </w:pPr>
      <w:r>
        <w:rPr>
          <w:u w:val="single"/>
        </w:rPr>
        <w:t>JOUE </w:t>
      </w:r>
      <w:r>
        <w:t>: Journal officiel de l’Union européenne ;</w:t>
      </w:r>
    </w:p>
    <w:p w14:paraId="6D304124" w14:textId="09EF54DE" w:rsidR="000D0691" w:rsidRPr="00A50864" w:rsidRDefault="000D0691" w:rsidP="00777B24">
      <w:pPr>
        <w:pStyle w:val="ListParagraph"/>
        <w:numPr>
          <w:ilvl w:val="0"/>
          <w:numId w:val="3"/>
        </w:numPr>
        <w:jc w:val="both"/>
        <w:rPr>
          <w:szCs w:val="21"/>
        </w:rPr>
      </w:pPr>
      <w:r>
        <w:rPr>
          <w:u w:val="single"/>
        </w:rPr>
        <w:t>OCDE </w:t>
      </w:r>
      <w:r>
        <w:t>: Organisation de coopération et de développement économiques ;</w:t>
      </w:r>
    </w:p>
    <w:p w14:paraId="6D304125" w14:textId="3D976D70" w:rsidR="000D0691" w:rsidRPr="00A50864" w:rsidRDefault="000D0691" w:rsidP="00777B24">
      <w:pPr>
        <w:pStyle w:val="ListParagraph"/>
        <w:numPr>
          <w:ilvl w:val="0"/>
          <w:numId w:val="3"/>
        </w:numPr>
        <w:jc w:val="both"/>
        <w:rPr>
          <w:szCs w:val="21"/>
        </w:rPr>
      </w:pPr>
      <w:r>
        <w:rPr>
          <w:u w:val="single"/>
        </w:rPr>
        <w:t>Les règles générales d’exécution (RGE)</w:t>
      </w:r>
      <w:r>
        <w:t> : les règles se trouvant dans l’A.R. du 14.01.2013 établissant les règles générales d’exécution des marchés publics et des concessions de travaux publics ;</w:t>
      </w:r>
    </w:p>
    <w:p w14:paraId="6D304126" w14:textId="565F8F6E" w:rsidR="000D0691" w:rsidRPr="00A50864" w:rsidRDefault="000D0691" w:rsidP="00777B24">
      <w:pPr>
        <w:pStyle w:val="ListParagraph"/>
        <w:numPr>
          <w:ilvl w:val="0"/>
          <w:numId w:val="3"/>
        </w:numPr>
        <w:jc w:val="both"/>
        <w:rPr>
          <w:szCs w:val="21"/>
        </w:rPr>
      </w:pPr>
      <w:r>
        <w:rPr>
          <w:u w:val="single"/>
        </w:rPr>
        <w:t>Le cahier spécial des charges (CSC)</w:t>
      </w:r>
      <w:r>
        <w:t> : le présent document ainsi que tous ses annexes et documents auxquels il fait référence ;</w:t>
      </w:r>
    </w:p>
    <w:p w14:paraId="6D304127" w14:textId="2B0E408F" w:rsidR="000D0691" w:rsidRPr="00A50864" w:rsidRDefault="000D0691" w:rsidP="00777B24">
      <w:pPr>
        <w:pStyle w:val="ListParagraph"/>
        <w:numPr>
          <w:ilvl w:val="0"/>
          <w:numId w:val="3"/>
        </w:numPr>
        <w:jc w:val="both"/>
        <w:rPr>
          <w:szCs w:val="21"/>
        </w:rPr>
      </w:pPr>
      <w:r>
        <w:rPr>
          <w:u w:val="single"/>
        </w:rPr>
        <w:t>La pratique de corruption</w:t>
      </w:r>
      <w:r>
        <w:t> : toute proposition de donner ou consentir à offrir à quiconque un paiement illicite, un présent, une gratification ou une commission à titre d’incitation ou de récompense pour qu’il accomplisse ou s’abstienne d’accomplir des actes ayant trait à l’attribution du marché ou à l’exécution du marché conclu avec le pouvoir adjudicateur ;</w:t>
      </w:r>
    </w:p>
    <w:p w14:paraId="6D304128" w14:textId="6EAB940D" w:rsidR="0024166E" w:rsidRPr="00A50864" w:rsidRDefault="000D0691" w:rsidP="00777B24">
      <w:pPr>
        <w:pStyle w:val="ListParagraph"/>
        <w:numPr>
          <w:ilvl w:val="0"/>
          <w:numId w:val="3"/>
        </w:numPr>
        <w:jc w:val="both"/>
        <w:rPr>
          <w:szCs w:val="21"/>
        </w:rPr>
      </w:pPr>
      <w:r>
        <w:rPr>
          <w:u w:val="single"/>
        </w:rPr>
        <w:t>Le litige</w:t>
      </w:r>
      <w:r>
        <w:t> : l’action en justice.</w:t>
      </w:r>
    </w:p>
    <w:p w14:paraId="475BB55A" w14:textId="77777777" w:rsidR="00BE1FEA" w:rsidRPr="00A50864" w:rsidRDefault="00BE1FEA" w:rsidP="00BE1FEA">
      <w:pPr>
        <w:jc w:val="both"/>
        <w:rPr>
          <w:szCs w:val="21"/>
        </w:rPr>
      </w:pPr>
    </w:p>
    <w:p w14:paraId="6D304129" w14:textId="77777777" w:rsidR="000D0691" w:rsidRPr="000D0691" w:rsidRDefault="000D0691" w:rsidP="00B7382D">
      <w:pPr>
        <w:pStyle w:val="Heading2"/>
      </w:pPr>
      <w:bookmarkStart w:id="14" w:name="_Toc160610148"/>
      <w:r>
        <w:t>Confidentialité</w:t>
      </w:r>
      <w:bookmarkEnd w:id="14"/>
      <w:r>
        <w:t xml:space="preserve"> </w:t>
      </w:r>
    </w:p>
    <w:p w14:paraId="6D30412A" w14:textId="04ED426C" w:rsidR="000D0691" w:rsidRPr="00A50864" w:rsidRDefault="000D0691" w:rsidP="005E62B1">
      <w:pPr>
        <w:jc w:val="both"/>
        <w:rPr>
          <w:szCs w:val="21"/>
        </w:rPr>
      </w:pPr>
      <w:r>
        <w:t xml:space="preserve">Le soumissionnaire ou l’adjudicataire et </w:t>
      </w:r>
      <w:proofErr w:type="spellStart"/>
      <w:r>
        <w:t>Enabel</w:t>
      </w:r>
      <w:proofErr w:type="spellEnd"/>
      <w:r>
        <w:t xml:space="preserve"> sont tenus au secret à l’égard des tiers concernant toutes les informations confidentielles obtenues dans le cadre du présent marché et ne transmettront celles-ci à des tiers qu’après accord écrit et préalable de l’autre partie. Ils ne diffuseront ces informations confidentielles que parmi les préposés concernés par la mission. Ils garantissent que ces préposés seront dûment informés de leurs obligations de confidentialité et qu’ils les respecteront.</w:t>
      </w:r>
    </w:p>
    <w:p w14:paraId="6D30412B" w14:textId="6E9816ED" w:rsidR="00F0549B" w:rsidRPr="00A50864" w:rsidRDefault="00F0549B" w:rsidP="00DE2EE8">
      <w:pPr>
        <w:pBdr>
          <w:top w:val="single" w:sz="4" w:space="1" w:color="auto"/>
          <w:left w:val="single" w:sz="4" w:space="4" w:color="auto"/>
          <w:bottom w:val="single" w:sz="4" w:space="1" w:color="auto"/>
          <w:right w:val="single" w:sz="4" w:space="4" w:color="auto"/>
        </w:pBdr>
        <w:rPr>
          <w:szCs w:val="21"/>
        </w:rPr>
      </w:pPr>
      <w:r>
        <w:t>Déclaration de confidentialité d’</w:t>
      </w:r>
      <w:proofErr w:type="spellStart"/>
      <w:r>
        <w:t>Enabel</w:t>
      </w:r>
      <w:proofErr w:type="spellEnd"/>
      <w:r>
        <w:br/>
      </w:r>
      <w:proofErr w:type="spellStart"/>
      <w:r>
        <w:t>Enabel</w:t>
      </w:r>
      <w:proofErr w:type="spellEnd"/>
      <w:r>
        <w:t xml:space="preserve"> est sensible à la protection de votre vie privée. Nous nous engageons à protéger et à traiter vos données à caractère personnel avec soin, transparence et dans le strict respect de la législation en matière de protection de la vie privée.</w:t>
      </w:r>
    </w:p>
    <w:p w14:paraId="6D30412C" w14:textId="064B64C7" w:rsidR="00F0549B" w:rsidRPr="00A50864" w:rsidRDefault="00F0549B" w:rsidP="005E62B1">
      <w:pPr>
        <w:pBdr>
          <w:top w:val="single" w:sz="4" w:space="1" w:color="auto"/>
          <w:left w:val="single" w:sz="4" w:space="4" w:color="auto"/>
          <w:bottom w:val="single" w:sz="4" w:space="1" w:color="auto"/>
          <w:right w:val="single" w:sz="4" w:space="4" w:color="auto"/>
        </w:pBdr>
        <w:jc w:val="both"/>
        <w:rPr>
          <w:rStyle w:val="Hyperlink"/>
          <w:szCs w:val="21"/>
        </w:rPr>
      </w:pPr>
      <w:r>
        <w:t xml:space="preserve">Voir aussi : </w:t>
      </w:r>
      <w:hyperlink r:id="rId16" w:history="1">
        <w:r>
          <w:rPr>
            <w:rStyle w:val="Hyperlink"/>
          </w:rPr>
          <w:t>https://www.enabel.be/fr/content/declaration-de-confidentialite-denabel</w:t>
        </w:r>
      </w:hyperlink>
    </w:p>
    <w:p w14:paraId="4B4D4FCB" w14:textId="77777777" w:rsidR="00AD56C4" w:rsidRPr="00A50864" w:rsidRDefault="00AD56C4" w:rsidP="00AD56C4">
      <w:pPr>
        <w:rPr>
          <w:szCs w:val="21"/>
        </w:rPr>
      </w:pPr>
    </w:p>
    <w:p w14:paraId="6D30412D" w14:textId="2912A4E9" w:rsidR="000D0691" w:rsidRPr="000D0691" w:rsidRDefault="000D0691" w:rsidP="00B7382D">
      <w:pPr>
        <w:pStyle w:val="Heading2"/>
      </w:pPr>
      <w:bookmarkStart w:id="15" w:name="_Toc160610149"/>
      <w:r>
        <w:t>Obligations déontologiques</w:t>
      </w:r>
      <w:bookmarkEnd w:id="15"/>
    </w:p>
    <w:p w14:paraId="6D30412E" w14:textId="77777777" w:rsidR="000D0691" w:rsidRPr="00A50864" w:rsidRDefault="000D0691" w:rsidP="005E62B1">
      <w:pPr>
        <w:jc w:val="both"/>
        <w:rPr>
          <w:szCs w:val="21"/>
        </w:rPr>
      </w:pPr>
      <w:r>
        <w:t xml:space="preserve">Tout manquement à se conformer à une ou plusieurs des clauses déontologiques peut aboutir à l’exclusion du candidat, du soumissionnaire ou de l’adjudicataire d’autres marchés publics pour </w:t>
      </w:r>
      <w:proofErr w:type="spellStart"/>
      <w:r>
        <w:t>Enabel</w:t>
      </w:r>
      <w:proofErr w:type="spellEnd"/>
      <w:r>
        <w:t>.</w:t>
      </w:r>
    </w:p>
    <w:p w14:paraId="6D30412F" w14:textId="23712715" w:rsidR="000D0691" w:rsidRPr="00A50864" w:rsidRDefault="000D0691" w:rsidP="005E62B1">
      <w:pPr>
        <w:jc w:val="both"/>
        <w:rPr>
          <w:szCs w:val="21"/>
        </w:rPr>
      </w:pPr>
      <w:r>
        <w:t xml:space="preserve">Pendant la durée du marché, l’adjudicataire et son personnel respectent les droits humains et s’engagent à ne pas heurter les usages politiques, culturels et religieux du pays bénéficiaire. </w:t>
      </w:r>
      <w:r>
        <w:lastRenderedPageBreak/>
        <w:t xml:space="preserve">Le soumissionnaire ou l’adjudicataire est tenu de respecter les normes fondamentales en matière de travail, convenues au plan international par l’Organisation Internationale du Travail (OIT), notamment les conventions sur la liberté syndicale et la négociation collective, sur l’élimination du travail forcé et obligatoire, sur l’élimination des discriminations en matière d’emploi et de profession et sur l’abolition du travail des enfants. </w:t>
      </w:r>
    </w:p>
    <w:p w14:paraId="1845FC19" w14:textId="1F514243" w:rsidR="00384E3F" w:rsidRPr="00A50864" w:rsidRDefault="00384E3F" w:rsidP="005E62B1">
      <w:pPr>
        <w:jc w:val="both"/>
        <w:rPr>
          <w:szCs w:val="21"/>
        </w:rPr>
      </w:pPr>
      <w:r>
        <w:t>Conformément à la Politique concernant l’exploitation et les abus sexuels d’</w:t>
      </w:r>
      <w:proofErr w:type="spellStart"/>
      <w:r>
        <w:t>Enabel</w:t>
      </w:r>
      <w:proofErr w:type="spellEnd"/>
      <w:r>
        <w:t>, l’adjudicataire et son personnel ont le devoir de faire montre d’un comportement irréprochable à l’égard des bénéficiaires des projets et de la population locale en général. Il leur convient de s’abstenir de tout acte qui pourrait être considéré comme une forme d’exploitation ou d’abus sexuels et de s’approprier des principes de base et des directives repris dans cette politique.</w:t>
      </w:r>
    </w:p>
    <w:p w14:paraId="6D304130" w14:textId="77777777" w:rsidR="000D0691" w:rsidRPr="00A50864" w:rsidRDefault="000D0691" w:rsidP="005E62B1">
      <w:pPr>
        <w:jc w:val="both"/>
        <w:rPr>
          <w:szCs w:val="21"/>
        </w:rPr>
      </w:pPr>
      <w:r>
        <w:t>Toute tentative d’un candidat ou d’un soumissionnaire visant à se procurer des informations confidentielles, à procéder à des ententes illicites avec des concurrents ou à influencer le comité d’évaluation ou le pouvoir adjudicateur au cours de la procédure d’examen, de clarification, d’évaluation et de comparaison des offres et des candidatures entraîne le rejet de sa candidature ou de son offre.</w:t>
      </w:r>
    </w:p>
    <w:p w14:paraId="6D304132" w14:textId="2B8D5BCF" w:rsidR="000D0691" w:rsidRPr="00A50864" w:rsidRDefault="000D0691" w:rsidP="005E62B1">
      <w:pPr>
        <w:jc w:val="both"/>
        <w:rPr>
          <w:szCs w:val="21"/>
        </w:rPr>
      </w:pPr>
      <w:r>
        <w:t>Toute offre sera rejetée ou tout contrat (marché public) annulé dès lors qu’il sera avéré que l’attribution du contrat ou son exécution aura donné lieu au versement de «</w:t>
      </w:r>
      <w:r w:rsidR="00AD683F">
        <w:rPr>
          <w:rFonts w:ascii="Times New Roman" w:hAnsi="Times New Roman" w:cs="Times New Roman"/>
        </w:rPr>
        <w:t> </w:t>
      </w:r>
      <w:r>
        <w:t>frais commerciaux extraordinaires</w:t>
      </w:r>
      <w:r w:rsidR="00AD683F">
        <w:rPr>
          <w:rFonts w:ascii="Times New Roman" w:hAnsi="Times New Roman" w:cs="Times New Roman"/>
        </w:rPr>
        <w:t> </w:t>
      </w:r>
      <w:r>
        <w:t>».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w:t>
      </w:r>
    </w:p>
    <w:p w14:paraId="2A698A0A" w14:textId="2DFDDB1A" w:rsidR="00384E3F" w:rsidRPr="00A50864" w:rsidRDefault="00384E3F" w:rsidP="005E62B1">
      <w:pPr>
        <w:jc w:val="both"/>
        <w:rPr>
          <w:szCs w:val="21"/>
        </w:rPr>
      </w:pPr>
      <w:r>
        <w:t>De plus, afin d’éviter toute impression de risque de partialité ou de connivence dans le suivi et le contrôle de l’exécution du marché, il est strictement interdit à l’adjudicataire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7ECB4CDB" w14:textId="7D71C27B" w:rsidR="00384E3F" w:rsidRDefault="00384E3F" w:rsidP="005E62B1">
      <w:pPr>
        <w:jc w:val="both"/>
        <w:rPr>
          <w:rStyle w:val="Hyperlink"/>
          <w:szCs w:val="21"/>
        </w:rPr>
      </w:pPr>
      <w:r>
        <w:t>Conformément à la Politique d’</w:t>
      </w:r>
      <w:proofErr w:type="spellStart"/>
      <w:r>
        <w:t>Enabel</w:t>
      </w:r>
      <w:proofErr w:type="spellEnd"/>
      <w:r>
        <w:t xml:space="preserve"> concernant l’exploitation et les abus sexuels et la Politique d’</w:t>
      </w:r>
      <w:proofErr w:type="spellStart"/>
      <w:r>
        <w:t>Enabel</w:t>
      </w:r>
      <w:proofErr w:type="spellEnd"/>
      <w:r>
        <w:t xml:space="preserve"> concernant la maîtrise des risques de fraude et de corruption, les plaintes liées à des questions d’intégrité (fraude, corruption, etc.) doivent être adressées au bureau d’intégrité via l’adresse </w:t>
      </w:r>
      <w:hyperlink r:id="rId17" w:history="1">
        <w:r>
          <w:rPr>
            <w:rStyle w:val="Hyperlink"/>
          </w:rPr>
          <w:t>https://www.enabelintegrity.be</w:t>
        </w:r>
      </w:hyperlink>
      <w:r>
        <w:t>.</w:t>
      </w:r>
    </w:p>
    <w:p w14:paraId="62F3A77F" w14:textId="77777777" w:rsidR="00A50864" w:rsidRPr="00A50864" w:rsidRDefault="00A50864" w:rsidP="005E62B1">
      <w:pPr>
        <w:jc w:val="both"/>
        <w:rPr>
          <w:szCs w:val="21"/>
        </w:rPr>
      </w:pPr>
    </w:p>
    <w:p w14:paraId="6D304134" w14:textId="77777777" w:rsidR="000D0691" w:rsidRPr="000D0691" w:rsidRDefault="000D0691" w:rsidP="00B7382D">
      <w:pPr>
        <w:pStyle w:val="Heading2"/>
      </w:pPr>
      <w:bookmarkStart w:id="16" w:name="_Toc160610150"/>
      <w:r>
        <w:t>Droit applicable et tribunaux compétents</w:t>
      </w:r>
      <w:bookmarkEnd w:id="16"/>
    </w:p>
    <w:p w14:paraId="6D304135" w14:textId="77777777" w:rsidR="000D0691" w:rsidRPr="00A50864" w:rsidRDefault="000D0691" w:rsidP="005E62B1">
      <w:pPr>
        <w:jc w:val="both"/>
        <w:rPr>
          <w:szCs w:val="21"/>
        </w:rPr>
      </w:pPr>
      <w:r>
        <w:t>Le marché doit être exécuté et interprété conformément au droit belge.</w:t>
      </w:r>
    </w:p>
    <w:p w14:paraId="6D304136" w14:textId="77777777" w:rsidR="000D0691" w:rsidRPr="00A50864" w:rsidRDefault="000D0691" w:rsidP="005E62B1">
      <w:pPr>
        <w:jc w:val="both"/>
        <w:rPr>
          <w:szCs w:val="21"/>
        </w:rPr>
      </w:pPr>
      <w:r>
        <w:t>Les parties s’engagent à remplir de bonne foi leurs engagements en vue d’assurer la bonne fin du marché.</w:t>
      </w:r>
    </w:p>
    <w:p w14:paraId="6D304137" w14:textId="39CDC797" w:rsidR="000D0691" w:rsidRPr="00A50864" w:rsidRDefault="000D0691" w:rsidP="005E62B1">
      <w:pPr>
        <w:jc w:val="both"/>
        <w:rPr>
          <w:szCs w:val="21"/>
        </w:rPr>
      </w:pPr>
      <w:r>
        <w:t>En cas de litige ou de divergence d’opinions entre le pouvoir adjudicateur et l’adjudicataire, les parties se concerteront pour trouver une solution.</w:t>
      </w:r>
    </w:p>
    <w:p w14:paraId="6D304138" w14:textId="77777777" w:rsidR="000D0691" w:rsidRPr="00A50864" w:rsidRDefault="000D0691" w:rsidP="005E62B1">
      <w:pPr>
        <w:jc w:val="both"/>
        <w:rPr>
          <w:szCs w:val="21"/>
        </w:rPr>
      </w:pPr>
      <w:r>
        <w:t>À défaut d’accord, les tribunaux de Bruxelles sont seuls compétents pour trouver une solution.</w:t>
      </w:r>
    </w:p>
    <w:p w14:paraId="6D304139" w14:textId="102EBD88" w:rsidR="0002587C" w:rsidRPr="00A50864" w:rsidRDefault="000D0691" w:rsidP="005E62B1">
      <w:pPr>
        <w:jc w:val="both"/>
        <w:rPr>
          <w:szCs w:val="21"/>
        </w:rPr>
      </w:pPr>
      <w:r>
        <w:t>Voir également le point 4.15 Litiges (Article 73 de l’A.R. du 14 janvier 2013).</w:t>
      </w:r>
    </w:p>
    <w:p w14:paraId="6D30413B" w14:textId="2F5F28CC" w:rsidR="0031744D" w:rsidRDefault="0031744D" w:rsidP="00B7382D">
      <w:pPr>
        <w:spacing w:line="259" w:lineRule="auto"/>
        <w:jc w:val="both"/>
      </w:pPr>
    </w:p>
    <w:p w14:paraId="6D30413C" w14:textId="77777777" w:rsidR="000D0691" w:rsidRDefault="000D0691" w:rsidP="00B7382D">
      <w:pPr>
        <w:pStyle w:val="Heading1"/>
      </w:pPr>
      <w:bookmarkStart w:id="17" w:name="_Toc160610151"/>
      <w:r>
        <w:t>Objet et portée du marché</w:t>
      </w:r>
      <w:bookmarkEnd w:id="17"/>
    </w:p>
    <w:p w14:paraId="6D30413D" w14:textId="77777777" w:rsidR="000D0691" w:rsidRPr="000D0691" w:rsidRDefault="000D0691" w:rsidP="00B7382D">
      <w:pPr>
        <w:pStyle w:val="Heading2"/>
      </w:pPr>
      <w:bookmarkStart w:id="18" w:name="_Toc160610152"/>
      <w:r>
        <w:t>Type de marché</w:t>
      </w:r>
      <w:bookmarkEnd w:id="18"/>
    </w:p>
    <w:p w14:paraId="6D30413E" w14:textId="0A8225E3" w:rsidR="000D0691" w:rsidRPr="00A50864" w:rsidRDefault="00281B3F" w:rsidP="00630AF1">
      <w:pPr>
        <w:jc w:val="both"/>
        <w:rPr>
          <w:szCs w:val="21"/>
        </w:rPr>
      </w:pPr>
      <w:r>
        <w:t>Le présent marché est un marché public de services au sens de l’article 2, 21° de la loi du 17 juin 2016 relative aux marchés publics.</w:t>
      </w:r>
    </w:p>
    <w:p w14:paraId="7156FAF5" w14:textId="77777777" w:rsidR="00A470FA" w:rsidRPr="00551626" w:rsidRDefault="00A470FA" w:rsidP="00281B3F">
      <w:pPr>
        <w:spacing w:line="240" w:lineRule="auto"/>
        <w:jc w:val="both"/>
        <w:rPr>
          <w:sz w:val="20"/>
          <w:szCs w:val="20"/>
        </w:rPr>
      </w:pPr>
    </w:p>
    <w:p w14:paraId="6D30413F" w14:textId="33B6CA24" w:rsidR="000D0691" w:rsidRPr="000D0691" w:rsidRDefault="000D0691" w:rsidP="00B7382D">
      <w:pPr>
        <w:pStyle w:val="Heading2"/>
      </w:pPr>
      <w:bookmarkStart w:id="19" w:name="_Toc160610153"/>
      <w:r>
        <w:t>Objet du marché</w:t>
      </w:r>
      <w:bookmarkEnd w:id="19"/>
    </w:p>
    <w:p w14:paraId="2F627172" w14:textId="77777777" w:rsidR="004022B3" w:rsidRDefault="004022B3" w:rsidP="00630AF1">
      <w:pPr>
        <w:jc w:val="both"/>
      </w:pPr>
      <w:r>
        <w:t xml:space="preserve">Dans le cadre du résultat 1 du projet TESS MAV+ et en coordination avec l’International Partnerships Group 4 (DG INTPA G4), </w:t>
      </w:r>
      <w:proofErr w:type="spellStart"/>
      <w:r>
        <w:t>Enabel</w:t>
      </w:r>
      <w:proofErr w:type="spellEnd"/>
      <w:r>
        <w:t xml:space="preserve"> a mis en place un pool d’</w:t>
      </w:r>
      <w:proofErr w:type="spellStart"/>
      <w:r>
        <w:t>expert·es</w:t>
      </w:r>
      <w:proofErr w:type="spellEnd"/>
      <w:r>
        <w:t xml:space="preserve"> courte durée (Short-</w:t>
      </w:r>
      <w:proofErr w:type="spellStart"/>
      <w:r>
        <w:t>Term</w:t>
      </w:r>
      <w:proofErr w:type="spellEnd"/>
      <w:r>
        <w:t xml:space="preserve"> Expert Pool - STEP). Ce pool flexible a pour principaux objectifs de mobiliser un appui à court terme sur demande dans le secteur pharmaceutique pour tous les résultats, et de mobiliser des </w:t>
      </w:r>
      <w:proofErr w:type="spellStart"/>
      <w:r>
        <w:t>expert·es</w:t>
      </w:r>
      <w:proofErr w:type="spellEnd"/>
      <w:r>
        <w:t xml:space="preserve"> </w:t>
      </w:r>
      <w:proofErr w:type="spellStart"/>
      <w:r>
        <w:t>internationaux·ales</w:t>
      </w:r>
      <w:proofErr w:type="spellEnd"/>
      <w:r>
        <w:t xml:space="preserve">, </w:t>
      </w:r>
      <w:proofErr w:type="spellStart"/>
      <w:r>
        <w:t>régionaux·ales</w:t>
      </w:r>
      <w:proofErr w:type="spellEnd"/>
      <w:r>
        <w:t xml:space="preserve"> et </w:t>
      </w:r>
      <w:proofErr w:type="spellStart"/>
      <w:r>
        <w:t>nationaux·ales</w:t>
      </w:r>
      <w:proofErr w:type="spellEnd"/>
      <w:r>
        <w:t xml:space="preserve"> en matière d’accès à des produits de santé (financement supplémentaire). Cela contribuera au renforcement des acteurs et institutions à l’échelon local en vue d’améliorer l’accès à des produits de santé de qualité.</w:t>
      </w:r>
    </w:p>
    <w:p w14:paraId="17675871" w14:textId="028B8CA5" w:rsidR="004022B3" w:rsidRDefault="004022B3" w:rsidP="00630AF1">
      <w:pPr>
        <w:jc w:val="both"/>
      </w:pPr>
      <w:r>
        <w:t>La présente consultation porte sur la signature d’un accord-cadre visant à apporter un appui technique, managérial, institutionnel et/ou transversal. Le type d’appui et le niveau de responsabilité y associé seront tributaires des demandes spécifiques formulées par les acteurs et les bénéficiaires du projet à travers l’Intervention Manager du projet TESS MAV+ : elles pourront prendre la forme de missions ponctuelles ou régulières, ainsi que d’une assistance à distance (à domicile). L’étendue des besoins à couvrir est décrite dans les spécifications ci-dessous.</w:t>
      </w:r>
    </w:p>
    <w:p w14:paraId="7F2EC0B7" w14:textId="0F2171C1" w:rsidR="006013C9" w:rsidRPr="002923A2" w:rsidRDefault="004A2941" w:rsidP="00630AF1">
      <w:pPr>
        <w:jc w:val="both"/>
        <w:rPr>
          <w:szCs w:val="21"/>
        </w:rPr>
      </w:pPr>
      <w:r>
        <w:t>Principal(aux) code(s) CPV, description : 72224000-1 - Services de conseil en gestion de projet</w:t>
      </w:r>
    </w:p>
    <w:p w14:paraId="2FDE9F75" w14:textId="77777777" w:rsidR="00863BE0" w:rsidRPr="00AD683F" w:rsidRDefault="00863BE0" w:rsidP="00630AF1">
      <w:pPr>
        <w:jc w:val="both"/>
        <w:rPr>
          <w:szCs w:val="21"/>
          <w:lang w:val="fr-BE"/>
        </w:rPr>
      </w:pPr>
    </w:p>
    <w:p w14:paraId="087D9092" w14:textId="77777777" w:rsidR="00A525C5" w:rsidRPr="00A50864" w:rsidRDefault="00A525C5" w:rsidP="00A525C5">
      <w:pPr>
        <w:jc w:val="both"/>
        <w:rPr>
          <w:b/>
          <w:bCs/>
          <w:szCs w:val="21"/>
        </w:rPr>
      </w:pPr>
      <w:r>
        <w:rPr>
          <w:b/>
        </w:rPr>
        <w:t xml:space="preserve">Accord-cadre </w:t>
      </w:r>
    </w:p>
    <w:p w14:paraId="19EDBDFE" w14:textId="2D2750ED" w:rsidR="00A525C5" w:rsidRDefault="00A525C5" w:rsidP="00A525C5">
      <w:pPr>
        <w:jc w:val="both"/>
      </w:pPr>
      <w:bookmarkStart w:id="20" w:name="_Hlk160605598"/>
      <w:r>
        <w:t>Le présent marché est passé selon la modalité de l’accord-cadre avec plusieurs opérateurs économiques (nombre maximal d’opérateurs par lot : 4) au sens de l’article 43 de la loi du 17 juin 2016.</w:t>
      </w:r>
    </w:p>
    <w:p w14:paraId="0896AA7A" w14:textId="509E77D6" w:rsidR="00A525C5" w:rsidRDefault="00A525C5" w:rsidP="00A525C5">
      <w:pPr>
        <w:jc w:val="both"/>
      </w:pPr>
      <w:r>
        <w:t>Le présent marché établit les termes régissant les marchés à passer au cours de la période de validité de l’accord-cadre.</w:t>
      </w:r>
    </w:p>
    <w:p w14:paraId="3EB04E30" w14:textId="7C732F8D" w:rsidR="00A525C5" w:rsidRDefault="00A525C5" w:rsidP="00A525C5">
      <w:pPr>
        <w:jc w:val="both"/>
      </w:pPr>
      <w:r>
        <w:t>L’accord-cadre ne définit pas toutes les conditions régissant les services concernés. L’accord-cadre est exécuté par une remise en concurrence des opérateurs économiques parties à l’accord-cadre.</w:t>
      </w:r>
    </w:p>
    <w:bookmarkEnd w:id="20"/>
    <w:p w14:paraId="5613A7CC" w14:textId="77777777" w:rsidR="00A525C5" w:rsidRPr="00A525C5" w:rsidRDefault="00A525C5" w:rsidP="00A525C5">
      <w:pPr>
        <w:jc w:val="both"/>
        <w:rPr>
          <w:szCs w:val="21"/>
        </w:rPr>
      </w:pPr>
    </w:p>
    <w:p w14:paraId="7A6049C6" w14:textId="0D1872EF" w:rsidR="00D20464" w:rsidRDefault="00D20464" w:rsidP="00B7382D">
      <w:pPr>
        <w:pStyle w:val="Heading2"/>
      </w:pPr>
      <w:bookmarkStart w:id="21" w:name="_Toc160610154"/>
      <w:r>
        <w:t>Lots</w:t>
      </w:r>
      <w:bookmarkEnd w:id="21"/>
    </w:p>
    <w:p w14:paraId="6727FBAA" w14:textId="1B3CB339" w:rsidR="00042BB2" w:rsidRDefault="004A2941" w:rsidP="00042BB2">
      <w:pPr>
        <w:jc w:val="both"/>
      </w:pPr>
      <w:r>
        <w:t>Le marché est divisé en 15</w:t>
      </w:r>
      <w:r w:rsidR="00B5602D">
        <w:t> </w:t>
      </w:r>
      <w:r>
        <w:t>lots formant chacun un tout indivisible. Le soumissionnaire peut introduire une offre pour tous les lots. Une offre pour une partie d’un lot est irrecevable.</w:t>
      </w:r>
    </w:p>
    <w:p w14:paraId="0DE3B493" w14:textId="2AEAA0C1" w:rsidR="004A2941" w:rsidRDefault="004A2941" w:rsidP="00042BB2">
      <w:pPr>
        <w:jc w:val="both"/>
      </w:pPr>
      <w:r>
        <w:t>Les lots sont les suivants :</w:t>
      </w:r>
    </w:p>
    <w:p w14:paraId="621BAC8E" w14:textId="77777777" w:rsidR="004A2941" w:rsidRPr="004A2941" w:rsidRDefault="004A2941" w:rsidP="004A2941">
      <w:pPr>
        <w:jc w:val="both"/>
        <w:rPr>
          <w:szCs w:val="21"/>
        </w:rPr>
      </w:pPr>
      <w:bookmarkStart w:id="22" w:name="_Hlk160606972"/>
      <w:r>
        <w:lastRenderedPageBreak/>
        <w:t>•</w:t>
      </w:r>
      <w:r>
        <w:tab/>
        <w:t>Lot 1 : Renforcement de la réglementation ;</w:t>
      </w:r>
    </w:p>
    <w:p w14:paraId="5AB7B45A" w14:textId="77777777" w:rsidR="004A2941" w:rsidRPr="004A2941" w:rsidRDefault="004A2941" w:rsidP="004A2941">
      <w:pPr>
        <w:jc w:val="both"/>
        <w:rPr>
          <w:szCs w:val="21"/>
        </w:rPr>
      </w:pPr>
      <w:r>
        <w:t>•</w:t>
      </w:r>
      <w:r>
        <w:tab/>
        <w:t>Lot 2 : Autorisation de mise sur le marché (AMM) ;</w:t>
      </w:r>
    </w:p>
    <w:p w14:paraId="548EC8B2" w14:textId="77777777" w:rsidR="004A2941" w:rsidRPr="004A2941" w:rsidRDefault="004A2941" w:rsidP="004A2941">
      <w:pPr>
        <w:jc w:val="both"/>
        <w:rPr>
          <w:szCs w:val="21"/>
        </w:rPr>
      </w:pPr>
      <w:r>
        <w:t>•</w:t>
      </w:r>
      <w:r>
        <w:tab/>
        <w:t>Lot 3 : Propriété intellectuelle (PI)</w:t>
      </w:r>
    </w:p>
    <w:p w14:paraId="04B63301" w14:textId="77777777" w:rsidR="004A2941" w:rsidRPr="004A2941" w:rsidRDefault="004A2941" w:rsidP="004A2941">
      <w:pPr>
        <w:jc w:val="both"/>
        <w:rPr>
          <w:szCs w:val="21"/>
        </w:rPr>
      </w:pPr>
      <w:r>
        <w:t>•</w:t>
      </w:r>
      <w:r>
        <w:tab/>
        <w:t>Lot 4 : Contrôle de la qualité (CQ) ;</w:t>
      </w:r>
    </w:p>
    <w:p w14:paraId="5CCF54C6" w14:textId="77777777" w:rsidR="004A2941" w:rsidRPr="004A2941" w:rsidRDefault="004A2941" w:rsidP="004A2941">
      <w:pPr>
        <w:jc w:val="both"/>
        <w:rPr>
          <w:szCs w:val="21"/>
        </w:rPr>
      </w:pPr>
      <w:r>
        <w:t>•</w:t>
      </w:r>
      <w:r>
        <w:tab/>
        <w:t>Lot 5 : Pharmacovigilance (PV) et sécurité des médicaments/vaccins ;</w:t>
      </w:r>
    </w:p>
    <w:p w14:paraId="18F41E9A" w14:textId="77777777" w:rsidR="004A2941" w:rsidRPr="004A2941" w:rsidRDefault="004A2941" w:rsidP="004A2941">
      <w:pPr>
        <w:jc w:val="both"/>
        <w:rPr>
          <w:szCs w:val="21"/>
        </w:rPr>
      </w:pPr>
      <w:r>
        <w:t>•</w:t>
      </w:r>
      <w:r>
        <w:tab/>
        <w:t>Lot 6 : Transfert technologique ;</w:t>
      </w:r>
    </w:p>
    <w:p w14:paraId="6846B849" w14:textId="77777777" w:rsidR="004A2941" w:rsidRPr="004A2941" w:rsidRDefault="004A2941" w:rsidP="004A2941">
      <w:pPr>
        <w:jc w:val="both"/>
        <w:rPr>
          <w:szCs w:val="21"/>
        </w:rPr>
      </w:pPr>
      <w:r>
        <w:t>•</w:t>
      </w:r>
      <w:r>
        <w:tab/>
        <w:t>Lot 7 : Façonnage du marché, demande &amp; facilitation du commerce ;</w:t>
      </w:r>
    </w:p>
    <w:p w14:paraId="7C18A727" w14:textId="77777777" w:rsidR="004A2941" w:rsidRPr="004A2941" w:rsidRDefault="004A2941" w:rsidP="004A2941">
      <w:pPr>
        <w:jc w:val="both"/>
        <w:rPr>
          <w:szCs w:val="21"/>
        </w:rPr>
      </w:pPr>
      <w:r>
        <w:t>•</w:t>
      </w:r>
      <w:r>
        <w:tab/>
        <w:t>Lot 8 : Gestion de la chaîne d’approvisionnement ;</w:t>
      </w:r>
    </w:p>
    <w:p w14:paraId="58D16CD1" w14:textId="77777777" w:rsidR="004A2941" w:rsidRPr="004A2941" w:rsidRDefault="004A2941" w:rsidP="004A2941">
      <w:pPr>
        <w:jc w:val="both"/>
        <w:rPr>
          <w:szCs w:val="21"/>
        </w:rPr>
      </w:pPr>
      <w:r>
        <w:t>•</w:t>
      </w:r>
      <w:r>
        <w:tab/>
        <w:t>Lot 9 : Recherche &amp; développement (R&amp;D) ;</w:t>
      </w:r>
    </w:p>
    <w:p w14:paraId="75486C42" w14:textId="77777777" w:rsidR="004A2941" w:rsidRPr="004A2941" w:rsidRDefault="004A2941" w:rsidP="004A2941">
      <w:pPr>
        <w:jc w:val="both"/>
        <w:rPr>
          <w:szCs w:val="21"/>
        </w:rPr>
      </w:pPr>
      <w:r>
        <w:t>•</w:t>
      </w:r>
      <w:r>
        <w:tab/>
        <w:t>Lot 10 : Enseignement supérieur et compétences ;</w:t>
      </w:r>
    </w:p>
    <w:p w14:paraId="766E141D" w14:textId="77777777" w:rsidR="004A2941" w:rsidRPr="004A2941" w:rsidRDefault="004A2941" w:rsidP="004A2941">
      <w:pPr>
        <w:jc w:val="both"/>
        <w:rPr>
          <w:szCs w:val="21"/>
        </w:rPr>
      </w:pPr>
      <w:r>
        <w:t>•</w:t>
      </w:r>
      <w:r>
        <w:tab/>
        <w:t>Lot 11 : Accès au financement et partenariat ;</w:t>
      </w:r>
    </w:p>
    <w:p w14:paraId="78068B5A" w14:textId="77777777" w:rsidR="004A2941" w:rsidRPr="004A2941" w:rsidRDefault="004A2941" w:rsidP="004A2941">
      <w:pPr>
        <w:jc w:val="both"/>
        <w:rPr>
          <w:szCs w:val="21"/>
        </w:rPr>
      </w:pPr>
      <w:r>
        <w:t>•</w:t>
      </w:r>
      <w:r>
        <w:tab/>
        <w:t>Lot 12 : Industrialisation ;</w:t>
      </w:r>
    </w:p>
    <w:p w14:paraId="2E1CEE69" w14:textId="77777777" w:rsidR="004A2941" w:rsidRPr="004A2941" w:rsidRDefault="004A2941" w:rsidP="004A2941">
      <w:pPr>
        <w:jc w:val="both"/>
        <w:rPr>
          <w:szCs w:val="21"/>
        </w:rPr>
      </w:pPr>
      <w:r>
        <w:t>•</w:t>
      </w:r>
      <w:r>
        <w:tab/>
        <w:t>Lot 13 : Développement et mobilisation du secteur privé ;</w:t>
      </w:r>
    </w:p>
    <w:p w14:paraId="26F30F95" w14:textId="77777777" w:rsidR="004A2941" w:rsidRPr="004A2941" w:rsidRDefault="004A2941" w:rsidP="004A2941">
      <w:pPr>
        <w:jc w:val="both"/>
        <w:rPr>
          <w:szCs w:val="21"/>
        </w:rPr>
      </w:pPr>
      <w:r>
        <w:t>•</w:t>
      </w:r>
      <w:r>
        <w:tab/>
        <w:t>Lot 14 : Monitoring &amp; Évaluation</w:t>
      </w:r>
    </w:p>
    <w:p w14:paraId="7372BBA9" w14:textId="55A98E03" w:rsidR="004A2941" w:rsidRDefault="004A2941" w:rsidP="004A2941">
      <w:pPr>
        <w:jc w:val="both"/>
        <w:rPr>
          <w:szCs w:val="21"/>
        </w:rPr>
      </w:pPr>
      <w:r>
        <w:t>•</w:t>
      </w:r>
      <w:r>
        <w:tab/>
        <w:t>Lot 15 : Soutien managérial, institutionnel et auxiliaire.</w:t>
      </w:r>
    </w:p>
    <w:bookmarkEnd w:id="22"/>
    <w:p w14:paraId="111BFB46" w14:textId="77777777" w:rsidR="004A2941" w:rsidRPr="00042BB2" w:rsidRDefault="004A2941" w:rsidP="004A2941">
      <w:pPr>
        <w:jc w:val="both"/>
        <w:rPr>
          <w:szCs w:val="21"/>
        </w:rPr>
      </w:pPr>
    </w:p>
    <w:p w14:paraId="0866AA54" w14:textId="77777777" w:rsidR="006968B3" w:rsidRDefault="006968B3" w:rsidP="006968B3">
      <w:pPr>
        <w:pStyle w:val="Heading2"/>
      </w:pPr>
      <w:bookmarkStart w:id="23" w:name="_Toc160610155"/>
      <w:r>
        <w:t>Postes</w:t>
      </w:r>
      <w:bookmarkEnd w:id="23"/>
    </w:p>
    <w:p w14:paraId="65A108B1" w14:textId="3E0309E2" w:rsidR="006968B3" w:rsidRPr="00A50864" w:rsidRDefault="00A525C5" w:rsidP="006968B3">
      <w:pPr>
        <w:jc w:val="both"/>
        <w:rPr>
          <w:szCs w:val="21"/>
        </w:rPr>
      </w:pPr>
      <w:r>
        <w:t>Chaque lot de ce marché se compose d’un poste :</w:t>
      </w:r>
    </w:p>
    <w:p w14:paraId="7B894A1C" w14:textId="71D9FB10" w:rsidR="006968B3" w:rsidRPr="009332B3" w:rsidRDefault="00D6388E">
      <w:pPr>
        <w:pStyle w:val="ListParagraph"/>
        <w:numPr>
          <w:ilvl w:val="0"/>
          <w:numId w:val="14"/>
        </w:numPr>
        <w:jc w:val="both"/>
        <w:rPr>
          <w:szCs w:val="21"/>
        </w:rPr>
      </w:pPr>
      <w:proofErr w:type="spellStart"/>
      <w:r>
        <w:t>Expert·es</w:t>
      </w:r>
      <w:proofErr w:type="spellEnd"/>
      <w:r>
        <w:t> : Prix unitaire par personne-jour</w:t>
      </w:r>
    </w:p>
    <w:p w14:paraId="0AD921D4" w14:textId="304C6428" w:rsidR="006968B3" w:rsidRPr="00A50864" w:rsidRDefault="006968B3" w:rsidP="00A525C5">
      <w:pPr>
        <w:jc w:val="both"/>
        <w:rPr>
          <w:szCs w:val="21"/>
          <w:u w:val="single"/>
        </w:rPr>
      </w:pPr>
      <w:r>
        <w:t>Ces postes seront groupés et forment un seul lot. Il n’est pas possible de soumissionner pour un ou plusieurs postes et le soumissionnaire est tenu de remettre prix pour tous les postes d’un même lot.</w:t>
      </w:r>
    </w:p>
    <w:p w14:paraId="2F36059F" w14:textId="77777777" w:rsidR="00863BE0" w:rsidRDefault="00863BE0" w:rsidP="008B4E31">
      <w:pPr>
        <w:jc w:val="both"/>
        <w:rPr>
          <w:szCs w:val="21"/>
        </w:rPr>
      </w:pPr>
    </w:p>
    <w:p w14:paraId="6D30414D" w14:textId="686FC00B" w:rsidR="000D0691" w:rsidRPr="000D0691" w:rsidRDefault="000D0691" w:rsidP="00B7382D">
      <w:pPr>
        <w:pStyle w:val="Heading2"/>
      </w:pPr>
      <w:bookmarkStart w:id="24" w:name="_Toc160610156"/>
      <w:r>
        <w:t>Durée d</w:t>
      </w:r>
      <w:r w:rsidR="00B025ED">
        <w:t>e l’accord</w:t>
      </w:r>
      <w:r>
        <w:t>-cadre</w:t>
      </w:r>
      <w:bookmarkEnd w:id="24"/>
    </w:p>
    <w:p w14:paraId="50E7EA4A" w14:textId="5A391D73" w:rsidR="00A972DC" w:rsidRPr="00A50864" w:rsidRDefault="00A972DC" w:rsidP="00A972DC">
      <w:pPr>
        <w:jc w:val="both"/>
        <w:rPr>
          <w:szCs w:val="21"/>
        </w:rPr>
      </w:pPr>
      <w:r>
        <w:t>Le marché débute à la notification de l’attribution et a une durée maximale de 48</w:t>
      </w:r>
      <w:r w:rsidR="00B5602D">
        <w:t> </w:t>
      </w:r>
      <w:r>
        <w:t>mois. Ce pool sera normalement constitué pour une période déterminée jusqu’à la fin du projet (fin 2025).</w:t>
      </w:r>
    </w:p>
    <w:p w14:paraId="4AB538CC" w14:textId="130BDE13" w:rsidR="00A525C5" w:rsidRPr="00A525C5" w:rsidRDefault="00A525C5" w:rsidP="00A525C5">
      <w:pPr>
        <w:jc w:val="both"/>
        <w:rPr>
          <w:szCs w:val="21"/>
        </w:rPr>
      </w:pPr>
      <w:r>
        <w:t>Chaque partie peut toutefois mettre fin à l’accord à la fin de la première, deuxième ou troisième année, à condition que la notification à l’autre partie soit envoyée au moins 90</w:t>
      </w:r>
      <w:r w:rsidR="00B5602D">
        <w:t> </w:t>
      </w:r>
      <w:r>
        <w:t>jours de calendrier avant la fin de la première, deuxième ou troisième année de l’accord-cadre. Dans ce cas, la partie ne peut demander de dommages et intérêts du chef de cette résiliation.</w:t>
      </w:r>
    </w:p>
    <w:p w14:paraId="2550C91F" w14:textId="77777777" w:rsidR="00A525C5" w:rsidRPr="00A525C5" w:rsidRDefault="00A525C5" w:rsidP="00A525C5">
      <w:pPr>
        <w:jc w:val="both"/>
        <w:rPr>
          <w:szCs w:val="21"/>
        </w:rPr>
      </w:pPr>
      <w:r>
        <w:t>Si la résiliation de l’accord-cadre émane du pouvoir adjudicateur, cette résiliation vaudra pour tous les participants et, par conséquent, elle sera notifiée par lettre recommandée à tous les participants. Les participants ne peuvent demander de dommages et intérêts du chef de cette résiliation.</w:t>
      </w:r>
    </w:p>
    <w:p w14:paraId="27406A07" w14:textId="77777777" w:rsidR="00A525C5" w:rsidRPr="00A525C5" w:rsidRDefault="00A525C5" w:rsidP="00A525C5">
      <w:pPr>
        <w:jc w:val="both"/>
        <w:rPr>
          <w:szCs w:val="21"/>
        </w:rPr>
      </w:pPr>
      <w:r>
        <w:lastRenderedPageBreak/>
        <w:t>Lorsque l’accord-cadre est résilié en application d’une mesure d’office ou lorsque le participant se trouve dans une des situations prévues à l’article 62 de l’Arrêté royal du 14 janvier 2013, la résiliation de l’accord-cadre est limitée au seul participant à l’encontre de qui la mesure d’office a été prise.</w:t>
      </w:r>
    </w:p>
    <w:p w14:paraId="7B5F0614" w14:textId="5B755DC4" w:rsidR="00A525C5" w:rsidRPr="00A50864" w:rsidRDefault="00A525C5" w:rsidP="00A525C5">
      <w:pPr>
        <w:jc w:val="both"/>
        <w:rPr>
          <w:szCs w:val="21"/>
        </w:rPr>
      </w:pPr>
      <w:r>
        <w:t>Si la résiliation de l’accord-cadre émane d’un des participants, celui-ci sera supprimé en tant que participant à partir de la deuxième, troisième ou quatrième année de l’accord-cadre, selon le cas. Dès sa suppression en tant que participant, il n’entrera donc plus en considération pour les marchés fondés sur l’accord-cadre.</w:t>
      </w:r>
    </w:p>
    <w:p w14:paraId="6D304154" w14:textId="77777777" w:rsidR="000D0691" w:rsidRPr="000D0691" w:rsidRDefault="000D0691" w:rsidP="00B7382D">
      <w:pPr>
        <w:pStyle w:val="Heading2"/>
      </w:pPr>
      <w:bookmarkStart w:id="25" w:name="_Toc160610157"/>
      <w:r>
        <w:t>Variantes</w:t>
      </w:r>
      <w:bookmarkEnd w:id="25"/>
      <w:r>
        <w:t xml:space="preserve">  </w:t>
      </w:r>
    </w:p>
    <w:p w14:paraId="6D304155" w14:textId="45BB70A1" w:rsidR="000D0691" w:rsidRPr="00A50864" w:rsidRDefault="000D0691" w:rsidP="005E62B1">
      <w:pPr>
        <w:jc w:val="both"/>
        <w:rPr>
          <w:szCs w:val="21"/>
        </w:rPr>
      </w:pPr>
      <w:r>
        <w:t>Chaque soumissionnaire ne peut introduire qu’une seule offre. Les variantes sont interdites.</w:t>
      </w:r>
    </w:p>
    <w:p w14:paraId="42DCB20C" w14:textId="307E7421" w:rsidR="00053587" w:rsidRPr="00A50864" w:rsidRDefault="00053587" w:rsidP="005E62B1">
      <w:pPr>
        <w:jc w:val="both"/>
        <w:rPr>
          <w:szCs w:val="21"/>
        </w:rPr>
      </w:pPr>
    </w:p>
    <w:p w14:paraId="01ED560E" w14:textId="381B0D1D" w:rsidR="00A43362" w:rsidRPr="000D0691" w:rsidRDefault="001E5BA0" w:rsidP="00A43362">
      <w:pPr>
        <w:pStyle w:val="Heading2"/>
      </w:pPr>
      <w:bookmarkStart w:id="26" w:name="_Toc160610158"/>
      <w:r>
        <w:t>Options</w:t>
      </w:r>
      <w:bookmarkEnd w:id="26"/>
    </w:p>
    <w:p w14:paraId="70547E5B" w14:textId="3520767D" w:rsidR="00851AEE" w:rsidRPr="00A50864" w:rsidRDefault="00FC1AE0" w:rsidP="00851AEE">
      <w:pPr>
        <w:jc w:val="both"/>
        <w:rPr>
          <w:szCs w:val="21"/>
        </w:rPr>
      </w:pPr>
      <w:r>
        <w:t>Aucune option exigée ou autorisée n’a été prévue.</w:t>
      </w:r>
    </w:p>
    <w:p w14:paraId="090B0E9D" w14:textId="5B903210" w:rsidR="00A43362" w:rsidRPr="00A50864" w:rsidRDefault="00A43362" w:rsidP="00A43362">
      <w:pPr>
        <w:jc w:val="both"/>
        <w:rPr>
          <w:szCs w:val="21"/>
        </w:rPr>
      </w:pPr>
      <w:r>
        <w:t>Les options libres ne sont pas admises.</w:t>
      </w:r>
    </w:p>
    <w:p w14:paraId="7E39D047" w14:textId="77777777" w:rsidR="00053587" w:rsidRPr="00A50864" w:rsidRDefault="00053587" w:rsidP="005E62B1">
      <w:pPr>
        <w:jc w:val="both"/>
        <w:rPr>
          <w:szCs w:val="21"/>
        </w:rPr>
      </w:pPr>
    </w:p>
    <w:p w14:paraId="6D304156" w14:textId="77777777" w:rsidR="000D0691" w:rsidRPr="000D0691" w:rsidRDefault="000D0691" w:rsidP="00B7382D">
      <w:pPr>
        <w:pStyle w:val="Heading2"/>
      </w:pPr>
      <w:bookmarkStart w:id="27" w:name="_Toc160610159"/>
      <w:r>
        <w:t>Quantités</w:t>
      </w:r>
      <w:bookmarkEnd w:id="27"/>
    </w:p>
    <w:p w14:paraId="03094BCB" w14:textId="02B8FD66" w:rsidR="006E0448" w:rsidRDefault="00A72667" w:rsidP="00FC1AE0">
      <w:pPr>
        <w:jc w:val="both"/>
        <w:rPr>
          <w:rFonts w:eastAsia="Calibri" w:cs="Times New Roman"/>
        </w:rPr>
      </w:pPr>
      <w:r>
        <w:t>Le présent marché est un marché à bordereau de prix, ce qui signifie que seul le prix unitaire est forfaitaire. Le prix à payer sera obtenu en appliquant les prix unitaires mentionnés dans l’inventaire aux quantités réellement exécutées.</w:t>
      </w:r>
    </w:p>
    <w:p w14:paraId="4A57890E" w14:textId="0EE1C815" w:rsidR="00CD5074" w:rsidRPr="00A50864" w:rsidRDefault="00CD5074" w:rsidP="00553B68">
      <w:pPr>
        <w:jc w:val="both"/>
        <w:rPr>
          <w:szCs w:val="21"/>
        </w:rPr>
      </w:pPr>
      <w:r>
        <w:t xml:space="preserve">La détermination des quantités se fera au moyen de bons de commande. Les quantités présumées infra sont fournies à titre informatif uniquement. </w:t>
      </w:r>
    </w:p>
    <w:p w14:paraId="787B1EF5" w14:textId="25CBC106" w:rsidR="00553B68" w:rsidRPr="00A50864" w:rsidRDefault="00553B68" w:rsidP="00553B68">
      <w:pPr>
        <w:jc w:val="both"/>
        <w:rPr>
          <w:szCs w:val="21"/>
        </w:rPr>
      </w:pPr>
      <w:r>
        <w:t xml:space="preserve">Le pouvoir adjudicateur ne prend donc aucun engagement quant aux quantités qui seront réellement commandées dans le cadre du présent contrat-cadre. </w:t>
      </w:r>
    </w:p>
    <w:p w14:paraId="270AB00E" w14:textId="16C6702A" w:rsidR="0005367B" w:rsidRPr="00416724" w:rsidRDefault="00416724" w:rsidP="00553B68">
      <w:pPr>
        <w:jc w:val="both"/>
      </w:pPr>
      <w:r>
        <w:t>Les quantités annuelles maximales présumées pour ce marché, tous lots confondus, s’élèvent à 750</w:t>
      </w:r>
      <w:r w:rsidR="00B5602D">
        <w:t> </w:t>
      </w:r>
      <w:r>
        <w:t>personnes-jours et environ 50 missions.</w:t>
      </w:r>
    </w:p>
    <w:p w14:paraId="217DF70B" w14:textId="265FA586" w:rsidR="00553B68" w:rsidRDefault="00553B68">
      <w:pPr>
        <w:spacing w:line="259" w:lineRule="auto"/>
        <w:rPr>
          <w:sz w:val="20"/>
          <w:szCs w:val="20"/>
        </w:rPr>
      </w:pPr>
      <w:r>
        <w:br w:type="page"/>
      </w:r>
    </w:p>
    <w:p w14:paraId="4F118F89" w14:textId="26547E5D" w:rsidR="00B7382D" w:rsidRPr="00B7382D" w:rsidRDefault="00B7382D" w:rsidP="00B7382D">
      <w:pPr>
        <w:pStyle w:val="Heading1"/>
      </w:pPr>
      <w:bookmarkStart w:id="28" w:name="_Toc160610160"/>
      <w:r>
        <w:lastRenderedPageBreak/>
        <w:t>Procédure</w:t>
      </w:r>
      <w:bookmarkEnd w:id="28"/>
    </w:p>
    <w:p w14:paraId="6D30415B" w14:textId="77777777" w:rsidR="000D0691" w:rsidRPr="000D0691" w:rsidRDefault="000D0691" w:rsidP="0053427F">
      <w:pPr>
        <w:pStyle w:val="Heading2"/>
      </w:pPr>
      <w:bookmarkStart w:id="29" w:name="_Toc160610161"/>
      <w:r>
        <w:t>Mode de passation</w:t>
      </w:r>
      <w:bookmarkEnd w:id="29"/>
    </w:p>
    <w:p w14:paraId="08F28729" w14:textId="163196CA" w:rsidR="0005367B" w:rsidRDefault="0005367B" w:rsidP="0005367B">
      <w:r>
        <w:t>Le présent marché est attribué, en application de l’article 36 de la loi du 17 juin 2016, via une procédure ouverte.</w:t>
      </w:r>
    </w:p>
    <w:p w14:paraId="077290CA" w14:textId="77777777" w:rsidR="0053427F" w:rsidRDefault="0053427F" w:rsidP="0005367B"/>
    <w:p w14:paraId="6D30415D" w14:textId="77777777" w:rsidR="000D0691" w:rsidRPr="000D0691" w:rsidRDefault="000D0691" w:rsidP="008C02E5">
      <w:pPr>
        <w:pStyle w:val="Heading2"/>
      </w:pPr>
      <w:bookmarkStart w:id="30" w:name="_Toc160610162"/>
      <w:r>
        <w:t>Publication</w:t>
      </w:r>
      <w:bookmarkEnd w:id="30"/>
    </w:p>
    <w:p w14:paraId="6D30415E" w14:textId="77777777" w:rsidR="000D0691" w:rsidRDefault="000D0691" w:rsidP="008C02E5">
      <w:pPr>
        <w:pStyle w:val="Heading3"/>
      </w:pPr>
      <w:bookmarkStart w:id="31" w:name="_Toc160610163"/>
      <w:r>
        <w:t>Publicité officielle</w:t>
      </w:r>
      <w:bookmarkEnd w:id="31"/>
    </w:p>
    <w:p w14:paraId="6D30415F" w14:textId="6002D345" w:rsidR="000D0691" w:rsidRPr="00A50864" w:rsidRDefault="000D0691" w:rsidP="005E62B1">
      <w:pPr>
        <w:jc w:val="both"/>
        <w:rPr>
          <w:szCs w:val="21"/>
        </w:rPr>
      </w:pPr>
      <w:r>
        <w:t>Le présent marché fait l’objet d’une publication au Bulletin des Adjudications et au Journal officiel de l’Union européenne.</w:t>
      </w:r>
    </w:p>
    <w:p w14:paraId="676FF5BA" w14:textId="77777777" w:rsidR="008C02E5" w:rsidRPr="000F7E52" w:rsidRDefault="008C02E5" w:rsidP="005E62B1">
      <w:pPr>
        <w:jc w:val="both"/>
        <w:rPr>
          <w:sz w:val="20"/>
          <w:szCs w:val="20"/>
        </w:rPr>
      </w:pPr>
    </w:p>
    <w:p w14:paraId="6D304160" w14:textId="77777777" w:rsidR="000D0691" w:rsidRDefault="000D0691" w:rsidP="008C02E5">
      <w:pPr>
        <w:pStyle w:val="Heading3"/>
      </w:pPr>
      <w:bookmarkStart w:id="32" w:name="_Toc160610164"/>
      <w:r>
        <w:t>Publicité complémentaire</w:t>
      </w:r>
      <w:bookmarkEnd w:id="32"/>
    </w:p>
    <w:p w14:paraId="62A1FCFC" w14:textId="6B4AEEE5" w:rsidR="00224E17" w:rsidRDefault="000D0691" w:rsidP="005E62B1">
      <w:pPr>
        <w:jc w:val="both"/>
      </w:pPr>
      <w:r>
        <w:t>Le présent CSC est publié sur le site web d’</w:t>
      </w:r>
      <w:proofErr w:type="spellStart"/>
      <w:r>
        <w:t>Enabel</w:t>
      </w:r>
      <w:proofErr w:type="spellEnd"/>
      <w:r>
        <w:t xml:space="preserve"> : </w:t>
      </w:r>
      <w:hyperlink r:id="rId18" w:history="1">
        <w:r w:rsidR="00224E17" w:rsidRPr="0072109F">
          <w:rPr>
            <w:rStyle w:val="Hyperlink"/>
          </w:rPr>
          <w:t>https://www.enabel.be/fr/marches-publics/</w:t>
        </w:r>
      </w:hyperlink>
    </w:p>
    <w:p w14:paraId="6D304162" w14:textId="386E3C62" w:rsidR="000D0691" w:rsidRPr="00A50864" w:rsidRDefault="00224E17" w:rsidP="005E62B1">
      <w:pPr>
        <w:jc w:val="both"/>
        <w:rPr>
          <w:szCs w:val="21"/>
        </w:rPr>
      </w:pPr>
      <w:r w:rsidRPr="00A50864">
        <w:rPr>
          <w:szCs w:val="21"/>
        </w:rPr>
        <w:t xml:space="preserve"> </w:t>
      </w:r>
      <w:r w:rsidR="000D0691">
        <w:t>Le présent marché fait l’objet d’une publication sur le site de l’OCDE.</w:t>
      </w:r>
    </w:p>
    <w:p w14:paraId="2E9BFA84" w14:textId="77777777" w:rsidR="008C02E5" w:rsidRPr="00A50864" w:rsidRDefault="008C02E5" w:rsidP="005E62B1">
      <w:pPr>
        <w:jc w:val="both"/>
        <w:rPr>
          <w:szCs w:val="21"/>
        </w:rPr>
      </w:pPr>
    </w:p>
    <w:p w14:paraId="39DCFD6C" w14:textId="1C09FCEC" w:rsidR="003446EB" w:rsidRDefault="00EC6BAA" w:rsidP="00D9255C">
      <w:pPr>
        <w:pStyle w:val="Heading2"/>
      </w:pPr>
      <w:bookmarkStart w:id="33" w:name="_Toc160610165"/>
      <w:r>
        <w:t>Information</w:t>
      </w:r>
      <w:bookmarkEnd w:id="33"/>
    </w:p>
    <w:p w14:paraId="4A704FBE" w14:textId="51AFFAC6" w:rsidR="002D43B5" w:rsidRPr="002D43B5" w:rsidRDefault="003446EB" w:rsidP="00D9255C">
      <w:pPr>
        <w:jc w:val="both"/>
      </w:pPr>
      <w:r>
        <w:t xml:space="preserve">L’attribution de ce marché est coordonnée par John Tallon. </w:t>
      </w:r>
    </w:p>
    <w:p w14:paraId="5D8B1893" w14:textId="1C05CF90" w:rsidR="002D43B5" w:rsidRPr="00963036" w:rsidRDefault="003446EB" w:rsidP="00D9255C">
      <w:pPr>
        <w:jc w:val="both"/>
      </w:pPr>
      <w:r>
        <w:t>Jusqu’à 1</w:t>
      </w:r>
      <w:r w:rsidR="003B6401">
        <w:t>2</w:t>
      </w:r>
      <w:r w:rsidR="00B5602D">
        <w:t> </w:t>
      </w:r>
      <w:r>
        <w:t xml:space="preserve">jours avant la date ultime de dépôt des offres, les soumissionnaires potentiels peuvent poser des questions concernant ce CSC et le marché. Pour ce faire, ils auront recours au forum du service e-procurement. Une réponse globale à ces questions sera donnée au même endroit </w:t>
      </w:r>
      <w:r w:rsidR="00224E17">
        <w:t>au plus tard 7 jours avant la date limite pour la remise des offres.</w:t>
      </w:r>
    </w:p>
    <w:p w14:paraId="5367967A" w14:textId="77777777" w:rsidR="003446EB" w:rsidRPr="00A50864" w:rsidRDefault="003446EB" w:rsidP="00D9255C">
      <w:pPr>
        <w:jc w:val="both"/>
        <w:rPr>
          <w:szCs w:val="21"/>
        </w:rPr>
      </w:pPr>
      <w:r>
        <w:t>Le soumissionnaire est censé introduire son offre en ayant pris connaissance et en tenant compte des rectifications éventuelles concernant l’avis de marché ou le CSC qui sont publiées au Journal officiel de l’Union européenne et au Bulletin des Adjudications. Il lui est vivement conseillé de se renseigner sur les éventuelles modifications ou informations complémentaires.</w:t>
      </w:r>
    </w:p>
    <w:p w14:paraId="57C51BD2" w14:textId="1C8E17F3" w:rsidR="00D9255C" w:rsidRPr="00A50864" w:rsidRDefault="003446EB" w:rsidP="0078592E">
      <w:pPr>
        <w:jc w:val="both"/>
        <w:rPr>
          <w:szCs w:val="21"/>
        </w:rPr>
      </w:pPr>
      <w:r>
        <w:t>Conformément à l’article 81 de l’A.R. du 18 avril 2017, le soumissionnaire est tenu de dénoncer immédiatement toute lacune, erreur ou omission dans les documents du marché qui rende impossible l’établissement de son prix ou la comparaison des offres, au plus tard dans un délai de 10</w:t>
      </w:r>
      <w:r w:rsidR="00B5602D">
        <w:t> </w:t>
      </w:r>
      <w:r>
        <w:t>jours avant la date limite de réception des offres.</w:t>
      </w:r>
    </w:p>
    <w:p w14:paraId="46825EAE" w14:textId="77777777" w:rsidR="00863BE0" w:rsidRPr="00A50864" w:rsidRDefault="00863BE0" w:rsidP="0078592E">
      <w:pPr>
        <w:jc w:val="both"/>
        <w:rPr>
          <w:szCs w:val="21"/>
        </w:rPr>
      </w:pPr>
    </w:p>
    <w:p w14:paraId="6D304169" w14:textId="7EBAEA26" w:rsidR="00EC6BAA" w:rsidRPr="00EC6BAA" w:rsidRDefault="00EC6BAA" w:rsidP="00C43126">
      <w:pPr>
        <w:pStyle w:val="Heading2"/>
      </w:pPr>
      <w:bookmarkStart w:id="34" w:name="_Toc160610166"/>
      <w:r>
        <w:t>Offre</w:t>
      </w:r>
      <w:bookmarkEnd w:id="34"/>
    </w:p>
    <w:p w14:paraId="6D30416B" w14:textId="3E8E36E6" w:rsidR="00EC6BAA" w:rsidRDefault="00EC6BAA" w:rsidP="00C43126">
      <w:pPr>
        <w:pStyle w:val="Heading3"/>
      </w:pPr>
      <w:bookmarkStart w:id="35" w:name="_Toc160610167"/>
      <w:r>
        <w:t>Données à mentionner dans l’offre</w:t>
      </w:r>
      <w:bookmarkEnd w:id="35"/>
      <w:r>
        <w:t xml:space="preserve"> </w:t>
      </w:r>
    </w:p>
    <w:p w14:paraId="6D30416C" w14:textId="3E3D2D4E" w:rsidR="00EC6BAA" w:rsidRPr="00A50864" w:rsidRDefault="00EC6BAA" w:rsidP="005E62B1">
      <w:pPr>
        <w:jc w:val="both"/>
        <w:rPr>
          <w:szCs w:val="21"/>
        </w:rPr>
      </w:pPr>
      <w:r>
        <w:t>L’attention des soumissionnaires est attirée sur les principes généraux édictés au Titre 1</w:t>
      </w:r>
      <w:r>
        <w:rPr>
          <w:vertAlign w:val="superscript"/>
        </w:rPr>
        <w:t>er</w:t>
      </w:r>
      <w:r>
        <w:t xml:space="preserve"> de la loi du 17 juin 2016 et qui sont applicables à la présente procédure de passation.</w:t>
      </w:r>
    </w:p>
    <w:p w14:paraId="0ED1A09F" w14:textId="77777777" w:rsidR="00292F65" w:rsidRPr="00A50864" w:rsidRDefault="00292F65" w:rsidP="00BE58DC">
      <w:pPr>
        <w:jc w:val="both"/>
        <w:rPr>
          <w:szCs w:val="21"/>
        </w:rPr>
      </w:pPr>
      <w:r>
        <w:t>Le soumissionnaire est tenu d’utiliser les formulaires joints en annexe. À défaut d’utiliser ces formulaires, il supporte l’entière responsabilité en cas de manque. </w:t>
      </w:r>
    </w:p>
    <w:p w14:paraId="6B754D48" w14:textId="77777777" w:rsidR="00BB01C2" w:rsidRPr="00A50864" w:rsidRDefault="00BB01C2" w:rsidP="00BB01C2">
      <w:pPr>
        <w:rPr>
          <w:szCs w:val="21"/>
        </w:rPr>
      </w:pPr>
      <w:r>
        <w:lastRenderedPageBreak/>
        <w:t>Les formulaires à utiliser sont les suivants :</w:t>
      </w:r>
    </w:p>
    <w:p w14:paraId="037EA2F2" w14:textId="64249BAE" w:rsidR="0005367B" w:rsidRPr="00A50864" w:rsidRDefault="0005367B">
      <w:pPr>
        <w:pStyle w:val="ListParagraph"/>
        <w:numPr>
          <w:ilvl w:val="0"/>
          <w:numId w:val="13"/>
        </w:numPr>
        <w:rPr>
          <w:szCs w:val="21"/>
        </w:rPr>
      </w:pPr>
      <w:bookmarkStart w:id="36" w:name="_Hlk158211720"/>
      <w:r>
        <w:t xml:space="preserve">Formulaire 6.1 – Identification du soumissionnaire </w:t>
      </w:r>
    </w:p>
    <w:p w14:paraId="2C3DC733" w14:textId="5E0A16B4" w:rsidR="0005367B" w:rsidRPr="00A50864" w:rsidRDefault="0005367B">
      <w:pPr>
        <w:pStyle w:val="ListParagraph"/>
        <w:numPr>
          <w:ilvl w:val="0"/>
          <w:numId w:val="13"/>
        </w:numPr>
        <w:rPr>
          <w:szCs w:val="21"/>
        </w:rPr>
      </w:pPr>
      <w:r>
        <w:t>Formulaire 6.2 – Formulaire d’offre de prix (par lot)</w:t>
      </w:r>
    </w:p>
    <w:p w14:paraId="22D70739" w14:textId="60B81C5C" w:rsidR="00041535" w:rsidRPr="00A50864" w:rsidRDefault="00041535">
      <w:pPr>
        <w:pStyle w:val="ListParagraph"/>
        <w:numPr>
          <w:ilvl w:val="0"/>
          <w:numId w:val="13"/>
        </w:numPr>
        <w:rPr>
          <w:szCs w:val="21"/>
        </w:rPr>
      </w:pPr>
      <w:r>
        <w:t>Formulaire 6.3 – Liste des sous-traitants</w:t>
      </w:r>
    </w:p>
    <w:p w14:paraId="612373B5" w14:textId="7059A554" w:rsidR="00F94879" w:rsidRPr="00A50864" w:rsidRDefault="00F94879">
      <w:pPr>
        <w:pStyle w:val="ListParagraph"/>
        <w:numPr>
          <w:ilvl w:val="0"/>
          <w:numId w:val="13"/>
        </w:numPr>
        <w:rPr>
          <w:szCs w:val="21"/>
        </w:rPr>
      </w:pPr>
      <w:r>
        <w:t xml:space="preserve">Formulaire 6.4 – Déclaration sur l’honneur – motifs d’exclusion </w:t>
      </w:r>
    </w:p>
    <w:p w14:paraId="7800B34E" w14:textId="75FFC63B" w:rsidR="0005367B" w:rsidRPr="005B7D75" w:rsidRDefault="00692F91">
      <w:pPr>
        <w:pStyle w:val="ListParagraph"/>
        <w:numPr>
          <w:ilvl w:val="0"/>
          <w:numId w:val="13"/>
        </w:numPr>
        <w:rPr>
          <w:szCs w:val="21"/>
        </w:rPr>
      </w:pPr>
      <w:r>
        <w:t>Le document unique de marché européen (DUME).</w:t>
      </w:r>
    </w:p>
    <w:p w14:paraId="32ABA917" w14:textId="77777777" w:rsidR="00041535" w:rsidRPr="00A50864" w:rsidRDefault="00041535" w:rsidP="00041535">
      <w:pPr>
        <w:pBdr>
          <w:top w:val="single" w:sz="4" w:space="1" w:color="auto"/>
          <w:left w:val="single" w:sz="4" w:space="4" w:color="auto"/>
          <w:bottom w:val="single" w:sz="4" w:space="1" w:color="auto"/>
          <w:right w:val="single" w:sz="4" w:space="4" w:color="auto"/>
        </w:pBdr>
        <w:rPr>
          <w:szCs w:val="21"/>
        </w:rPr>
      </w:pPr>
      <w:r>
        <w:t>Le document unique de marché européen est une déclaration sur l’honneur des opérateurs économiques servant de preuve a priori en lieu et place des certificats délivrés par des autorités publiques ou des tiers. Comme le dispose l’article 73 de la loi du 17 juin 2016, il s’agit d’une déclaration officielle par laquelle l’opérateur économique affirme qu’il ne se trouve pas dans l’une des situations qui doivent ou peuvent entraîner l’exclusion d’un opérateur, qu’il répond aux critères de sélection applicables.</w:t>
      </w:r>
    </w:p>
    <w:p w14:paraId="31AA4CD5" w14:textId="0E56F1FF" w:rsidR="00CA361F" w:rsidRPr="00A50864" w:rsidRDefault="00CA361F" w:rsidP="00041535">
      <w:pPr>
        <w:rPr>
          <w:szCs w:val="21"/>
        </w:rPr>
      </w:pPr>
      <w:r>
        <w:t>Conformément à l’article 76 § 1</w:t>
      </w:r>
      <w:r>
        <w:rPr>
          <w:vertAlign w:val="superscript"/>
        </w:rPr>
        <w:t>er</w:t>
      </w:r>
      <w:r>
        <w:t xml:space="preserve"> 2° de l’arrêté royal du 18 avril 2017, le non-respect de l’obligation de remettre un DUME constitue une irrégularité substantielle entraînant la nullité de l’offre.</w:t>
      </w:r>
    </w:p>
    <w:p w14:paraId="60F6AF97" w14:textId="53B3BEC4" w:rsidR="00041535" w:rsidRPr="00A50864" w:rsidRDefault="00041535" w:rsidP="00041535">
      <w:pPr>
        <w:rPr>
          <w:szCs w:val="21"/>
        </w:rPr>
      </w:pPr>
      <w:r>
        <w:t>Le soumissionnaire joint également à son offre :</w:t>
      </w:r>
    </w:p>
    <w:p w14:paraId="72BB1ABB" w14:textId="0291E42B" w:rsidR="00041535" w:rsidRPr="00A50864" w:rsidRDefault="00041535">
      <w:pPr>
        <w:pStyle w:val="ListParagraph"/>
        <w:numPr>
          <w:ilvl w:val="0"/>
          <w:numId w:val="13"/>
        </w:numPr>
        <w:rPr>
          <w:szCs w:val="21"/>
        </w:rPr>
      </w:pPr>
      <w:r>
        <w:t>tous les documents demandés dans le cadre de la sélection qualitative et des critères d’attribution (par lot) ;</w:t>
      </w:r>
    </w:p>
    <w:p w14:paraId="544A782A" w14:textId="77777777" w:rsidR="009F466D" w:rsidRPr="00A50864" w:rsidRDefault="009F466D">
      <w:pPr>
        <w:pStyle w:val="ListParagraph"/>
        <w:numPr>
          <w:ilvl w:val="0"/>
          <w:numId w:val="13"/>
        </w:numPr>
        <w:rPr>
          <w:szCs w:val="21"/>
        </w:rPr>
      </w:pPr>
      <w:r>
        <w:t>un détail des prix offerts, listant pour chaque poste les différents éléments inclus dedans ainsi que le taux de TVA applicable ;</w:t>
      </w:r>
    </w:p>
    <w:p w14:paraId="2978B09C" w14:textId="0C73D109" w:rsidR="00041535" w:rsidRPr="002832C3" w:rsidRDefault="00041535">
      <w:pPr>
        <w:pStyle w:val="ListParagraph"/>
        <w:numPr>
          <w:ilvl w:val="0"/>
          <w:numId w:val="13"/>
        </w:numPr>
        <w:rPr>
          <w:szCs w:val="21"/>
        </w:rPr>
      </w:pPr>
      <w:r>
        <w:t>les statuts ainsi que tout autre document utile prouvant le mandat du (des) signataire(s) ;</w:t>
      </w:r>
    </w:p>
    <w:p w14:paraId="43B7231D" w14:textId="39A2E242" w:rsidR="002832C3" w:rsidRPr="00A50864" w:rsidRDefault="002832C3">
      <w:pPr>
        <w:pStyle w:val="ListParagraph"/>
        <w:numPr>
          <w:ilvl w:val="0"/>
          <w:numId w:val="13"/>
        </w:numPr>
        <w:rPr>
          <w:szCs w:val="21"/>
        </w:rPr>
      </w:pPr>
      <w:r>
        <w:t>si possible, les documents portant sur les motifs d’exclusion.</w:t>
      </w:r>
    </w:p>
    <w:p w14:paraId="02A24E58" w14:textId="77777777" w:rsidR="00041535" w:rsidRPr="00A50864" w:rsidRDefault="00041535" w:rsidP="00041535">
      <w:pPr>
        <w:rPr>
          <w:szCs w:val="21"/>
        </w:rPr>
      </w:pPr>
      <w:r>
        <w:t>Si l’offre est soumise par un groupement d’opérateurs économiques, elle doit contenir une copie des documents suivants pour chaque participant au groupement :</w:t>
      </w:r>
    </w:p>
    <w:p w14:paraId="5817E016" w14:textId="77777777" w:rsidR="00041535" w:rsidRPr="00A50864" w:rsidRDefault="00041535">
      <w:pPr>
        <w:pStyle w:val="ListParagraph"/>
        <w:numPr>
          <w:ilvl w:val="0"/>
          <w:numId w:val="13"/>
        </w:numPr>
        <w:rPr>
          <w:szCs w:val="21"/>
        </w:rPr>
      </w:pPr>
      <w:r>
        <w:t xml:space="preserve">Formulaire 6.1 – Identification du soumissionnaire </w:t>
      </w:r>
    </w:p>
    <w:p w14:paraId="584D35AF" w14:textId="77777777" w:rsidR="00003CCA" w:rsidRPr="00A50864" w:rsidRDefault="00003CCA">
      <w:pPr>
        <w:pStyle w:val="ListParagraph"/>
        <w:numPr>
          <w:ilvl w:val="0"/>
          <w:numId w:val="13"/>
        </w:numPr>
        <w:rPr>
          <w:szCs w:val="21"/>
        </w:rPr>
      </w:pPr>
      <w:r>
        <w:t xml:space="preserve">Formulaire 6.4 – Déclaration sur l’honneur – motifs d’exclusion </w:t>
      </w:r>
    </w:p>
    <w:p w14:paraId="24DD5850" w14:textId="77777777" w:rsidR="00003CCA" w:rsidRPr="005B7D75" w:rsidRDefault="00003CCA">
      <w:pPr>
        <w:pStyle w:val="ListParagraph"/>
        <w:numPr>
          <w:ilvl w:val="0"/>
          <w:numId w:val="13"/>
        </w:numPr>
        <w:rPr>
          <w:szCs w:val="21"/>
        </w:rPr>
      </w:pPr>
      <w:r>
        <w:t>Le document unique de marché européen (DUME)</w:t>
      </w:r>
    </w:p>
    <w:p w14:paraId="354E5C4E" w14:textId="63CC5ED6" w:rsidR="00041535" w:rsidRPr="00A50864" w:rsidRDefault="00041535">
      <w:pPr>
        <w:pStyle w:val="ListParagraph"/>
        <w:numPr>
          <w:ilvl w:val="0"/>
          <w:numId w:val="13"/>
        </w:numPr>
        <w:rPr>
          <w:szCs w:val="21"/>
        </w:rPr>
      </w:pPr>
      <w:r>
        <w:t>Les statuts ainsi que tout autre document utile prouvant le mandat du (des) signataire(s)</w:t>
      </w:r>
    </w:p>
    <w:p w14:paraId="325F122F" w14:textId="2A2B574C" w:rsidR="00A50864" w:rsidRPr="002832C3" w:rsidRDefault="00A50864">
      <w:pPr>
        <w:pStyle w:val="ListParagraph"/>
        <w:numPr>
          <w:ilvl w:val="0"/>
          <w:numId w:val="13"/>
        </w:numPr>
        <w:rPr>
          <w:szCs w:val="21"/>
        </w:rPr>
      </w:pPr>
      <w:r>
        <w:t xml:space="preserve">La convention d’association signée par chaque participant, indiquant clairement le ou la </w:t>
      </w:r>
      <w:proofErr w:type="spellStart"/>
      <w:r>
        <w:t>représentant·e</w:t>
      </w:r>
      <w:proofErr w:type="spellEnd"/>
      <w:r>
        <w:t xml:space="preserve"> de l’association</w:t>
      </w:r>
    </w:p>
    <w:p w14:paraId="1541E559" w14:textId="0BBF2D9A" w:rsidR="002832C3" w:rsidRPr="00A50864" w:rsidRDefault="002832C3">
      <w:pPr>
        <w:pStyle w:val="ListParagraph"/>
        <w:numPr>
          <w:ilvl w:val="0"/>
          <w:numId w:val="13"/>
        </w:numPr>
        <w:rPr>
          <w:szCs w:val="21"/>
        </w:rPr>
      </w:pPr>
      <w:r>
        <w:t>Si possible, les documents portant sur les motifs d’exclusion.</w:t>
      </w:r>
    </w:p>
    <w:p w14:paraId="1A37E3F8" w14:textId="424B207D" w:rsidR="00041535" w:rsidRDefault="00041535" w:rsidP="00041535">
      <w:r>
        <w:t>Conformément à l’article 73 de l’A.R. du 18 avril 2017, si un opérateur économique souhaite recourir aux capacités d’autres entités (notamment des sous-traitants ou des filiales indépendantes) en ce qui concerne les critères relatifs à la capacité économique et financière et les critères relatifs aux capacités techniques et professionnelles (voir 3.5.3 Critères de sélection), il apporte au pouvoir adjudicateur la preuve qu’il disposera des moyens nécessaires, notamment en produisant l’engagement de ces entités à cet effet.</w:t>
      </w:r>
      <w:r>
        <w:br/>
        <w:t>Lorsque le candidat ou le soumissionnaire fait appel à la capacité d’autres entités au sens du paragraphe 1</w:t>
      </w:r>
      <w:r>
        <w:rPr>
          <w:vertAlign w:val="superscript"/>
        </w:rPr>
        <w:t>er</w:t>
      </w:r>
      <w:r>
        <w:t>, le candidat ou le soumissionnaire, selon le cas, répond à la question reprise à la partie II, C, du DUME visé à l’article 38 de l’A.R. du 18 avril 2017. Il mentionne également pour quelle part du marché il fait appel à cette capacité et quelles autres entités il propose.</w:t>
      </w:r>
      <w:r>
        <w:br/>
        <w:t xml:space="preserve">L’offre comporte également </w:t>
      </w:r>
      <w:r>
        <w:rPr>
          <w:u w:val="single"/>
        </w:rPr>
        <w:t>un DUME séparé</w:t>
      </w:r>
      <w:r>
        <w:t xml:space="preserve"> en ce qui concerne les entités au sens du </w:t>
      </w:r>
      <w:r>
        <w:lastRenderedPageBreak/>
        <w:t>paragraphe 1</w:t>
      </w:r>
      <w:r>
        <w:rPr>
          <w:vertAlign w:val="superscript"/>
        </w:rPr>
        <w:t>er</w:t>
      </w:r>
      <w:r>
        <w:t>. Les documents portant sur les motifs d’exclusion peuvent aussi être ajoutés pour ces entités.</w:t>
      </w:r>
    </w:p>
    <w:p w14:paraId="6D304179" w14:textId="3511459D" w:rsidR="000C524C" w:rsidRPr="00063050" w:rsidRDefault="00EC6BAA" w:rsidP="005E62B1">
      <w:pPr>
        <w:pBdr>
          <w:top w:val="single" w:sz="4" w:space="1" w:color="auto"/>
          <w:left w:val="single" w:sz="4" w:space="4" w:color="auto"/>
          <w:bottom w:val="single" w:sz="4" w:space="1" w:color="auto"/>
          <w:right w:val="single" w:sz="4" w:space="4" w:color="auto"/>
        </w:pBdr>
        <w:jc w:val="both"/>
        <w:rPr>
          <w:szCs w:val="21"/>
        </w:rPr>
      </w:pPr>
      <w:r>
        <w:t xml:space="preserve">Le soumissionnaire indique clairement dans son offre quelle information est confidentielle et/ou se rapporte à des secrets techniques ou commerciaux et ne peut donc pas être divulguée par le pouvoir adjudicateur. </w:t>
      </w:r>
    </w:p>
    <w:p w14:paraId="68B82F88" w14:textId="77777777" w:rsidR="00041535" w:rsidRPr="004F5B68" w:rsidRDefault="00041535" w:rsidP="00041535">
      <w:r>
        <w:t>Les renseignements suivants seront mentionnés dans l’offre :</w:t>
      </w:r>
    </w:p>
    <w:p w14:paraId="7D0471E8" w14:textId="77777777" w:rsidR="00041535" w:rsidRDefault="00041535" w:rsidP="00041535">
      <w:pPr>
        <w:ind w:left="705" w:hanging="705"/>
      </w:pPr>
      <w:r>
        <w:t>-</w:t>
      </w:r>
      <w:r>
        <w:tab/>
        <w:t>les nom, prénom, qualité ou profession, nationalité et domicile du soumissionnaire ou, lorsque celui-ci est une personne morale, sa finalité sociale ou sa raison sociale ou dénomination, sa forme, sa nationalité, son siège social, son adresse courriel et, si applicable, son numéro d’entreprise ;</w:t>
      </w:r>
    </w:p>
    <w:p w14:paraId="2E92DB00" w14:textId="77777777" w:rsidR="00041535" w:rsidRDefault="00041535" w:rsidP="00041535">
      <w:pPr>
        <w:ind w:left="705" w:hanging="705"/>
      </w:pPr>
      <w:r>
        <w:t>-</w:t>
      </w:r>
      <w:r>
        <w:tab/>
        <w:t>le prix unitaire forfaitaire / les prix unitaires forfaitaires en toutes lettres et en chiffres (hors TVA) ;</w:t>
      </w:r>
    </w:p>
    <w:p w14:paraId="7FB02DE9" w14:textId="77777777" w:rsidR="009F466D" w:rsidRDefault="009F466D" w:rsidP="009F466D">
      <w:r>
        <w:t>-</w:t>
      </w:r>
      <w:r>
        <w:tab/>
        <w:t>le pourcentage de TVA ;</w:t>
      </w:r>
    </w:p>
    <w:p w14:paraId="383BDB17" w14:textId="77777777" w:rsidR="00041535" w:rsidRPr="00284EB1" w:rsidRDefault="00041535" w:rsidP="00041535">
      <w:pPr>
        <w:ind w:left="705" w:hanging="705"/>
      </w:pPr>
      <w:r>
        <w:t>-</w:t>
      </w:r>
      <w:r>
        <w:tab/>
        <w:t>le nom de la ou des personnes, selon le cas, dotée(s) d’un mandat (procuration) pour signer l’offre ;</w:t>
      </w:r>
    </w:p>
    <w:p w14:paraId="6B50D08D" w14:textId="77777777" w:rsidR="00041535" w:rsidRDefault="00041535" w:rsidP="002832C3">
      <w:pPr>
        <w:ind w:left="705" w:hanging="705"/>
      </w:pPr>
      <w:r>
        <w:t>-</w:t>
      </w:r>
      <w:r>
        <w:tab/>
        <w:t>la fonction de la ou des personnes, selon le cas, qui signe(nt) l’offre ;</w:t>
      </w:r>
    </w:p>
    <w:p w14:paraId="165DB134" w14:textId="77777777" w:rsidR="00041535" w:rsidRPr="00852834" w:rsidRDefault="00041535" w:rsidP="00041535">
      <w:pPr>
        <w:ind w:left="705" w:hanging="705"/>
      </w:pPr>
      <w:r>
        <w:t>-</w:t>
      </w:r>
      <w:r>
        <w:tab/>
        <w:t>le numéro et l’intitulé du compte ouvert auprès d’un établissement financier sur lequel doit être effectué tout paiement dans le cadre du marché public ;</w:t>
      </w:r>
    </w:p>
    <w:p w14:paraId="2363D4A9" w14:textId="77777777" w:rsidR="00041535" w:rsidRDefault="00041535" w:rsidP="00041535">
      <w:pPr>
        <w:ind w:left="705" w:hanging="705"/>
      </w:pPr>
      <w:r>
        <w:t>-</w:t>
      </w:r>
      <w:r>
        <w:tab/>
        <w:t>le numéro d’enregistrement complet du soumissionnaire à la Banque-Carrefour des Entreprises pour les soumissionnaires belges ou toute institution équivalente pour les soumissionnaires étrangers ;</w:t>
      </w:r>
    </w:p>
    <w:p w14:paraId="47E216C9" w14:textId="77777777" w:rsidR="00041535" w:rsidRDefault="00041535" w:rsidP="00041535">
      <w:pPr>
        <w:ind w:left="705" w:hanging="705"/>
      </w:pPr>
      <w:r>
        <w:t>-</w:t>
      </w:r>
      <w:r>
        <w:tab/>
        <w:t>les participants à un groupement d’opérateurs économiques doivent désigner un membre du groupement qui représentera ce dernier devant le pouvoir adjudicateur. Lorsque le DUME doit être rempli, cette mention est indiquée dans la partie II.B du DUME.</w:t>
      </w:r>
    </w:p>
    <w:p w14:paraId="4790EA1F" w14:textId="77777777" w:rsidR="00041535" w:rsidRDefault="00041535" w:rsidP="00041535">
      <w:pPr>
        <w:pStyle w:val="BodyText"/>
        <w:rPr>
          <w:rFonts w:ascii="Georgia" w:eastAsia="Calibri" w:hAnsi="Georgia" w:cs="Times New Roman"/>
          <w:color w:val="585756"/>
          <w:kern w:val="0"/>
          <w:sz w:val="21"/>
          <w:szCs w:val="22"/>
        </w:rPr>
      </w:pPr>
      <w:r>
        <w:rPr>
          <w:rFonts w:ascii="Georgia" w:hAnsi="Georgia"/>
          <w:color w:val="585756"/>
          <w:sz w:val="21"/>
        </w:rPr>
        <w:t>Par le dépôt de son offre, le soumissionnaire renonce automatiquement à ses conditions générales ou particulières de vente, même si celles-ci sont mentionnées dans l’une ou l’autre annexe à son offre.</w:t>
      </w:r>
    </w:p>
    <w:p w14:paraId="6D304181" w14:textId="2D42A314" w:rsidR="00123974" w:rsidRDefault="00123974" w:rsidP="00063050">
      <w:pPr>
        <w:pStyle w:val="BodyText"/>
        <w:rPr>
          <w:rFonts w:ascii="Georgia" w:eastAsia="Calibri" w:hAnsi="Georgia" w:cs="Times New Roman"/>
          <w:color w:val="585756"/>
          <w:kern w:val="0"/>
          <w:sz w:val="21"/>
          <w:szCs w:val="22"/>
        </w:rPr>
      </w:pPr>
      <w:r>
        <w:rPr>
          <w:rFonts w:ascii="Georgia" w:hAnsi="Georgia"/>
          <w:color w:val="585756"/>
          <w:sz w:val="21"/>
        </w:rPr>
        <w:t xml:space="preserve">Le soumissionnaire rédige son offre en français, en néerlandais ou en anglais. Le pouvoir adjudicateur peut demander au soumissionnaire de faire traduire des documents, attestations et autres annexes à l’offre qui seraient rédigés dans une autre langue. </w:t>
      </w:r>
    </w:p>
    <w:bookmarkEnd w:id="36"/>
    <w:p w14:paraId="70770430" w14:textId="77777777" w:rsidR="007F09C4" w:rsidRPr="005B7D75" w:rsidRDefault="007F09C4" w:rsidP="00063050">
      <w:pPr>
        <w:pStyle w:val="BodyText"/>
        <w:rPr>
          <w:rFonts w:ascii="Georgia" w:eastAsia="Calibri" w:hAnsi="Georgia" w:cs="Times New Roman"/>
          <w:color w:val="585756"/>
          <w:kern w:val="0"/>
          <w:sz w:val="21"/>
          <w:szCs w:val="22"/>
        </w:rPr>
      </w:pPr>
    </w:p>
    <w:p w14:paraId="6D304187" w14:textId="564F1F2A" w:rsidR="00EC6BAA" w:rsidRDefault="00EC6BAA" w:rsidP="007F09C4">
      <w:pPr>
        <w:pStyle w:val="Heading3"/>
      </w:pPr>
      <w:bookmarkStart w:id="37" w:name="_Toc160610168"/>
      <w:r>
        <w:t>Durée de validité de l’offre</w:t>
      </w:r>
      <w:bookmarkEnd w:id="37"/>
      <w:r>
        <w:t xml:space="preserve"> </w:t>
      </w:r>
    </w:p>
    <w:p w14:paraId="6D304188" w14:textId="417B7A0E" w:rsidR="00EC6BAA" w:rsidRDefault="00EC6BAA" w:rsidP="007F09C4">
      <w:pPr>
        <w:pStyle w:val="BodyText"/>
        <w:rPr>
          <w:rFonts w:ascii="Georgia" w:eastAsia="Calibri" w:hAnsi="Georgia" w:cs="Times New Roman"/>
          <w:color w:val="585756"/>
          <w:kern w:val="0"/>
          <w:sz w:val="21"/>
          <w:szCs w:val="22"/>
        </w:rPr>
      </w:pPr>
      <w:r>
        <w:rPr>
          <w:rFonts w:ascii="Georgia" w:hAnsi="Georgia"/>
          <w:color w:val="585756"/>
          <w:sz w:val="21"/>
        </w:rPr>
        <w:t>Les soumissionnaires restent liés par leur offre pendant un délai de 120</w:t>
      </w:r>
      <w:r w:rsidR="00B5602D">
        <w:rPr>
          <w:rFonts w:ascii="Georgia" w:hAnsi="Georgia"/>
          <w:color w:val="585756"/>
          <w:sz w:val="21"/>
        </w:rPr>
        <w:t> </w:t>
      </w:r>
      <w:r>
        <w:rPr>
          <w:rFonts w:ascii="Georgia" w:hAnsi="Georgia"/>
          <w:color w:val="585756"/>
          <w:sz w:val="21"/>
        </w:rPr>
        <w:t>jours de calendrier, à compter de la date limite de réception des offres.</w:t>
      </w:r>
    </w:p>
    <w:p w14:paraId="4B2EF435" w14:textId="77777777" w:rsidR="000F2352" w:rsidRPr="005B7D75" w:rsidRDefault="000F2352" w:rsidP="007F09C4">
      <w:pPr>
        <w:pStyle w:val="BodyText"/>
        <w:rPr>
          <w:rFonts w:ascii="Georgia" w:eastAsia="Calibri" w:hAnsi="Georgia" w:cs="Times New Roman"/>
          <w:color w:val="585756"/>
          <w:kern w:val="0"/>
          <w:sz w:val="21"/>
          <w:szCs w:val="22"/>
        </w:rPr>
      </w:pPr>
    </w:p>
    <w:p w14:paraId="6D304189" w14:textId="51F032C7" w:rsidR="00EC6BAA" w:rsidRDefault="00BB10F6" w:rsidP="005E62B1">
      <w:pPr>
        <w:pStyle w:val="Heading3"/>
        <w:jc w:val="both"/>
      </w:pPr>
      <w:bookmarkStart w:id="38" w:name="_Toc160610169"/>
      <w:r>
        <w:t>Modalités d’introduction des offres</w:t>
      </w:r>
      <w:bookmarkEnd w:id="38"/>
      <w:r>
        <w:t xml:space="preserve"> </w:t>
      </w:r>
    </w:p>
    <w:p w14:paraId="6D30418A" w14:textId="29C44CB8" w:rsidR="00EC6BAA" w:rsidRPr="00A61B8B" w:rsidRDefault="00C448DA" w:rsidP="004B23A2">
      <w:pPr>
        <w:pStyle w:val="Heading4"/>
      </w:pPr>
      <w:bookmarkStart w:id="39" w:name="_Toc160610170"/>
      <w:r>
        <w:t>Via e-Procurement</w:t>
      </w:r>
      <w:bookmarkEnd w:id="39"/>
    </w:p>
    <w:p w14:paraId="119FC972" w14:textId="77777777" w:rsidR="003F6CA8" w:rsidRPr="00211A79" w:rsidRDefault="003F6CA8" w:rsidP="003F6CA8">
      <w:pPr>
        <w:pStyle w:val="BTCtextCTB"/>
        <w:rPr>
          <w:rFonts w:ascii="Georgia" w:eastAsia="Calibri" w:hAnsi="Georgia"/>
          <w:color w:val="585756"/>
          <w:sz w:val="21"/>
          <w:szCs w:val="22"/>
        </w:rPr>
      </w:pPr>
      <w:r>
        <w:rPr>
          <w:rFonts w:ascii="Georgia" w:hAnsi="Georgia"/>
          <w:color w:val="585756"/>
          <w:sz w:val="21"/>
        </w:rPr>
        <w:t xml:space="preserve">Le soumissionnaire ne peut remettre qu’une seule offre par marché. </w:t>
      </w:r>
    </w:p>
    <w:p w14:paraId="6D30418B" w14:textId="5F2D2293" w:rsidR="0020012D" w:rsidRPr="00DF6E5E" w:rsidRDefault="0020012D" w:rsidP="005E62B1">
      <w:pPr>
        <w:jc w:val="both"/>
        <w:rPr>
          <w:szCs w:val="21"/>
        </w:rPr>
      </w:pPr>
      <w:r>
        <w:lastRenderedPageBreak/>
        <w:t xml:space="preserve">Conformément aux règles applicables aux moyens de communication, seules les offres introduites par des moyens électroniques sont acceptées. </w:t>
      </w:r>
    </w:p>
    <w:p w14:paraId="6D30418C" w14:textId="5B28EF0D" w:rsidR="0020012D" w:rsidRPr="00DF6E5E" w:rsidRDefault="0020012D" w:rsidP="005E62B1">
      <w:pPr>
        <w:jc w:val="both"/>
        <w:rPr>
          <w:szCs w:val="21"/>
        </w:rPr>
      </w:pPr>
      <w:r>
        <w:rPr>
          <w:u w:val="single"/>
        </w:rPr>
        <w:t>Par conséquent, le dépôt de l’offre sur papier n’est pas autorisé et l’adjudicateur ne tiendra compte que de l’offre introduite par voie électronique</w:t>
      </w:r>
      <w:r>
        <w:t>.</w:t>
      </w:r>
    </w:p>
    <w:p w14:paraId="53946695" w14:textId="4B0AB25E" w:rsidR="009B2D98" w:rsidRDefault="009B2D98" w:rsidP="009B2D98">
      <w:r>
        <w:t>Pour ce marché, la soumission électronique d’une offre se fait via les applications internet du service fédéral e-Procurement (</w:t>
      </w:r>
      <w:hyperlink r:id="rId19" w:history="1">
        <w:r>
          <w:rPr>
            <w:rStyle w:val="Hyperlink"/>
          </w:rPr>
          <w:t>https://www.publicprocurement.be/</w:t>
        </w:r>
      </w:hyperlink>
      <w:r>
        <w:t>).</w:t>
      </w:r>
    </w:p>
    <w:p w14:paraId="7F3036A5" w14:textId="19FCF6E2" w:rsidR="009B2D98" w:rsidRDefault="009B2D98" w:rsidP="009B2D98">
      <w:r>
        <w:t>Pour plus d’informations concernant l’enregistrement ou la connexion sur la plateforme, veuillez consulter le manuel en suivant le lien ci-dessous : https://bosa.service-now.com/eprocurement?lang=fr</w:t>
      </w:r>
    </w:p>
    <w:p w14:paraId="6D304195" w14:textId="77777777" w:rsidR="0020012D" w:rsidRDefault="0020012D" w:rsidP="005E62B1">
      <w:pPr>
        <w:jc w:val="both"/>
      </w:pPr>
      <w:r>
        <w:t>Le format des documents doit être le format .</w:t>
      </w:r>
      <w:proofErr w:type="spellStart"/>
      <w:r>
        <w:t>pdf</w:t>
      </w:r>
      <w:proofErr w:type="spellEnd"/>
      <w:r>
        <w:t xml:space="preserve"> ou un format équivalent. </w:t>
      </w:r>
    </w:p>
    <w:p w14:paraId="42A59921" w14:textId="1A137851" w:rsidR="00B57359" w:rsidRPr="00BA5AA6" w:rsidRDefault="00B57359" w:rsidP="005E62B1">
      <w:pPr>
        <w:jc w:val="both"/>
        <w:rPr>
          <w:szCs w:val="21"/>
        </w:rPr>
      </w:pPr>
      <w:r>
        <w:t>Concernant les instructions relatives à la soumission des offres, veuillez consulter le lien suivant : https://bosa.service-now.com/eprocurement?id=kb_article_view&amp;sys_kb_id=135395601bc63d501cfe4042b24bcbed</w:t>
      </w:r>
    </w:p>
    <w:p w14:paraId="69C7B959" w14:textId="2B9FD2DA" w:rsidR="00E46DB1" w:rsidRPr="007A1D8A" w:rsidRDefault="00E46DB1" w:rsidP="005E62B1">
      <w:pPr>
        <w:jc w:val="both"/>
        <w:rPr>
          <w:szCs w:val="21"/>
        </w:rPr>
      </w:pPr>
      <w:r>
        <w:t>Par le seul fait de transmettre son offre, par des moyens de communication électroniques, le soumissionnaire accepte que les données de son offre soient enregistrées par le dispositif de réception.</w:t>
      </w:r>
    </w:p>
    <w:p w14:paraId="2E1E725C" w14:textId="4AF55570" w:rsidR="00E46DB1" w:rsidRPr="000F2352" w:rsidRDefault="00E46DB1" w:rsidP="00AF1243">
      <w:pPr>
        <w:pBdr>
          <w:top w:val="single" w:sz="4" w:space="1" w:color="auto"/>
          <w:left w:val="single" w:sz="4" w:space="4" w:color="auto"/>
          <w:bottom w:val="single" w:sz="4" w:space="1" w:color="auto"/>
          <w:right w:val="single" w:sz="4" w:space="4" w:color="auto"/>
        </w:pBdr>
        <w:jc w:val="both"/>
        <w:rPr>
          <w:szCs w:val="21"/>
        </w:rPr>
      </w:pPr>
      <w:r>
        <w:rPr>
          <w:b/>
        </w:rPr>
        <w:t>Le pouvoir adjudicateur attire l’attention des soumissionnaires sur le fait que l’envoi d’une offre par courriel ne répond pas aux conditions de l’art. 14, § 6 et 7 de la loi du 17 juin 2016. L’offre par courriel sera écartée.</w:t>
      </w:r>
    </w:p>
    <w:p w14:paraId="40DB7CDC" w14:textId="77777777" w:rsidR="00AF1243" w:rsidRPr="002D2B8D" w:rsidRDefault="00AF1243" w:rsidP="00AF1243">
      <w:pPr>
        <w:jc w:val="both"/>
        <w:rPr>
          <w:sz w:val="20"/>
          <w:szCs w:val="20"/>
        </w:rPr>
      </w:pPr>
    </w:p>
    <w:p w14:paraId="17D0A0C4" w14:textId="6BEDAC90" w:rsidR="00E46DB1" w:rsidRDefault="00E46DB1" w:rsidP="005E62B1">
      <w:pPr>
        <w:pStyle w:val="Heading4"/>
        <w:jc w:val="both"/>
      </w:pPr>
      <w:bookmarkStart w:id="40" w:name="_Toc160610171"/>
      <w:r>
        <w:t>La signature électronique de l’offre</w:t>
      </w:r>
      <w:bookmarkEnd w:id="40"/>
    </w:p>
    <w:p w14:paraId="19AD7E80" w14:textId="2FF62506" w:rsidR="005E198B" w:rsidRDefault="005E198B" w:rsidP="005E198B">
      <w:r>
        <w:t>Le soumissionnaire ne doit pas signer individuellement l’offre, ses annexes et le DUME, au moment où ces derniers sont chargés sur la plateforme électronique e-Procurement.</w:t>
      </w:r>
    </w:p>
    <w:p w14:paraId="2FDAA4FB" w14:textId="77777777" w:rsidR="005E198B" w:rsidRDefault="005E198B" w:rsidP="005E198B">
      <w:pPr>
        <w:pBdr>
          <w:top w:val="single" w:sz="4" w:space="1" w:color="auto"/>
          <w:left w:val="single" w:sz="4" w:space="4" w:color="auto"/>
          <w:bottom w:val="single" w:sz="4" w:space="1" w:color="auto"/>
          <w:right w:val="single" w:sz="4" w:space="4" w:color="auto"/>
        </w:pBdr>
      </w:pPr>
      <w:r>
        <w:t>Ces documents sont signés de manière globale par l’apposition d’une signature sur le rapport de dépôt y afférent. Celui-ci doit être signé avec la signature électronique qualifiée du représentant légal (ou son mandataire) du soumissionnaire.</w:t>
      </w:r>
    </w:p>
    <w:p w14:paraId="71F7F8AA" w14:textId="0509820C" w:rsidR="005E198B" w:rsidRDefault="005E198B" w:rsidP="005E198B">
      <w:r>
        <w:t>Les signatures sont émises par la ou les personne(s) compétente(s) ou mandatée(s) à engager le soumissionnaire. Cette obligation s’applique également à chaque participant lorsque l’offre est déposée par un groupement d’opérateurs économiques</w:t>
      </w:r>
      <w:r w:rsidR="00212F94">
        <w:t>.</w:t>
      </w:r>
      <w:r>
        <w:t xml:space="preserve"> Ces participants sont solidairement responsables.</w:t>
      </w:r>
    </w:p>
    <w:p w14:paraId="510B7689" w14:textId="77777777" w:rsidR="005E198B" w:rsidRDefault="005E198B" w:rsidP="005E198B">
      <w:r>
        <w:t xml:space="preserve">Lorsque le rapport de dépôt est signé par un mandataire, celui-ci mentionne clairement son (ses) mandant(s). Le mandataire joint l’acte électronique authentique ou sous seing privé qui lui accorde ses pouvoirs ou une copie scannée de la procuration. </w:t>
      </w:r>
    </w:p>
    <w:p w14:paraId="3FCF4B73" w14:textId="767A510A" w:rsidR="005E198B" w:rsidRPr="000F2352" w:rsidRDefault="005E198B" w:rsidP="00AF1243">
      <w:pPr>
        <w:pBdr>
          <w:top w:val="single" w:sz="4" w:space="1" w:color="auto"/>
          <w:left w:val="single" w:sz="4" w:space="4" w:color="auto"/>
          <w:bottom w:val="single" w:sz="4" w:space="1" w:color="auto"/>
          <w:right w:val="single" w:sz="4" w:space="4" w:color="auto"/>
        </w:pBdr>
        <w:jc w:val="both"/>
        <w:rPr>
          <w:b/>
          <w:szCs w:val="21"/>
        </w:rPr>
      </w:pPr>
      <w:r>
        <w:rPr>
          <w:b/>
        </w:rPr>
        <w:t>Le pouvoir adjudicateur rappelle qu’une signature écrite scannée n’est pas une signature électronique recevable</w:t>
      </w:r>
    </w:p>
    <w:p w14:paraId="4D83F321" w14:textId="77777777" w:rsidR="00AF1243" w:rsidRPr="00AF1243" w:rsidRDefault="00AF1243" w:rsidP="00AF1243">
      <w:pPr>
        <w:jc w:val="both"/>
        <w:rPr>
          <w:b/>
          <w:sz w:val="20"/>
          <w:szCs w:val="20"/>
        </w:rPr>
      </w:pPr>
    </w:p>
    <w:p w14:paraId="6D30419D" w14:textId="77777777" w:rsidR="00EC6BAA" w:rsidRDefault="00EC6BAA" w:rsidP="005E62B1">
      <w:pPr>
        <w:pStyle w:val="Heading4"/>
        <w:jc w:val="both"/>
      </w:pPr>
      <w:bookmarkStart w:id="41" w:name="_Toc160610172"/>
      <w:r>
        <w:t>Modification ou retrait d’une offre déjà introduite</w:t>
      </w:r>
      <w:bookmarkEnd w:id="41"/>
    </w:p>
    <w:p w14:paraId="6D30419E" w14:textId="393E3BDD" w:rsidR="0020012D" w:rsidRPr="00571938" w:rsidRDefault="0020012D" w:rsidP="005E62B1">
      <w:pPr>
        <w:jc w:val="both"/>
        <w:rPr>
          <w:szCs w:val="21"/>
        </w:rPr>
      </w:pPr>
      <w:r>
        <w:t>Lorsqu’une offre est introduite via e-</w:t>
      </w:r>
      <w:proofErr w:type="spellStart"/>
      <w:r>
        <w:t>tendering</w:t>
      </w:r>
      <w:proofErr w:type="spellEnd"/>
      <w:r>
        <w:t>, elle est modifiée ou retirée conformément à l’article 43, § 2 de l’Arrêté royal du 18 avril 2017.</w:t>
      </w:r>
    </w:p>
    <w:p w14:paraId="6D30419F" w14:textId="3C5E4E1A" w:rsidR="0020012D" w:rsidRPr="00571938" w:rsidRDefault="0020012D" w:rsidP="005E62B1">
      <w:pPr>
        <w:jc w:val="both"/>
        <w:rPr>
          <w:szCs w:val="21"/>
        </w:rPr>
      </w:pPr>
      <w:r>
        <w:lastRenderedPageBreak/>
        <w:t>Ainsi, les modifications à une offre qui interviennent après la signature du rapport de dépôt ainsi que son retrait donnent lieu à l’envoi d’un nouveau rapport de dépôt qui doit être signé conformément au point précédent.</w:t>
      </w:r>
    </w:p>
    <w:p w14:paraId="6D3041A0" w14:textId="357012AE" w:rsidR="0020012D" w:rsidRPr="00571938" w:rsidRDefault="0020012D" w:rsidP="005E62B1">
      <w:pPr>
        <w:jc w:val="both"/>
        <w:rPr>
          <w:szCs w:val="21"/>
        </w:rPr>
      </w:pPr>
      <w:r>
        <w:t>L’objet et la portée des modifications doivent être indiqués avec précision.</w:t>
      </w:r>
    </w:p>
    <w:p w14:paraId="6D3041A1" w14:textId="77777777" w:rsidR="0020012D" w:rsidRPr="00571938" w:rsidRDefault="0020012D" w:rsidP="005E62B1">
      <w:pPr>
        <w:jc w:val="both"/>
        <w:rPr>
          <w:szCs w:val="21"/>
        </w:rPr>
      </w:pPr>
      <w:r>
        <w:t>Le retrait doit être pur et simple.</w:t>
      </w:r>
    </w:p>
    <w:p w14:paraId="6D3041A2" w14:textId="13E68698" w:rsidR="0020012D" w:rsidRDefault="0020012D" w:rsidP="005E62B1">
      <w:pPr>
        <w:jc w:val="both"/>
        <w:rPr>
          <w:szCs w:val="21"/>
        </w:rPr>
      </w:pPr>
      <w:r>
        <w:t>Lorsque le rapport de dépôt dressé à la suite des modifications ou du retrait n’est pas revêtu de la signature visée au paragraphe 1</w:t>
      </w:r>
      <w:r>
        <w:rPr>
          <w:vertAlign w:val="superscript"/>
        </w:rPr>
        <w:t>er</w:t>
      </w:r>
      <w:r>
        <w:t xml:space="preserve"> de l’A.R. du 18 avril 2017, la modification ou le retrait est d’office entaché(e) de nullité. Cette nullité ne vaut que pour les modifications ou le retrait, et pas pour l’offre même.</w:t>
      </w:r>
    </w:p>
    <w:p w14:paraId="0DC640FA" w14:textId="77777777" w:rsidR="008F2124" w:rsidRPr="00571938" w:rsidRDefault="008F2124" w:rsidP="005E62B1">
      <w:pPr>
        <w:jc w:val="both"/>
        <w:rPr>
          <w:szCs w:val="21"/>
        </w:rPr>
      </w:pPr>
    </w:p>
    <w:p w14:paraId="684955EE" w14:textId="084108AE" w:rsidR="0010694B" w:rsidRPr="0010694B" w:rsidRDefault="00C448DA" w:rsidP="0010694B">
      <w:pPr>
        <w:pStyle w:val="Heading4"/>
        <w:jc w:val="both"/>
      </w:pPr>
      <w:bookmarkStart w:id="42" w:name="_Toc160610173"/>
      <w:r>
        <w:t>Date limite de réception et ouverture des offres initiales.</w:t>
      </w:r>
      <w:bookmarkEnd w:id="42"/>
    </w:p>
    <w:p w14:paraId="5AC8411D" w14:textId="77FB79FD" w:rsidR="003A2C56" w:rsidRDefault="003A2C56" w:rsidP="003A2C56">
      <w:pPr>
        <w:pStyle w:val="BodyText"/>
        <w:rPr>
          <w:rFonts w:ascii="Georgia" w:eastAsia="Calibri" w:hAnsi="Georgia" w:cs="Times New Roman"/>
          <w:color w:val="585756"/>
          <w:kern w:val="0"/>
          <w:sz w:val="21"/>
          <w:szCs w:val="21"/>
        </w:rPr>
      </w:pPr>
      <w:r>
        <w:rPr>
          <w:rFonts w:ascii="Georgia" w:hAnsi="Georgia"/>
          <w:color w:val="585756"/>
          <w:sz w:val="21"/>
        </w:rPr>
        <w:t xml:space="preserve">Les offres doivent être en possession du pouvoir adjudicateur </w:t>
      </w:r>
      <w:r>
        <w:rPr>
          <w:rFonts w:ascii="Georgia" w:hAnsi="Georgia"/>
          <w:b/>
          <w:color w:val="585756"/>
          <w:sz w:val="21"/>
        </w:rPr>
        <w:t>avant</w:t>
      </w:r>
      <w:r>
        <w:rPr>
          <w:rFonts w:ascii="Georgia" w:hAnsi="Georgia"/>
          <w:color w:val="585756"/>
          <w:sz w:val="21"/>
        </w:rPr>
        <w:t xml:space="preserve"> la date mentionnée dans la publication. L’ouverture des offres se déroule via la plateforme e-Procurement.</w:t>
      </w:r>
    </w:p>
    <w:p w14:paraId="4F76D43E" w14:textId="77777777" w:rsidR="003A2C56" w:rsidRDefault="003A2C56" w:rsidP="003A2C56">
      <w:pPr>
        <w:pStyle w:val="BTCtextCTB"/>
        <w:rPr>
          <w:rFonts w:ascii="Georgia" w:eastAsia="Calibri" w:hAnsi="Georgia"/>
          <w:color w:val="585756"/>
          <w:sz w:val="21"/>
          <w:szCs w:val="22"/>
        </w:rPr>
      </w:pPr>
      <w:r>
        <w:rPr>
          <w:rFonts w:ascii="Georgia" w:hAnsi="Georgia"/>
          <w:color w:val="585756"/>
          <w:sz w:val="21"/>
        </w:rPr>
        <w:t>Les offres tardives ne seront pas acceptées</w:t>
      </w:r>
      <w:r>
        <w:rPr>
          <w:rStyle w:val="FootnoteReference"/>
          <w:rFonts w:ascii="Georgia" w:eastAsia="Calibri" w:hAnsi="Georgia"/>
          <w:color w:val="585756"/>
          <w:sz w:val="21"/>
          <w:szCs w:val="22"/>
        </w:rPr>
        <w:footnoteReference w:id="9"/>
      </w:r>
      <w:r>
        <w:rPr>
          <w:rFonts w:ascii="Georgia" w:hAnsi="Georgia"/>
          <w:color w:val="585756"/>
          <w:sz w:val="21"/>
        </w:rPr>
        <w:t xml:space="preserve">. </w:t>
      </w:r>
      <w:bookmarkStart w:id="43" w:name="Art.84"/>
      <w:bookmarkEnd w:id="43"/>
    </w:p>
    <w:p w14:paraId="4856DFA5" w14:textId="77777777" w:rsidR="000F2352" w:rsidRPr="005B7D75" w:rsidRDefault="000F2352" w:rsidP="005E62B1">
      <w:pPr>
        <w:jc w:val="both"/>
        <w:rPr>
          <w:sz w:val="20"/>
          <w:szCs w:val="20"/>
        </w:rPr>
      </w:pPr>
    </w:p>
    <w:p w14:paraId="6D3041A5" w14:textId="77777777" w:rsidR="00EC6BAA" w:rsidRPr="00EC6BAA" w:rsidRDefault="00EC6BAA" w:rsidP="005E62B1">
      <w:pPr>
        <w:pStyle w:val="Heading3"/>
        <w:jc w:val="both"/>
      </w:pPr>
      <w:bookmarkStart w:id="44" w:name="_Toc160610174"/>
      <w:r>
        <w:t>Prix</w:t>
      </w:r>
      <w:bookmarkEnd w:id="44"/>
    </w:p>
    <w:p w14:paraId="6D3041A6" w14:textId="77777777" w:rsidR="00EC6BAA" w:rsidRDefault="00EC6BAA" w:rsidP="005E62B1">
      <w:pPr>
        <w:pStyle w:val="Heading4"/>
        <w:jc w:val="both"/>
      </w:pPr>
      <w:bookmarkStart w:id="45" w:name="_Toc160610175"/>
      <w:r>
        <w:t>Détermination des prix</w:t>
      </w:r>
      <w:bookmarkEnd w:id="45"/>
    </w:p>
    <w:p w14:paraId="6D3041A7" w14:textId="3B809AD6" w:rsidR="00EC6BAA" w:rsidRPr="005B424B" w:rsidRDefault="00EC6BAA" w:rsidP="005E62B1">
      <w:pPr>
        <w:jc w:val="both"/>
        <w:rPr>
          <w:szCs w:val="21"/>
        </w:rPr>
      </w:pPr>
      <w:r>
        <w:t>Tous les prix mentionnés dans le formulaire d’offre doivent être obligatoirement libellés en EURO.</w:t>
      </w:r>
    </w:p>
    <w:p w14:paraId="6D3041A8" w14:textId="47780C38" w:rsidR="00EC6BAA" w:rsidRPr="005B424B" w:rsidRDefault="00EC6BAA" w:rsidP="005E62B1">
      <w:pPr>
        <w:jc w:val="both"/>
        <w:rPr>
          <w:szCs w:val="21"/>
        </w:rPr>
      </w:pPr>
      <w:r>
        <w:t>Le présent marché est un marché à bordereau de prix, ce qui signifie que seul le prix unitaire est forfaitaire. Le prix à payer sera obtenu en appliquant les prix unitaires mentionnés dans l’inventaire aux quantités réellement exécutées.</w:t>
      </w:r>
    </w:p>
    <w:p w14:paraId="6D3041A9" w14:textId="47CEA192" w:rsidR="00EC6BAA" w:rsidRDefault="00EC6BAA" w:rsidP="005E62B1">
      <w:pPr>
        <w:jc w:val="both"/>
        <w:rPr>
          <w:szCs w:val="21"/>
        </w:rPr>
      </w:pPr>
      <w:r>
        <w:t>En application de l’article 37 de l’Arrêté royal du 18 avril 2017, le pouvoir adjudicateur peut effectuer toutes les vérifications sur pièces comptables et tous contrôles sur place de l’exactitude des indications fournies dans le cadre de la vérification des prix.</w:t>
      </w:r>
    </w:p>
    <w:p w14:paraId="5D1935B4" w14:textId="77777777" w:rsidR="000F2352" w:rsidRPr="005B424B" w:rsidRDefault="000F2352" w:rsidP="005E62B1">
      <w:pPr>
        <w:jc w:val="both"/>
        <w:rPr>
          <w:szCs w:val="21"/>
        </w:rPr>
      </w:pPr>
    </w:p>
    <w:p w14:paraId="6D3041AA" w14:textId="4E054D40" w:rsidR="00EC6BAA" w:rsidRDefault="006003A8" w:rsidP="005E62B1">
      <w:pPr>
        <w:pStyle w:val="Heading4"/>
        <w:jc w:val="both"/>
      </w:pPr>
      <w:bookmarkStart w:id="46" w:name="_Toc160610176"/>
      <w:r>
        <w:t>Éléments inclus dans le prix</w:t>
      </w:r>
      <w:bookmarkEnd w:id="46"/>
    </w:p>
    <w:p w14:paraId="528954E8" w14:textId="77777777" w:rsidR="00355F93" w:rsidRPr="00F35C07" w:rsidRDefault="00355F93" w:rsidP="00355F93">
      <w:pPr>
        <w:jc w:val="both"/>
        <w:rPr>
          <w:szCs w:val="21"/>
        </w:rPr>
      </w:pPr>
      <w:r>
        <w:t>Le soumissionnaire est censé avoir inclus dans ses prix unitaires tous les frais et impositions généralement quelconques grevant les services, à l’exception de la taxe sur la valeur ajoutée.</w:t>
      </w:r>
    </w:p>
    <w:p w14:paraId="01DB8206" w14:textId="78BE2C7C" w:rsidR="00355F93" w:rsidRPr="00355F93" w:rsidRDefault="00355F93" w:rsidP="00355F93">
      <w:pPr>
        <w:rPr>
          <w:rFonts w:ascii="CIDFont+F2" w:hAnsi="CIDFont+F2" w:cs="CIDFont+F2"/>
          <w:color w:val="auto"/>
          <w:szCs w:val="21"/>
        </w:rPr>
      </w:pPr>
      <w:r>
        <w:t>Le prestataire de services indique ses tarifs en euros, hors TVA. Il mentionne le taux de TVA dans un poste distinct. Il est porté à l’attention des soumissionnaires qu’</w:t>
      </w:r>
      <w:proofErr w:type="spellStart"/>
      <w:r>
        <w:t>Enabel</w:t>
      </w:r>
      <w:proofErr w:type="spellEnd"/>
      <w:r>
        <w:t xml:space="preserve"> est un non-assujetti au sens des articles 21 et 21 bis du Code belge de la TVA, ainsi qu’au sens de l’article 59 de la Directive 2006/112/CE. </w:t>
      </w:r>
      <w:r>
        <w:rPr>
          <w:u w:val="single"/>
        </w:rPr>
        <w:t xml:space="preserve">Cela signifie généralement que le prestataire de services devra facturer la TVA applicable dans son propre pays de résidence </w:t>
      </w:r>
      <w:r>
        <w:t>(pas nécessairement la TVA belge).</w:t>
      </w:r>
    </w:p>
    <w:p w14:paraId="215662AB" w14:textId="24A69616" w:rsidR="00355F93" w:rsidRDefault="00355F93" w:rsidP="00355F93">
      <w:r>
        <w:t>Les prix renseignés seront considérés comme des prix maximaux pour la durée de l’accord-cadre.</w:t>
      </w:r>
    </w:p>
    <w:p w14:paraId="6D3041AD" w14:textId="5AA3D169" w:rsidR="00EC6BAA" w:rsidRPr="00ED3BAC" w:rsidRDefault="00EC6BAA" w:rsidP="005E62B1">
      <w:pPr>
        <w:jc w:val="both"/>
        <w:rPr>
          <w:szCs w:val="21"/>
        </w:rPr>
      </w:pPr>
      <w:r>
        <w:t>Sont notamment inclus dans les prix :</w:t>
      </w:r>
    </w:p>
    <w:p w14:paraId="6D3041AE" w14:textId="66F41B08" w:rsidR="00EC6BAA" w:rsidRPr="00ED3BAC" w:rsidRDefault="00EC6BAA" w:rsidP="00777B24">
      <w:pPr>
        <w:pStyle w:val="ListParagraph"/>
        <w:numPr>
          <w:ilvl w:val="0"/>
          <w:numId w:val="4"/>
        </w:numPr>
        <w:jc w:val="both"/>
        <w:rPr>
          <w:szCs w:val="21"/>
        </w:rPr>
      </w:pPr>
      <w:r>
        <w:t>les honoraires ;</w:t>
      </w:r>
    </w:p>
    <w:p w14:paraId="25CD6F1E" w14:textId="07A82C8D" w:rsidR="003C5B2F" w:rsidRPr="00ED3BAC" w:rsidRDefault="00157B7F" w:rsidP="00777B24">
      <w:pPr>
        <w:pStyle w:val="ListParagraph"/>
        <w:numPr>
          <w:ilvl w:val="0"/>
          <w:numId w:val="4"/>
        </w:numPr>
        <w:jc w:val="both"/>
        <w:rPr>
          <w:szCs w:val="21"/>
        </w:rPr>
      </w:pPr>
      <w:r>
        <w:lastRenderedPageBreak/>
        <w:t>l’assurance ;</w:t>
      </w:r>
    </w:p>
    <w:p w14:paraId="6D3041B1" w14:textId="232C3E72" w:rsidR="00EC6BAA" w:rsidRPr="00ED3BAC" w:rsidRDefault="00EC6BAA" w:rsidP="00777B24">
      <w:pPr>
        <w:pStyle w:val="ListParagraph"/>
        <w:numPr>
          <w:ilvl w:val="0"/>
          <w:numId w:val="4"/>
        </w:numPr>
        <w:jc w:val="both"/>
        <w:rPr>
          <w:szCs w:val="21"/>
        </w:rPr>
      </w:pPr>
      <w:r>
        <w:t>la documentation relative aux services ;</w:t>
      </w:r>
    </w:p>
    <w:p w14:paraId="6D3041B2" w14:textId="0E941115" w:rsidR="00EC6BAA" w:rsidRPr="00ED3BAC" w:rsidRDefault="00EC6BAA" w:rsidP="00777B24">
      <w:pPr>
        <w:pStyle w:val="ListParagraph"/>
        <w:numPr>
          <w:ilvl w:val="0"/>
          <w:numId w:val="4"/>
        </w:numPr>
        <w:jc w:val="both"/>
        <w:rPr>
          <w:szCs w:val="21"/>
        </w:rPr>
      </w:pPr>
      <w:r>
        <w:t>la livraison de documents ou de pièces liés à l’exécution ;</w:t>
      </w:r>
    </w:p>
    <w:p w14:paraId="670A441C" w14:textId="31C4AB96" w:rsidR="00CB7190" w:rsidRPr="00157B7F" w:rsidRDefault="00CB7190" w:rsidP="00157B7F">
      <w:pPr>
        <w:pStyle w:val="ListParagraph"/>
        <w:numPr>
          <w:ilvl w:val="0"/>
          <w:numId w:val="4"/>
        </w:numPr>
        <w:jc w:val="both"/>
        <w:rPr>
          <w:szCs w:val="21"/>
        </w:rPr>
      </w:pPr>
      <w:r>
        <w:t>le cas échéant, les mesures imposées par la législation en matière de sécurité et de santé des travailleurs lors de l’exécution de leur travail ;</w:t>
      </w:r>
    </w:p>
    <w:p w14:paraId="664F03E7" w14:textId="0C12A329" w:rsidR="00CF53B4" w:rsidRDefault="00CF53B4" w:rsidP="009D0AE7">
      <w:pPr>
        <w:jc w:val="both"/>
        <w:rPr>
          <w:szCs w:val="21"/>
        </w:rPr>
      </w:pPr>
      <w:r>
        <w:t>mais également les frais de communication (internet compris), les frais administratifs et de secrétariat, les frais de photocopie et d’impression, le coût de la documentation relative aux services éventuellement exigée par le pouvoir adjudicateur, la production et la livraison de documents ou de pièces liés à l’exécution des services, tous les coûts et frais de personnel ou de matériel nécessaires à l’exécution du présent marché, la rémunération à titre de droit d’auteur, l’achat ou la location auprès de tiers de services nécessaires à l’exécution du marché.</w:t>
      </w:r>
    </w:p>
    <w:p w14:paraId="6EAE5475" w14:textId="573EEF99" w:rsidR="001F2A49" w:rsidRPr="0092219D" w:rsidRDefault="001F2A49" w:rsidP="001F2A49">
      <w:pPr>
        <w:jc w:val="both"/>
        <w:rPr>
          <w:b/>
          <w:szCs w:val="21"/>
        </w:rPr>
      </w:pPr>
      <w:r>
        <w:rPr>
          <w:b/>
        </w:rPr>
        <w:t xml:space="preserve">Les frais suivants ne sont pas inclus dans les prix unitaires proposés et seront remboursés sur base de pièces justificatives : </w:t>
      </w:r>
    </w:p>
    <w:p w14:paraId="30EB072A" w14:textId="6D32BDEB" w:rsidR="001F2A49" w:rsidRPr="0092219D" w:rsidRDefault="001F2A49" w:rsidP="001F2A49">
      <w:pPr>
        <w:jc w:val="both"/>
        <w:rPr>
          <w:szCs w:val="21"/>
        </w:rPr>
      </w:pPr>
      <w:r>
        <w:t>Pour les frais remboursables sur base de pièces justificatives, l’accord d’</w:t>
      </w:r>
      <w:proofErr w:type="spellStart"/>
      <w:r>
        <w:t>Enabel</w:t>
      </w:r>
      <w:proofErr w:type="spellEnd"/>
      <w:r>
        <w:t xml:space="preserve"> avant l’engagement est toujours nécessaire sinon la dépense ne pourra pas être remboursée même sur base de la pièce justificative : </w:t>
      </w:r>
    </w:p>
    <w:p w14:paraId="0630D71A" w14:textId="706D4EC6" w:rsidR="001F2A49" w:rsidRPr="00E812E8" w:rsidRDefault="001F2A49" w:rsidP="009332B3">
      <w:pPr>
        <w:pStyle w:val="BTCbulletsCTB"/>
        <w:numPr>
          <w:ilvl w:val="0"/>
          <w:numId w:val="32"/>
        </w:numPr>
        <w:tabs>
          <w:tab w:val="clear" w:pos="1224"/>
        </w:tabs>
        <w:ind w:left="1069" w:hanging="360"/>
        <w:jc w:val="left"/>
        <w:rPr>
          <w:rFonts w:ascii="Georgia" w:eastAsia="Calibri" w:hAnsi="Georgia"/>
          <w:bCs w:val="0"/>
          <w:color w:val="585756"/>
          <w:sz w:val="21"/>
          <w:szCs w:val="22"/>
        </w:rPr>
      </w:pPr>
      <w:r>
        <w:rPr>
          <w:rFonts w:ascii="Georgia" w:hAnsi="Georgia"/>
          <w:b/>
          <w:color w:val="585756"/>
          <w:sz w:val="21"/>
        </w:rPr>
        <w:t>Transports internationaux :</w:t>
      </w:r>
      <w:r>
        <w:rPr>
          <w:rFonts w:ascii="Georgia" w:hAnsi="Georgia"/>
          <w:color w:val="585756"/>
          <w:sz w:val="21"/>
        </w:rPr>
        <w:t xml:space="preserve"> Les billets d’avion et/ou de train internationaux entre le pays du domicile de l’</w:t>
      </w:r>
      <w:proofErr w:type="spellStart"/>
      <w:r>
        <w:rPr>
          <w:rFonts w:ascii="Georgia" w:hAnsi="Georgia"/>
          <w:color w:val="585756"/>
          <w:sz w:val="21"/>
        </w:rPr>
        <w:t>expert·e</w:t>
      </w:r>
      <w:proofErr w:type="spellEnd"/>
      <w:r>
        <w:rPr>
          <w:rFonts w:ascii="Georgia" w:hAnsi="Georgia"/>
          <w:color w:val="585756"/>
          <w:sz w:val="21"/>
        </w:rPr>
        <w:t xml:space="preserve"> et le lieu d’exécution (pays partenaire) ; le prestataire de services peut facturer au maximum 1.500 € TVAC pour un billet aller-retour en classe Economy.</w:t>
      </w:r>
    </w:p>
    <w:p w14:paraId="1AB8BA38"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Frais de déplacement domicile-aéroport</w:t>
      </w:r>
      <w:r>
        <w:rPr>
          <w:rFonts w:ascii="Georgia" w:hAnsi="Georgia"/>
          <w:color w:val="585756"/>
          <w:sz w:val="21"/>
        </w:rPr>
        <w:t> : Pour ce qui est du trajet vers et au départ de l’aéroport ou d’une gare de liaison vers un aéroport (Bruxelles-Midi, par exemple), divers frais peuvent être récupérés :</w:t>
      </w:r>
    </w:p>
    <w:p w14:paraId="3BCCAB8B" w14:textId="09C7E020" w:rsidR="001F2A49" w:rsidRPr="00951267" w:rsidRDefault="001F2A49">
      <w:pPr>
        <w:pStyle w:val="BTCbulletsCTB"/>
        <w:numPr>
          <w:ilvl w:val="0"/>
          <w:numId w:val="35"/>
        </w:numPr>
        <w:rPr>
          <w:rFonts w:ascii="Georgia" w:eastAsia="Calibri" w:hAnsi="Georgia"/>
          <w:bCs w:val="0"/>
          <w:color w:val="585756"/>
          <w:sz w:val="21"/>
          <w:szCs w:val="22"/>
        </w:rPr>
      </w:pPr>
      <w:bookmarkStart w:id="47" w:name="_Hlt107915216"/>
      <w:bookmarkStart w:id="48" w:name="_Hlt107915217"/>
      <w:bookmarkStart w:id="49" w:name="_Hlt76787075"/>
      <w:bookmarkStart w:id="50" w:name="_Hlt76787076"/>
      <w:bookmarkStart w:id="51" w:name="_Hlt66594515"/>
      <w:bookmarkStart w:id="52" w:name="_Hlt66594516"/>
      <w:bookmarkStart w:id="53" w:name="_Hlt100638164"/>
      <w:r>
        <w:rPr>
          <w:rFonts w:ascii="Georgia" w:hAnsi="Georgia"/>
          <w:color w:val="585756"/>
          <w:sz w:val="21"/>
          <w:u w:val="single"/>
        </w:rPr>
        <w:t>Moyen de transport personnel</w:t>
      </w:r>
      <w:r>
        <w:rPr>
          <w:rFonts w:ascii="Georgia" w:hAnsi="Georgia"/>
          <w:color w:val="585756"/>
          <w:sz w:val="21"/>
        </w:rPr>
        <w:t> :</w:t>
      </w:r>
      <w:r>
        <w:t xml:space="preserve"> </w:t>
      </w:r>
      <w:r>
        <w:rPr>
          <w:rFonts w:ascii="Georgia" w:hAnsi="Georgia"/>
          <w:color w:val="585756"/>
          <w:sz w:val="21"/>
        </w:rPr>
        <w:t>dans ce cas précis, c’est</w:t>
      </w:r>
      <w:hyperlink r:id="rId20" w:anchor="anchor_3" w:history="1">
        <w:r>
          <w:rPr>
            <w:rFonts w:ascii="Georgia" w:hAnsi="Georgia"/>
            <w:color w:val="585756"/>
            <w:sz w:val="21"/>
          </w:rPr>
          <w:t xml:space="preserve"> l’indemnité kilométrique</w:t>
        </w:r>
      </w:hyperlink>
      <w:r>
        <w:rPr>
          <w:rFonts w:ascii="Georgia" w:hAnsi="Georgia"/>
          <w:color w:val="585756"/>
          <w:sz w:val="21"/>
        </w:rPr>
        <w:t xml:space="preserve"> appliquée par l’État fédéral (</w:t>
      </w:r>
      <w:proofErr w:type="spellStart"/>
      <w:r>
        <w:rPr>
          <w:rFonts w:ascii="Georgia" w:hAnsi="Georgia"/>
          <w:color w:val="585756"/>
          <w:sz w:val="21"/>
        </w:rPr>
        <w:t>indexable</w:t>
      </w:r>
      <w:proofErr w:type="spellEnd"/>
      <w:r>
        <w:rPr>
          <w:rFonts w:ascii="Georgia" w:hAnsi="Georgia"/>
          <w:color w:val="585756"/>
          <w:sz w:val="21"/>
        </w:rPr>
        <w:t xml:space="preserve"> annuellement au 30 juin) qui est payée tant au départ qu’à l’arrivée pour le trajet le plus rapide (aller-retour). Veillez à toujours annexer une copie de l’itinéraire emprunté si vous voyagez par vos propres moyens (grâce au logiciel de cartographie </w:t>
      </w:r>
      <w:hyperlink r:id="rId21" w:history="1">
        <w:r>
          <w:rPr>
            <w:rFonts w:ascii="Georgia" w:hAnsi="Georgia"/>
            <w:color w:val="585756"/>
            <w:sz w:val="21"/>
          </w:rPr>
          <w:t>Mappy.com</w:t>
        </w:r>
      </w:hyperlink>
      <w:r>
        <w:rPr>
          <w:rFonts w:ascii="Georgia" w:hAnsi="Georgia"/>
          <w:color w:val="585756"/>
          <w:sz w:val="21"/>
        </w:rPr>
        <w:t xml:space="preserve">, par exemple). </w:t>
      </w:r>
    </w:p>
    <w:bookmarkEnd w:id="47"/>
    <w:bookmarkEnd w:id="48"/>
    <w:bookmarkEnd w:id="49"/>
    <w:bookmarkEnd w:id="50"/>
    <w:bookmarkEnd w:id="51"/>
    <w:bookmarkEnd w:id="52"/>
    <w:bookmarkEnd w:id="53"/>
    <w:p w14:paraId="35DDCBFD" w14:textId="77777777" w:rsidR="001F2A49" w:rsidRPr="00951267"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Les frais encourus pour laisser le véhicule au parking durant la mission ne sont PAS remboursés. Les éventuels frais de parking encourus lorsqu’on vient déposer ou rechercher l’</w:t>
      </w:r>
      <w:proofErr w:type="spellStart"/>
      <w:r>
        <w:rPr>
          <w:rFonts w:ascii="Georgia" w:hAnsi="Georgia"/>
          <w:color w:val="585756"/>
          <w:sz w:val="21"/>
        </w:rPr>
        <w:t>expert·e</w:t>
      </w:r>
      <w:proofErr w:type="spellEnd"/>
      <w:r>
        <w:rPr>
          <w:rFonts w:ascii="Georgia" w:hAnsi="Georgia"/>
          <w:color w:val="585756"/>
          <w:sz w:val="21"/>
        </w:rPr>
        <w:t xml:space="preserve"> ne sont pas non plus remboursés ; ces frais sont en effet compris dans l’indemnité kilométrique forfaitaire. </w:t>
      </w:r>
    </w:p>
    <w:p w14:paraId="18E7703F" w14:textId="77777777" w:rsidR="001F2A49" w:rsidRPr="00951267" w:rsidRDefault="001F2A49">
      <w:pPr>
        <w:pStyle w:val="BTCbulletsCTB"/>
        <w:numPr>
          <w:ilvl w:val="0"/>
          <w:numId w:val="35"/>
        </w:numPr>
        <w:rPr>
          <w:rFonts w:ascii="Georgia" w:eastAsia="Calibri" w:hAnsi="Georgia"/>
          <w:bCs w:val="0"/>
          <w:color w:val="585756"/>
          <w:sz w:val="21"/>
          <w:szCs w:val="22"/>
        </w:rPr>
      </w:pPr>
      <w:r>
        <w:rPr>
          <w:rFonts w:ascii="Georgia" w:hAnsi="Georgia"/>
          <w:color w:val="585756"/>
          <w:sz w:val="21"/>
          <w:u w:val="single"/>
        </w:rPr>
        <w:t>Transports en commun</w:t>
      </w:r>
      <w:r>
        <w:rPr>
          <w:rFonts w:ascii="Georgia" w:hAnsi="Georgia"/>
          <w:color w:val="585756"/>
          <w:sz w:val="21"/>
        </w:rPr>
        <w:t xml:space="preserve"> : le billet de train en direction de l’aéroport (ou au départ d’une gare de liaison vers un aéroport situé à l’étranger) est remboursé. </w:t>
      </w:r>
    </w:p>
    <w:p w14:paraId="01C9D15F" w14:textId="77777777" w:rsidR="001F2A49" w:rsidRPr="00951267" w:rsidRDefault="001F2A49">
      <w:pPr>
        <w:pStyle w:val="BTCbulletsCTB"/>
        <w:numPr>
          <w:ilvl w:val="0"/>
          <w:numId w:val="35"/>
        </w:numPr>
        <w:rPr>
          <w:rFonts w:ascii="Georgia" w:eastAsia="Calibri" w:hAnsi="Georgia"/>
          <w:bCs w:val="0"/>
          <w:color w:val="585756"/>
          <w:sz w:val="21"/>
          <w:szCs w:val="22"/>
        </w:rPr>
      </w:pPr>
      <w:r>
        <w:rPr>
          <w:rFonts w:ascii="Georgia" w:hAnsi="Georgia"/>
          <w:color w:val="585756"/>
          <w:sz w:val="21"/>
          <w:u w:val="single"/>
        </w:rPr>
        <w:t>Navettes de taxis</w:t>
      </w:r>
      <w:r>
        <w:rPr>
          <w:rFonts w:ascii="Georgia" w:hAnsi="Georgia"/>
          <w:color w:val="585756"/>
          <w:sz w:val="21"/>
        </w:rPr>
        <w:t> : il est autorisé de prendre un taxi pour parcourir une partie ou la totalité du trajet (en combinaison avec les transports en commun) vers et/ou au départ de l’aéroport (ou de la gare de liaison vers un aéroport). Le montant par trajet est plafonné à 37 euros, avec un maximum de deux trajets (trajet aller-retour par mission). Ce plafond de 37 euros ne peut être dépassé que lorsque les heures de check-in (deux heures avant le départ prévu de l’avion) et d’arrivée tombent en dehors des heures de travail d’</w:t>
      </w:r>
      <w:proofErr w:type="spellStart"/>
      <w:r>
        <w:rPr>
          <w:rFonts w:ascii="Georgia" w:hAnsi="Georgia"/>
          <w:color w:val="585756"/>
          <w:sz w:val="21"/>
        </w:rPr>
        <w:t>Enabel</w:t>
      </w:r>
      <w:proofErr w:type="spellEnd"/>
      <w:r>
        <w:rPr>
          <w:rFonts w:ascii="Georgia" w:hAnsi="Georgia"/>
          <w:color w:val="585756"/>
          <w:sz w:val="21"/>
        </w:rPr>
        <w:t>. À titre de justificatif, les notes de taxi et la réservation de son billet ou son itinéraire (ou tout autre document confirmant l’heure de départ et d’arrivée) doivent être joints à la facture.</w:t>
      </w:r>
    </w:p>
    <w:p w14:paraId="3671CAA2" w14:textId="0C0F1A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lastRenderedPageBreak/>
        <w:t>Transports dans le pays partenaire</w:t>
      </w:r>
      <w:r>
        <w:rPr>
          <w:rFonts w:ascii="Georgia" w:hAnsi="Georgia"/>
          <w:color w:val="585756"/>
          <w:sz w:val="21"/>
        </w:rPr>
        <w:t xml:space="preserve"> : si nécessaire, les transports dans le pays partenaire sont organisés et payés par </w:t>
      </w:r>
      <w:proofErr w:type="spellStart"/>
      <w:r>
        <w:rPr>
          <w:rFonts w:ascii="Georgia" w:hAnsi="Georgia"/>
          <w:color w:val="585756"/>
          <w:sz w:val="21"/>
        </w:rPr>
        <w:t>Enabel</w:t>
      </w:r>
      <w:proofErr w:type="spellEnd"/>
      <w:r>
        <w:rPr>
          <w:rFonts w:ascii="Georgia" w:hAnsi="Georgia"/>
          <w:color w:val="585756"/>
          <w:sz w:val="21"/>
        </w:rPr>
        <w:t>.</w:t>
      </w:r>
    </w:p>
    <w:p w14:paraId="46776745" w14:textId="7D7CFAEF"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 xml:space="preserve">Per </w:t>
      </w:r>
      <w:proofErr w:type="spellStart"/>
      <w:r>
        <w:rPr>
          <w:rFonts w:ascii="Georgia" w:hAnsi="Georgia"/>
          <w:b/>
          <w:color w:val="585756"/>
          <w:sz w:val="21"/>
        </w:rPr>
        <w:t>diems</w:t>
      </w:r>
      <w:proofErr w:type="spellEnd"/>
      <w:r>
        <w:rPr>
          <w:rFonts w:ascii="Georgia" w:hAnsi="Georgia"/>
          <w:b/>
          <w:color w:val="585756"/>
          <w:sz w:val="21"/>
        </w:rPr>
        <w:t xml:space="preserve"> (indemnité journalière)</w:t>
      </w:r>
      <w:r>
        <w:rPr>
          <w:rFonts w:ascii="Georgia" w:hAnsi="Georgia"/>
          <w:color w:val="585756"/>
          <w:sz w:val="21"/>
        </w:rPr>
        <w:t xml:space="preserve"> : Les per </w:t>
      </w:r>
      <w:proofErr w:type="spellStart"/>
      <w:r>
        <w:rPr>
          <w:rFonts w:ascii="Georgia" w:hAnsi="Georgia"/>
          <w:color w:val="585756"/>
          <w:sz w:val="21"/>
        </w:rPr>
        <w:t>diems</w:t>
      </w:r>
      <w:proofErr w:type="spellEnd"/>
      <w:r>
        <w:rPr>
          <w:rFonts w:ascii="Georgia" w:hAnsi="Georgia"/>
          <w:color w:val="585756"/>
          <w:sz w:val="21"/>
        </w:rPr>
        <w:t xml:space="preserve"> (indemnités journalières) représentent un montant forfaitaire couvrant tous les frais supplémentaires encourus à titre professionnel (pas à titre privé donc) et consécutifs à la mission, tels que les repas, les boissons, les petits trajets locaux (le cas échéant) et les autres petites dépenses (toutes les conversations téléphoniques, internet, les friandises, les pourboires…).</w:t>
      </w:r>
    </w:p>
    <w:p w14:paraId="6DC1984E" w14:textId="77777777"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Les indemnités journalières ne sont accordées que pour les prestations dans les pays partenaires. Elles concernent uniquement la durée effective de la mission, y compris les jours de week-ends et les jours fériés.</w:t>
      </w:r>
    </w:p>
    <w:p w14:paraId="36FCEB29" w14:textId="77777777"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Pour les jours de voyage, le montant du per diem est calculé comme suit : si le départ (heure du décollage de l’avion à l’aéroport national ou le départ du Thalys) a lieu après 15 h et le retour avant 17 h, le plafond du per diem est fixé à 50 % du maximum de l’indemnité journalière. Par contre, si le départ a lieu avant 15 h ou le retour a lieu après 17 h, le per diem reste entier.</w:t>
      </w:r>
    </w:p>
    <w:p w14:paraId="1FD6636E" w14:textId="77777777" w:rsidR="001F2A49" w:rsidRPr="005670DF" w:rsidRDefault="001F2A49" w:rsidP="001F2A49">
      <w:pPr>
        <w:pStyle w:val="BodyText"/>
        <w:ind w:left="1353"/>
        <w:jc w:val="left"/>
        <w:rPr>
          <w:rFonts w:ascii="Georgia" w:eastAsia="Calibri" w:hAnsi="Georgia" w:cs="Times New Roman"/>
          <w:color w:val="585756"/>
          <w:kern w:val="0"/>
          <w:sz w:val="21"/>
          <w:szCs w:val="22"/>
        </w:rPr>
      </w:pPr>
      <w:r>
        <w:rPr>
          <w:rFonts w:ascii="Georgia" w:hAnsi="Georgia"/>
          <w:color w:val="585756"/>
          <w:sz w:val="21"/>
        </w:rPr>
        <w:t xml:space="preserve">Lorsque les frais de logement comprennent également certains repas (p. ex., le petit déjeuner) ou que certains repas sont pris en charge par </w:t>
      </w:r>
      <w:proofErr w:type="spellStart"/>
      <w:r>
        <w:rPr>
          <w:rFonts w:ascii="Georgia" w:hAnsi="Georgia"/>
          <w:color w:val="585756"/>
          <w:sz w:val="21"/>
        </w:rPr>
        <w:t>Enabel</w:t>
      </w:r>
      <w:proofErr w:type="spellEnd"/>
      <w:r>
        <w:rPr>
          <w:rFonts w:ascii="Georgia" w:hAnsi="Georgia"/>
          <w:color w:val="585756"/>
          <w:sz w:val="21"/>
        </w:rPr>
        <w:t xml:space="preserve">, les per </w:t>
      </w:r>
      <w:proofErr w:type="spellStart"/>
      <w:r>
        <w:rPr>
          <w:rFonts w:ascii="Georgia" w:hAnsi="Georgia"/>
          <w:color w:val="585756"/>
          <w:sz w:val="21"/>
        </w:rPr>
        <w:t>diems</w:t>
      </w:r>
      <w:proofErr w:type="spellEnd"/>
      <w:r>
        <w:rPr>
          <w:rFonts w:ascii="Georgia" w:hAnsi="Georgia"/>
          <w:color w:val="585756"/>
          <w:sz w:val="21"/>
        </w:rPr>
        <w:t xml:space="preserve"> doivent être, sur base journalière, et selon le cas, diminués de :</w:t>
      </w:r>
    </w:p>
    <w:p w14:paraId="7EB13D23" w14:textId="77777777" w:rsidR="001F2A49" w:rsidRPr="00951267"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- 15 % de l’indemnité de séjour forfaitaire journalière, pour le petit déjeuner ;</w:t>
      </w:r>
    </w:p>
    <w:p w14:paraId="7083612C" w14:textId="77777777" w:rsidR="001F2A49" w:rsidRPr="00951267"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- 35 % de l’indemnité de séjour forfaitaire journalière, pour le repas de midi ;</w:t>
      </w:r>
    </w:p>
    <w:p w14:paraId="7B33BFC1" w14:textId="77777777" w:rsidR="001F2A49" w:rsidRDefault="001F2A49" w:rsidP="001F2A49">
      <w:pPr>
        <w:pStyle w:val="BTCbulletsCTB"/>
        <w:ind w:left="1418"/>
        <w:rPr>
          <w:rFonts w:ascii="Georgia" w:eastAsia="Calibri" w:hAnsi="Georgia"/>
          <w:bCs w:val="0"/>
          <w:color w:val="585756"/>
          <w:sz w:val="21"/>
          <w:szCs w:val="22"/>
        </w:rPr>
      </w:pPr>
      <w:r>
        <w:rPr>
          <w:rFonts w:ascii="Georgia" w:hAnsi="Georgia"/>
          <w:color w:val="585756"/>
          <w:sz w:val="21"/>
        </w:rPr>
        <w:t>- 45 % de l’indemnité de séjour forfaitaire journalière, pour le repas du soir.</w:t>
      </w:r>
    </w:p>
    <w:p w14:paraId="0B50492D" w14:textId="77777777" w:rsidR="001F2A49" w:rsidRPr="00271C5D" w:rsidRDefault="001F2A49" w:rsidP="001F2A49">
      <w:pPr>
        <w:pStyle w:val="BTCbulletsCTB"/>
        <w:ind w:left="1418"/>
        <w:rPr>
          <w:rFonts w:ascii="Georgia" w:eastAsia="Calibri" w:hAnsi="Georgia"/>
          <w:bCs w:val="0"/>
          <w:color w:val="585756"/>
          <w:sz w:val="21"/>
          <w:szCs w:val="22"/>
          <w:lang w:eastAsia="en-US"/>
        </w:rPr>
      </w:pPr>
    </w:p>
    <w:p w14:paraId="3CBBADBA" w14:textId="68862F40" w:rsidR="006742F8" w:rsidRPr="006742F8" w:rsidRDefault="001F2A49" w:rsidP="006742F8">
      <w:pPr>
        <w:pStyle w:val="BodyText"/>
        <w:rPr>
          <w:rFonts w:ascii="Georgia" w:eastAsia="Calibri" w:hAnsi="Georgia" w:cs="Times New Roman"/>
          <w:color w:val="585756"/>
          <w:kern w:val="0"/>
          <w:sz w:val="21"/>
          <w:szCs w:val="22"/>
        </w:rPr>
      </w:pPr>
      <w:r>
        <w:rPr>
          <w:rFonts w:ascii="Georgia" w:hAnsi="Georgia"/>
          <w:color w:val="585756"/>
          <w:sz w:val="21"/>
        </w:rPr>
        <w:t>Le montant de l’indemnité journalière est celui fixé par le SPF Affaires :</w:t>
      </w:r>
      <w:r>
        <w:t xml:space="preserve"> </w:t>
      </w:r>
      <w:hyperlink r:id="rId22" w:history="1">
        <w:r>
          <w:rPr>
            <w:rStyle w:val="Hyperlink"/>
            <w:rFonts w:ascii="Georgia" w:hAnsi="Georgia"/>
            <w:sz w:val="21"/>
          </w:rPr>
          <w:t>https://www.ejustice.just.fgov.be/eli/arrete/2018/07/02/2018040199/moniteur</w:t>
        </w:r>
      </w:hyperlink>
    </w:p>
    <w:p w14:paraId="2213F2C8" w14:textId="5C91BFE4" w:rsidR="001F2A49" w:rsidRPr="00AD683F" w:rsidRDefault="001F2A49" w:rsidP="006742F8">
      <w:pPr>
        <w:pStyle w:val="BTCbulletsCTB"/>
        <w:ind w:left="0" w:firstLine="0"/>
        <w:rPr>
          <w:rFonts w:ascii="Georgia" w:hAnsi="Georgia"/>
          <w:color w:val="585756"/>
          <w:sz w:val="21"/>
          <w:highlight w:val="cyan"/>
          <w:lang w:val="fr-BE"/>
        </w:rPr>
      </w:pPr>
    </w:p>
    <w:p w14:paraId="584DC972"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Les frais de visa</w:t>
      </w:r>
      <w:r>
        <w:rPr>
          <w:rFonts w:ascii="Georgia" w:hAnsi="Georgia"/>
          <w:color w:val="585756"/>
          <w:sz w:val="21"/>
        </w:rPr>
        <w:t xml:space="preserve"> sont remboursés. Par contre, les frais d’obtention du passeport ne sont pas remboursés.</w:t>
      </w:r>
    </w:p>
    <w:p w14:paraId="3B35FAD9" w14:textId="2C73FFBC" w:rsidR="001F2A49" w:rsidRPr="00340A7E"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b/>
          <w:color w:val="585756"/>
          <w:sz w:val="21"/>
        </w:rPr>
        <w:t>Frais de vaccination</w:t>
      </w:r>
      <w:r>
        <w:rPr>
          <w:rFonts w:ascii="Georgia" w:hAnsi="Georgia"/>
          <w:color w:val="585756"/>
          <w:sz w:val="21"/>
        </w:rPr>
        <w:t xml:space="preserve"> : sont remboursées les vaccinations prévues selon les normes appliquées par l’OMS ou l’IMT (y compris, éventuellement, une vaccination contre l’encéphalite japonaise), en fonction du(des) pays dans le(s)quel(s) </w:t>
      </w:r>
      <w:proofErr w:type="spellStart"/>
      <w:r>
        <w:rPr>
          <w:rFonts w:ascii="Georgia" w:hAnsi="Georgia"/>
          <w:color w:val="585756"/>
          <w:sz w:val="21"/>
        </w:rPr>
        <w:t>le·la</w:t>
      </w:r>
      <w:proofErr w:type="spellEnd"/>
      <w:r>
        <w:rPr>
          <w:rFonts w:ascii="Georgia" w:hAnsi="Georgia"/>
          <w:color w:val="585756"/>
          <w:sz w:val="21"/>
        </w:rPr>
        <w:t xml:space="preserve"> </w:t>
      </w:r>
      <w:proofErr w:type="spellStart"/>
      <w:r>
        <w:rPr>
          <w:rFonts w:ascii="Georgia" w:hAnsi="Georgia"/>
          <w:color w:val="585756"/>
          <w:sz w:val="21"/>
        </w:rPr>
        <w:t>collaborateur·rice</w:t>
      </w:r>
      <w:proofErr w:type="spellEnd"/>
      <w:r>
        <w:rPr>
          <w:rFonts w:ascii="Georgia" w:hAnsi="Georgia"/>
          <w:color w:val="585756"/>
          <w:sz w:val="21"/>
        </w:rPr>
        <w:t xml:space="preserve"> se rend. Par contre, les vaccinations non nécessaires (non comprises dès lors dans le « package » recommandé) sont à charge du prestataire de services.</w:t>
      </w:r>
    </w:p>
    <w:p w14:paraId="3490E73D" w14:textId="4C5CDE97" w:rsidR="001F2A49" w:rsidRPr="00951267" w:rsidRDefault="001F2A49" w:rsidP="001F2A49">
      <w:pPr>
        <w:pStyle w:val="BodyText"/>
        <w:spacing w:line="280" w:lineRule="auto"/>
        <w:rPr>
          <w:rFonts w:ascii="Georgia" w:eastAsia="Calibri" w:hAnsi="Georgia" w:cs="Times New Roman"/>
          <w:color w:val="585756"/>
          <w:kern w:val="0"/>
          <w:sz w:val="21"/>
          <w:szCs w:val="22"/>
        </w:rPr>
      </w:pPr>
      <w:r>
        <w:rPr>
          <w:rFonts w:ascii="Georgia" w:hAnsi="Georgia"/>
          <w:color w:val="585756"/>
          <w:sz w:val="21"/>
        </w:rPr>
        <w:t>Attention :</w:t>
      </w:r>
    </w:p>
    <w:p w14:paraId="3603D0F3" w14:textId="77777777" w:rsidR="001F2A49" w:rsidRPr="00951267" w:rsidRDefault="001F2A49">
      <w:pPr>
        <w:pStyle w:val="BodyText"/>
        <w:numPr>
          <w:ilvl w:val="0"/>
          <w:numId w:val="33"/>
        </w:numPr>
        <w:tabs>
          <w:tab w:val="left" w:pos="360"/>
        </w:tabs>
        <w:rPr>
          <w:rFonts w:ascii="Georgia" w:eastAsia="Calibri" w:hAnsi="Georgia" w:cs="Times New Roman"/>
          <w:color w:val="585756"/>
          <w:kern w:val="0"/>
          <w:sz w:val="21"/>
          <w:szCs w:val="22"/>
        </w:rPr>
      </w:pPr>
      <w:r>
        <w:rPr>
          <w:rFonts w:ascii="Georgia" w:hAnsi="Georgia"/>
          <w:color w:val="585756"/>
          <w:sz w:val="21"/>
        </w:rPr>
        <w:t xml:space="preserve">Le tarif journalier est payé pour tous les jours de travail effectif même s’il s’agit d’un jour de week-end ou d’un jour férié. Le planning de travail sera joint à la facture. </w:t>
      </w:r>
    </w:p>
    <w:p w14:paraId="4B73C02F" w14:textId="21D434A1" w:rsidR="001F2A49" w:rsidRPr="00340A7E" w:rsidRDefault="001F2A49">
      <w:pPr>
        <w:pStyle w:val="BodyText"/>
        <w:numPr>
          <w:ilvl w:val="0"/>
          <w:numId w:val="33"/>
        </w:numPr>
        <w:tabs>
          <w:tab w:val="left" w:pos="360"/>
        </w:tabs>
        <w:rPr>
          <w:rFonts w:ascii="Georgia" w:eastAsia="Calibri" w:hAnsi="Georgia" w:cs="Times New Roman"/>
          <w:color w:val="585756"/>
          <w:kern w:val="0"/>
          <w:sz w:val="21"/>
          <w:szCs w:val="22"/>
        </w:rPr>
      </w:pPr>
      <w:r>
        <w:rPr>
          <w:rFonts w:ascii="Georgia" w:hAnsi="Georgia"/>
          <w:color w:val="585756"/>
          <w:sz w:val="21"/>
        </w:rPr>
        <w:t>Pour les jours de voyage internationaux, 50 % de l’indemnité journalière sont payés par jour de voyage.</w:t>
      </w:r>
    </w:p>
    <w:p w14:paraId="32A0B6F9" w14:textId="77777777" w:rsidR="001F2A49" w:rsidRPr="00951267" w:rsidRDefault="001F2A49" w:rsidP="001F2A49">
      <w:pPr>
        <w:pStyle w:val="BodyText"/>
        <w:tabs>
          <w:tab w:val="left" w:pos="360"/>
        </w:tabs>
        <w:rPr>
          <w:rFonts w:ascii="Georgia" w:eastAsia="Calibri" w:hAnsi="Georgia" w:cs="Times New Roman"/>
          <w:color w:val="585756"/>
          <w:kern w:val="0"/>
          <w:sz w:val="21"/>
          <w:szCs w:val="22"/>
        </w:rPr>
      </w:pPr>
    </w:p>
    <w:p w14:paraId="5A983783" w14:textId="7B1EA870" w:rsidR="001F2A49" w:rsidRPr="00951267" w:rsidRDefault="001F2A49" w:rsidP="001F2A49">
      <w:pPr>
        <w:pStyle w:val="BTCtextCTB"/>
        <w:rPr>
          <w:rFonts w:ascii="Georgia" w:eastAsia="Calibri" w:hAnsi="Georgia"/>
          <w:color w:val="585756"/>
          <w:sz w:val="21"/>
          <w:szCs w:val="22"/>
        </w:rPr>
      </w:pPr>
      <w:r>
        <w:rPr>
          <w:rFonts w:ascii="Georgia" w:hAnsi="Georgia"/>
          <w:color w:val="585756"/>
          <w:sz w:val="21"/>
        </w:rPr>
        <w:t>Le cas échéant, les frais suivants sont à charge d’</w:t>
      </w:r>
      <w:proofErr w:type="spellStart"/>
      <w:r>
        <w:rPr>
          <w:rFonts w:ascii="Georgia" w:hAnsi="Georgia"/>
          <w:color w:val="585756"/>
          <w:sz w:val="21"/>
        </w:rPr>
        <w:t>Enabel</w:t>
      </w:r>
      <w:proofErr w:type="spellEnd"/>
      <w:r>
        <w:rPr>
          <w:rFonts w:ascii="Georgia" w:hAnsi="Georgia"/>
          <w:color w:val="585756"/>
          <w:sz w:val="21"/>
        </w:rPr>
        <w:t> :</w:t>
      </w:r>
    </w:p>
    <w:p w14:paraId="1C967A41" w14:textId="77777777" w:rsidR="001F2A49" w:rsidRPr="0095126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Pr>
          <w:rFonts w:ascii="Georgia" w:hAnsi="Georgia"/>
          <w:color w:val="585756"/>
          <w:sz w:val="21"/>
        </w:rPr>
        <w:lastRenderedPageBreak/>
        <w:t>les frais liés à l’organisation des formations et/ou des ateliers :</w:t>
      </w:r>
    </w:p>
    <w:p w14:paraId="53DCC509" w14:textId="180B75B7" w:rsidR="001F2A49" w:rsidRPr="00951267" w:rsidRDefault="001F2A49" w:rsidP="001F2A49">
      <w:pPr>
        <w:pStyle w:val="BTCbulletsCTB"/>
        <w:ind w:left="1069"/>
        <w:rPr>
          <w:rFonts w:ascii="Georgia" w:eastAsia="Calibri" w:hAnsi="Georgia"/>
          <w:bCs w:val="0"/>
          <w:color w:val="585756"/>
          <w:sz w:val="21"/>
          <w:szCs w:val="22"/>
        </w:rPr>
      </w:pPr>
      <w:r>
        <w:rPr>
          <w:rFonts w:ascii="Georgia" w:hAnsi="Georgia"/>
          <w:color w:val="585756"/>
          <w:sz w:val="21"/>
        </w:rPr>
        <w:t xml:space="preserve">salle de formation, collations, reproduction des supports de formation à destination des </w:t>
      </w:r>
      <w:proofErr w:type="spellStart"/>
      <w:r>
        <w:rPr>
          <w:rFonts w:ascii="Georgia" w:hAnsi="Georgia"/>
          <w:color w:val="585756"/>
          <w:sz w:val="21"/>
        </w:rPr>
        <w:t>participant·es</w:t>
      </w:r>
      <w:proofErr w:type="spellEnd"/>
      <w:r>
        <w:rPr>
          <w:rFonts w:ascii="Georgia" w:hAnsi="Georgia"/>
          <w:color w:val="585756"/>
          <w:sz w:val="21"/>
        </w:rPr>
        <w:t xml:space="preserve">, blocs-notes et stylos à destination des </w:t>
      </w:r>
      <w:proofErr w:type="spellStart"/>
      <w:r>
        <w:rPr>
          <w:rFonts w:ascii="Georgia" w:hAnsi="Georgia"/>
          <w:color w:val="585756"/>
          <w:sz w:val="21"/>
        </w:rPr>
        <w:t>participant·es</w:t>
      </w:r>
      <w:proofErr w:type="spellEnd"/>
      <w:r>
        <w:rPr>
          <w:rFonts w:ascii="Georgia" w:hAnsi="Georgia"/>
          <w:color w:val="585756"/>
          <w:sz w:val="21"/>
        </w:rPr>
        <w:t xml:space="preserve">, matériel didactique nécessaire tel que rétroprojecteur, tableau et papier </w:t>
      </w:r>
      <w:proofErr w:type="spellStart"/>
      <w:r>
        <w:rPr>
          <w:rFonts w:ascii="Georgia" w:hAnsi="Georgia"/>
          <w:color w:val="585756"/>
          <w:sz w:val="21"/>
        </w:rPr>
        <w:t>flipchart</w:t>
      </w:r>
      <w:proofErr w:type="spellEnd"/>
      <w:r>
        <w:rPr>
          <w:rFonts w:ascii="Georgia" w:hAnsi="Georgia"/>
          <w:color w:val="585756"/>
          <w:sz w:val="21"/>
        </w:rPr>
        <w:t>.</w:t>
      </w:r>
    </w:p>
    <w:p w14:paraId="693E9666" w14:textId="77777777" w:rsidR="009C3419" w:rsidRPr="009C3419" w:rsidRDefault="009C3419" w:rsidP="009C3419">
      <w:pPr>
        <w:jc w:val="both"/>
        <w:rPr>
          <w:sz w:val="20"/>
          <w:szCs w:val="20"/>
        </w:rPr>
      </w:pPr>
    </w:p>
    <w:p w14:paraId="6D3041CE" w14:textId="77777777" w:rsidR="00EC6BAA" w:rsidRPr="00EC6BAA" w:rsidRDefault="00EC6BAA" w:rsidP="00324ABD">
      <w:pPr>
        <w:pStyle w:val="Heading2"/>
      </w:pPr>
      <w:bookmarkStart w:id="54" w:name="_Toc160610177"/>
      <w:r>
        <w:t>Sélection des soumissionnaires</w:t>
      </w:r>
      <w:bookmarkEnd w:id="54"/>
    </w:p>
    <w:p w14:paraId="6D3041CF" w14:textId="53CC2D28" w:rsidR="00EC6BAA" w:rsidRPr="005B7D75" w:rsidRDefault="00F24D0B" w:rsidP="009C1DE5">
      <w:pPr>
        <w:pStyle w:val="Heading3"/>
      </w:pPr>
      <w:bookmarkStart w:id="55" w:name="_Toc160610178"/>
      <w:r>
        <w:t>Le document unique de marché européen (DUME)</w:t>
      </w:r>
      <w:bookmarkEnd w:id="55"/>
    </w:p>
    <w:p w14:paraId="6D3041D0" w14:textId="202C1C66" w:rsidR="00EC6BAA" w:rsidRPr="00190F24" w:rsidRDefault="00EC6BAA" w:rsidP="005E62B1">
      <w:pPr>
        <w:jc w:val="both"/>
        <w:rPr>
          <w:szCs w:val="21"/>
        </w:rPr>
      </w:pPr>
      <w:r>
        <w:t>Par le dépôt de son offre accompagnée du document unique de marché européen (DUME) complété, le soumissionnaire déclare officiellement sur l’honneur :</w:t>
      </w:r>
    </w:p>
    <w:p w14:paraId="6D3041D1" w14:textId="5AED3677" w:rsidR="00EC6BAA" w:rsidRPr="00190F24" w:rsidRDefault="00EC6BAA" w:rsidP="00777B24">
      <w:pPr>
        <w:pStyle w:val="ListParagraph"/>
        <w:numPr>
          <w:ilvl w:val="0"/>
          <w:numId w:val="5"/>
        </w:numPr>
        <w:jc w:val="both"/>
        <w:rPr>
          <w:szCs w:val="21"/>
        </w:rPr>
      </w:pPr>
      <w:r>
        <w:t>qu’il ne se trouve pas dans un des cas d’exclusion obligatoires ou facultatifs, qui doit ou peut entraîner son exclusion ;</w:t>
      </w:r>
    </w:p>
    <w:p w14:paraId="6D3041D2" w14:textId="77777777" w:rsidR="00EC6BAA" w:rsidRPr="00190F24" w:rsidRDefault="00EC6BAA" w:rsidP="00777B24">
      <w:pPr>
        <w:pStyle w:val="ListParagraph"/>
        <w:numPr>
          <w:ilvl w:val="0"/>
          <w:numId w:val="5"/>
        </w:numPr>
        <w:jc w:val="both"/>
        <w:rPr>
          <w:szCs w:val="21"/>
        </w:rPr>
      </w:pPr>
      <w:r>
        <w:t>qu’il répond aux critères de sélection qui ont été établis par le pouvoir adjudicateur dans le présent marché.</w:t>
      </w:r>
    </w:p>
    <w:p w14:paraId="046A1F38" w14:textId="763C4C48" w:rsidR="00EE747F" w:rsidRPr="00190F24" w:rsidRDefault="00EE747F" w:rsidP="005E62B1">
      <w:pPr>
        <w:jc w:val="both"/>
        <w:rPr>
          <w:szCs w:val="21"/>
        </w:rPr>
      </w:pPr>
      <w:r>
        <w:t>Le document unique de marché européen (DUME) est une déclaration sur l’honneur des opérateurs économiques servant de preuve a priori en lieu et place des certificats délivrés par des autorités publiques ou des tiers. Comme le dispose l’article 73 de la loi du 17 juin 2016, il s’agit d’une déclaration officielle par laquelle l’opérateur économique affirme qu’il ne se trouve pas dans l’une des situations qui doivent ou peuvent entraîner l’exclusion d’un opérateur, qu’il répond aux critères de sélection applicables.</w:t>
      </w:r>
    </w:p>
    <w:p w14:paraId="6D3041D3" w14:textId="7F973823" w:rsidR="00B37664" w:rsidRPr="00190F24" w:rsidRDefault="0003429A" w:rsidP="005E62B1">
      <w:pPr>
        <w:jc w:val="both"/>
        <w:rPr>
          <w:szCs w:val="21"/>
        </w:rPr>
      </w:pPr>
      <w:r>
        <w:t xml:space="preserve">Le soumissionnaire génère le DUME via </w:t>
      </w:r>
      <w:hyperlink r:id="rId23" w:history="1">
        <w:r>
          <w:rPr>
            <w:rStyle w:val="Hyperlink"/>
          </w:rPr>
          <w:t xml:space="preserve">https://dume.publicprocurement.be/ </w:t>
        </w:r>
      </w:hyperlink>
      <w:r>
        <w:t>et ensuite le joint à l’offre.</w:t>
      </w:r>
    </w:p>
    <w:p w14:paraId="5DC20012" w14:textId="787173B9" w:rsidR="00194FDE" w:rsidRPr="00190F24" w:rsidRDefault="00013402" w:rsidP="00A67AB2">
      <w:pPr>
        <w:rPr>
          <w:rStyle w:val="Hyperlink"/>
          <w:szCs w:val="21"/>
        </w:rPr>
      </w:pPr>
      <w:r>
        <w:t>Un manuel service DUME, incluant les lignes directrices pour les entreprises est disponible à l’adresse suivante : https://bosa.belgium.be/sites/default/files/documents/DUME_man_espd_entreprise_fr_200.pdf</w:t>
      </w:r>
      <w:r w:rsidR="00AD683F">
        <w:t>.</w:t>
      </w:r>
    </w:p>
    <w:p w14:paraId="0F35110A" w14:textId="405D6F9D" w:rsidR="00281EBA" w:rsidRPr="00BF24D2" w:rsidRDefault="00281EBA" w:rsidP="00281EBA">
      <w:r>
        <w:t xml:space="preserve">Lorsque l’offre est déposée par un groupement d’opérateurs économiques, elle doit contenir </w:t>
      </w:r>
      <w:r>
        <w:rPr>
          <w:u w:val="single"/>
        </w:rPr>
        <w:t>un DUME pour chaque participant au groupement</w:t>
      </w:r>
      <w:r>
        <w:t xml:space="preserve">. Dans ce cas, les </w:t>
      </w:r>
      <w:proofErr w:type="spellStart"/>
      <w:r>
        <w:t>candidat·es</w:t>
      </w:r>
      <w:proofErr w:type="spellEnd"/>
      <w:r>
        <w:t xml:space="preserve"> ou les soumissionnaires répondent, selon le cas, à la question reprise à la partie II, A </w:t>
      </w:r>
      <w:proofErr w:type="spellStart"/>
      <w:r>
        <w:t>du</w:t>
      </w:r>
      <w:proofErr w:type="spellEnd"/>
      <w:r>
        <w:t xml:space="preserve"> DUME : «</w:t>
      </w:r>
      <w:r w:rsidR="00AD683F">
        <w:rPr>
          <w:rFonts w:ascii="Times New Roman" w:hAnsi="Times New Roman" w:cs="Times New Roman"/>
        </w:rPr>
        <w:t> </w:t>
      </w:r>
      <w:r>
        <w:t>L’opérateur économique participe-t-il avec d’autres à la procédure de marché public</w:t>
      </w:r>
      <w:r w:rsidR="00B5602D">
        <w:rPr>
          <w:rFonts w:ascii="Times New Roman" w:hAnsi="Times New Roman" w:cs="Times New Roman"/>
        </w:rPr>
        <w:t> </w:t>
      </w:r>
      <w:r>
        <w:t>?</w:t>
      </w:r>
      <w:r w:rsidR="00AD683F">
        <w:rPr>
          <w:rFonts w:ascii="Times New Roman" w:hAnsi="Times New Roman" w:cs="Times New Roman"/>
        </w:rPr>
        <w:t> </w:t>
      </w:r>
      <w:r>
        <w:t>»</w:t>
      </w:r>
    </w:p>
    <w:p w14:paraId="01DB5B18" w14:textId="03E29B03" w:rsidR="00281EBA" w:rsidRDefault="00281EBA" w:rsidP="00281EBA">
      <w:r>
        <w:t>Lorsque le candidat ou le soumissionnaire fait appel à la capacité d’autres entités (notamment des sous-traitants ou des filiales indépendantes) en ce qui concerne les critères relatifs à la capacité économique et financière et les critères relatifs aux capacités techniques et professionnelles (voir 3.5.3 Critères de sélection) au sens du paragraphe 1</w:t>
      </w:r>
      <w:r>
        <w:rPr>
          <w:vertAlign w:val="superscript"/>
        </w:rPr>
        <w:t>er</w:t>
      </w:r>
      <w:r>
        <w:t xml:space="preserve"> de l’article 73 de l’A.R. du 18 avril 2017, le candidat ou le soumissionnaire, selon le cas, répond à la question reprise à la partie II, C, du DUME visé à l’article 38 de l’A.R. du 18 avril 2017. Il mentionne également pour quelle part du marché il fait appel à cette capacité et quelles autres entités il propose.</w:t>
      </w:r>
    </w:p>
    <w:p w14:paraId="57424C82" w14:textId="77777777" w:rsidR="00281EBA" w:rsidRDefault="00281EBA" w:rsidP="00281EBA">
      <w:r>
        <w:t xml:space="preserve">L’offre comporte également </w:t>
      </w:r>
      <w:r>
        <w:rPr>
          <w:u w:val="single"/>
        </w:rPr>
        <w:t>un DUME séparé</w:t>
      </w:r>
      <w:r>
        <w:t xml:space="preserve"> en ce qui concerne les entités au sens du paragraphe 1</w:t>
      </w:r>
      <w:r>
        <w:rPr>
          <w:vertAlign w:val="superscript"/>
        </w:rPr>
        <w:t>er</w:t>
      </w:r>
      <w:r>
        <w:t xml:space="preserve"> de l’article 73 de l’A.R. du 18 avril 2017.</w:t>
      </w:r>
    </w:p>
    <w:p w14:paraId="257DF830" w14:textId="589A7F54" w:rsidR="00281EBA" w:rsidRDefault="00BF24D2" w:rsidP="00281EBA">
      <w:r>
        <w:t>Pour les autres entités qui exécuteront une partie du marché, mais à la capacité desquelles l’opérateur économique n’aura pas recours en ce qui concerne les critères relatifs à la capacité économique et financière et les critères relatifs aux capacités techniques et professionnelles (voir 3.5.3 Critères de sélection) au sens du paragraphe 1</w:t>
      </w:r>
      <w:r>
        <w:rPr>
          <w:vertAlign w:val="superscript"/>
        </w:rPr>
        <w:t>er</w:t>
      </w:r>
      <w:r>
        <w:t xml:space="preserve"> de l’article 73 de </w:t>
      </w:r>
      <w:r>
        <w:lastRenderedPageBreak/>
        <w:t xml:space="preserve">l’A.R. du 18 avril 2017, le candidat ou le soumissionnaire, selon le cas, répondra à la question reprise à la partie II, </w:t>
      </w:r>
      <w:proofErr w:type="spellStart"/>
      <w:r>
        <w:t>D.Conformément</w:t>
      </w:r>
      <w:proofErr w:type="spellEnd"/>
      <w:r>
        <w:t xml:space="preserve"> à l’article 38, § 2 de l’A.R. du 18 avril 2017, pour ce qui concerne la </w:t>
      </w:r>
      <w:r>
        <w:rPr>
          <w:u w:val="single"/>
        </w:rPr>
        <w:t>partie IV du DUME relative aux critères de sélection</w:t>
      </w:r>
      <w:r>
        <w:t>, le pouvoir adjudicateur a décidé de limiter les informations à compléter à la seule question de savoir si l’opérateur économique remplit les critères de sélection requis, conformément à la section «</w:t>
      </w:r>
      <w:r w:rsidR="00AD683F">
        <w:rPr>
          <w:rFonts w:ascii="Times New Roman" w:hAnsi="Times New Roman" w:cs="Times New Roman"/>
        </w:rPr>
        <w:t> </w:t>
      </w:r>
      <w:r>
        <w:rPr>
          <w:u w:val="single"/>
        </w:rPr>
        <w:t>Indication globale pour tous les critères de sélection</w:t>
      </w:r>
      <w:r w:rsidR="00AD683F">
        <w:rPr>
          <w:rFonts w:ascii="Times New Roman" w:hAnsi="Times New Roman" w:cs="Times New Roman"/>
        </w:rPr>
        <w:t> </w:t>
      </w:r>
      <w:r>
        <w:t>». Cette seule section doit alors être complétée.</w:t>
      </w:r>
    </w:p>
    <w:p w14:paraId="6CA71590" w14:textId="77777777" w:rsidR="00281EBA" w:rsidRDefault="00281EBA" w:rsidP="00281EBA">
      <w:pPr>
        <w:jc w:val="both"/>
      </w:pPr>
      <w:r>
        <w:t xml:space="preserve">Le pouvoir adjudicateur demandera au soumissionnaire, si nécessaire, à tout moment de la procédure, de fournir tout ou partie des documents justificatifs, si cela est nécessaire pour assurer le bon déroulement de la procédure. Le soumissionnaire n’est pas tenu de présenter des documents justificatifs ou d’autres pièces justificatives lorsque et dans la mesure où le pouvoir adjudicateur a la possibilité d’obtenir directement les certificats ou les informations pertinentes en accédant à une base de données nationale gratuite dans un État membre. </w:t>
      </w:r>
    </w:p>
    <w:p w14:paraId="75B84FC1" w14:textId="7D004988" w:rsidR="00031F3C" w:rsidRDefault="00281EBA" w:rsidP="00281EBA">
      <w:pPr>
        <w:jc w:val="both"/>
      </w:pPr>
      <w:r>
        <w:t>À l’exception des motifs d’exclusion relatifs aux dettes fiscales et sociales, le soumissionnaire qui se trouve dans l’une des situations d’exclusion obligatoires ou facultatives peut prouver d’initiative qu’il a versé ou entrepris de verser une indemnité en réparation de tout préjudice causé par l’infraction pénale ou la faute, clarifié totalement les faits et circonstances en collaborant activement avec les autorités chargées de l’enquête et pris des mesures concrètes de nature technique et organisationnelle, et en matière de personnel propres à prévenir une nouvelle infraction pénale ou une nouvelle faute.</w:t>
      </w:r>
    </w:p>
    <w:p w14:paraId="6D3041D5" w14:textId="77777777" w:rsidR="00EC6BAA" w:rsidRPr="00CD3831" w:rsidRDefault="00EC6BAA" w:rsidP="009C1DE5">
      <w:pPr>
        <w:pStyle w:val="Heading3"/>
      </w:pPr>
      <w:bookmarkStart w:id="56" w:name="_Toc160610179"/>
      <w:r>
        <w:t>Motifs d’exclusion</w:t>
      </w:r>
      <w:bookmarkEnd w:id="56"/>
    </w:p>
    <w:p w14:paraId="6D3041D6" w14:textId="34748EA8" w:rsidR="00EC6BAA" w:rsidRDefault="00EC6BAA" w:rsidP="005E62B1">
      <w:pPr>
        <w:jc w:val="both"/>
      </w:pPr>
      <w:r>
        <w:t>Les motifs d’exclusion obligatoires et facultatifs sont renseignés dans le DUME et dans la déclaration sur honneur relative aux motifs d’exclusion.</w:t>
      </w:r>
    </w:p>
    <w:p w14:paraId="57543BE8" w14:textId="77777777" w:rsidR="007F3FE7" w:rsidRPr="009332B3" w:rsidRDefault="007F3FE7" w:rsidP="007F3FE7">
      <w:pPr>
        <w:jc w:val="both"/>
      </w:pPr>
      <w:r>
        <w:t>Les motifs d’exclusion s’appliquent à :</w:t>
      </w:r>
    </w:p>
    <w:p w14:paraId="558B1896" w14:textId="71225AD4" w:rsidR="007F3FE7" w:rsidRPr="009332B3" w:rsidRDefault="007F3FE7" w:rsidP="009332B3">
      <w:pPr>
        <w:pStyle w:val="ListParagraph"/>
        <w:numPr>
          <w:ilvl w:val="0"/>
          <w:numId w:val="5"/>
        </w:numPr>
        <w:jc w:val="both"/>
      </w:pPr>
      <w:r>
        <w:t>1° tous les participants qui introduisent ensemble une demande de participation et ont l’intention de constituer, en cas de sélection, un groupement d’opérateurs économiques ;</w:t>
      </w:r>
    </w:p>
    <w:p w14:paraId="543B079C" w14:textId="46839D78" w:rsidR="007F3FE7" w:rsidRPr="009332B3" w:rsidRDefault="007F3FE7" w:rsidP="009332B3">
      <w:pPr>
        <w:pStyle w:val="ListParagraph"/>
        <w:numPr>
          <w:ilvl w:val="0"/>
          <w:numId w:val="5"/>
        </w:numPr>
        <w:jc w:val="both"/>
      </w:pPr>
      <w:r>
        <w:t>2° tous les participants qui, en tant que groupement d’opérateurs économiques, déposent ensemble une offre et</w:t>
      </w:r>
    </w:p>
    <w:p w14:paraId="0CFF2BF8" w14:textId="77777777" w:rsidR="007F3FE7" w:rsidRDefault="007F3FE7" w:rsidP="009332B3">
      <w:pPr>
        <w:pStyle w:val="ListParagraph"/>
        <w:numPr>
          <w:ilvl w:val="0"/>
          <w:numId w:val="5"/>
        </w:numPr>
        <w:jc w:val="both"/>
      </w:pPr>
      <w:r>
        <w:t>3° des tiers (notamment des sous-traitants ou des filiales indépendantes) à la capacité desquels il est fait recours en ce qui concerne les critères relatifs à la capacité économique et financière et les critères relatifs aux capacités techniques et professionnelles (voir 3.5.3 Critères de sélection) au sens du paragraphe 1</w:t>
      </w:r>
      <w:r>
        <w:rPr>
          <w:vertAlign w:val="superscript"/>
        </w:rPr>
        <w:t>er</w:t>
      </w:r>
      <w:r>
        <w:t xml:space="preserve"> de l’article 73 de l’A.R. du 18 avril 2017.</w:t>
      </w:r>
    </w:p>
    <w:p w14:paraId="4B898531" w14:textId="1B1CC4CD" w:rsidR="009D3B53" w:rsidRDefault="009D3B53" w:rsidP="009D3B53">
      <w:r>
        <w:t>Le pouvoir adjudicateur est tenu de contrôler la Déclaration sur l’honneur et le DUME sur la base des documents suivants :</w:t>
      </w:r>
    </w:p>
    <w:p w14:paraId="75C78615" w14:textId="77777777" w:rsidR="009D3B53" w:rsidRDefault="009D3B53">
      <w:pPr>
        <w:pStyle w:val="ListParagraph"/>
        <w:numPr>
          <w:ilvl w:val="0"/>
          <w:numId w:val="16"/>
        </w:numPr>
      </w:pPr>
      <w:r>
        <w:t xml:space="preserve">Un </w:t>
      </w:r>
      <w:r>
        <w:rPr>
          <w:b/>
        </w:rPr>
        <w:t>extrait du casier judiciaire</w:t>
      </w:r>
      <w:r>
        <w:t xml:space="preserve"> établi au nom du soumissionnaire (personne morale) ou de son représentant (personne physique) lorsqu’il n’existe pas de casier judiciaire pour les personnes morales.</w:t>
      </w:r>
    </w:p>
    <w:p w14:paraId="026FD94E" w14:textId="77777777" w:rsidR="009D3B53" w:rsidRDefault="009D3B53">
      <w:pPr>
        <w:pStyle w:val="ListParagraph"/>
        <w:numPr>
          <w:ilvl w:val="0"/>
          <w:numId w:val="16"/>
        </w:numPr>
      </w:pPr>
      <w:r>
        <w:t xml:space="preserve">Le document certifiant que le soumissionnaire satisfait à ses obligations relatives au </w:t>
      </w:r>
      <w:r>
        <w:rPr>
          <w:b/>
        </w:rPr>
        <w:t>paiement des cotisations de sécurité sociale</w:t>
      </w:r>
      <w:r>
        <w:t>, sauf lorsque le pouvoir adjudicateur a la possibilité d’obtenir directement des certificats ou des informations pertinentes en accédant à une base de données nationale gratuite dans un État membre.</w:t>
      </w:r>
    </w:p>
    <w:p w14:paraId="17F03A9D" w14:textId="77777777" w:rsidR="009D3B53" w:rsidRDefault="009D3B53">
      <w:pPr>
        <w:pStyle w:val="ListParagraph"/>
        <w:numPr>
          <w:ilvl w:val="0"/>
          <w:numId w:val="16"/>
        </w:numPr>
      </w:pPr>
      <w:r>
        <w:t xml:space="preserve">Le document certifiant que le soumissionnaire satisfait à ses obligations relatives au </w:t>
      </w:r>
      <w:r>
        <w:rPr>
          <w:b/>
        </w:rPr>
        <w:t>paiement des impôts et taxes</w:t>
      </w:r>
      <w:r>
        <w:t xml:space="preserve">, sauf lorsque le pouvoir adjudicateur a la </w:t>
      </w:r>
      <w:r>
        <w:lastRenderedPageBreak/>
        <w:t>possibilité d’obtenir directement des certificats ou des informations pertinentes en accédant à une base de données nationale gratuite dans un État membre.</w:t>
      </w:r>
    </w:p>
    <w:p w14:paraId="76055221" w14:textId="77777777" w:rsidR="009D3B53" w:rsidRDefault="009D3B53">
      <w:pPr>
        <w:pStyle w:val="ListParagraph"/>
        <w:numPr>
          <w:ilvl w:val="0"/>
          <w:numId w:val="16"/>
        </w:numPr>
      </w:pPr>
      <w:r>
        <w:t>Le document certifiant que le soumissionnaire n’est pas en état de faillite, de liquidation, de cessation d’activités ou de concordat judiciaire, sauf lorsque le pouvoir adjudicateur a la possibilité d’obtenir directement des certificats ou des informations pertinentes en accédant à une base de données nationale gratuite dans un État membre.</w:t>
      </w:r>
    </w:p>
    <w:p w14:paraId="452CBC91" w14:textId="77777777" w:rsidR="009D3B53" w:rsidRDefault="009D3B53" w:rsidP="009D3B53">
      <w:r>
        <w:t>Le soumissionnaire peut joindre ces documents directement à son offre.</w:t>
      </w:r>
    </w:p>
    <w:p w14:paraId="604AD4D3" w14:textId="3DE008AE" w:rsidR="009D3B53" w:rsidRDefault="009D3B53" w:rsidP="009D3B53">
      <w:r>
        <w:t>Si les documents ne sont pas joints, le soumissionnaire doit être en mesure de fournir les documents listés ci-dessus dans les 5</w:t>
      </w:r>
      <w:r w:rsidR="00B5602D">
        <w:t> </w:t>
      </w:r>
      <w:r>
        <w:t>jours ouvrables suivant la demande de l’adjudicateur.</w:t>
      </w:r>
    </w:p>
    <w:p w14:paraId="31D38DCD" w14:textId="77777777" w:rsidR="009D3B53" w:rsidRDefault="009D3B53" w:rsidP="009D3B53">
      <w:r>
        <w:t>Si le soumissionnaire ne transmet pas le ou les documents demandés dans le délai fixé, l’adjudicateur se réserve le droit d’exclure le soumissionnaire.</w:t>
      </w:r>
    </w:p>
    <w:p w14:paraId="1BF3C193" w14:textId="77777777" w:rsidR="009D3B53" w:rsidRPr="00F7685E" w:rsidRDefault="009D3B53" w:rsidP="009D3B53">
      <w:pPr>
        <w:pBdr>
          <w:top w:val="single" w:sz="4" w:space="1" w:color="auto"/>
          <w:left w:val="single" w:sz="4" w:space="4" w:color="auto"/>
          <w:bottom w:val="single" w:sz="4" w:space="1" w:color="auto"/>
          <w:right w:val="single" w:sz="4" w:space="4" w:color="auto"/>
        </w:pBdr>
        <w:rPr>
          <w:b/>
        </w:rPr>
      </w:pPr>
      <w:r>
        <w:rPr>
          <w:b/>
        </w:rPr>
        <w:t>Il est vivement conseillé aux soumissionnaires de ne pas attendre la demande de l’adjudicateur et de demander le plus rapidement possible auprès des autorités compétentes du pays dans lequel ils sont établis, les documents qu’ils n’auraient pas joints à leur offre. En effet, les délais pour l’obtention de certains documents peuvent être longs.</w:t>
      </w:r>
    </w:p>
    <w:p w14:paraId="7155DE8B" w14:textId="77777777" w:rsidR="009D3B53" w:rsidRPr="008C4A21" w:rsidRDefault="009D3B53" w:rsidP="009D3B53">
      <w:pPr>
        <w:pStyle w:val="BTCtextCTB"/>
        <w:rPr>
          <w:rFonts w:ascii="Georgia" w:eastAsia="Calibri" w:hAnsi="Georgia"/>
          <w:color w:val="585756"/>
          <w:sz w:val="21"/>
          <w:szCs w:val="22"/>
        </w:rPr>
      </w:pPr>
      <w:r>
        <w:rPr>
          <w:rFonts w:ascii="Georgia" w:hAnsi="Georgia"/>
          <w:color w:val="585756"/>
          <w:sz w:val="21"/>
        </w:rPr>
        <w:t xml:space="preserve">Le pouvoir adjudicateur demandera lui-même les renseignements ou documents qu’il peut obtenir gratuitement par des moyens électroniques auprès des services qui en sont gestionnaires. C’est le cas pour les soumissionnaires belges (via la plateforme </w:t>
      </w:r>
      <w:proofErr w:type="spellStart"/>
      <w:r>
        <w:rPr>
          <w:rFonts w:ascii="Georgia" w:hAnsi="Georgia"/>
          <w:color w:val="585756"/>
          <w:sz w:val="21"/>
        </w:rPr>
        <w:t>Telemarc</w:t>
      </w:r>
      <w:proofErr w:type="spellEnd"/>
      <w:r>
        <w:rPr>
          <w:rFonts w:ascii="Georgia" w:hAnsi="Georgia"/>
          <w:color w:val="585756"/>
          <w:sz w:val="21"/>
        </w:rPr>
        <w:t>), sauf pour l’extrait de casier judiciaire qui doit être demandé par le soumissionnaire lui-même.</w:t>
      </w:r>
    </w:p>
    <w:p w14:paraId="76919EE4" w14:textId="77777777" w:rsidR="009D3B53" w:rsidRPr="005B7D75" w:rsidRDefault="009D3B53" w:rsidP="005E62B1">
      <w:pPr>
        <w:jc w:val="both"/>
      </w:pPr>
    </w:p>
    <w:p w14:paraId="6D3041DB" w14:textId="77777777" w:rsidR="00EC6BAA" w:rsidRPr="00EA11F9" w:rsidRDefault="00EC6BAA" w:rsidP="009C1DE5">
      <w:pPr>
        <w:pStyle w:val="Heading3"/>
      </w:pPr>
      <w:bookmarkStart w:id="57" w:name="_Toc160610180"/>
      <w:r>
        <w:t>Critères de sélection</w:t>
      </w:r>
      <w:bookmarkEnd w:id="57"/>
      <w:r>
        <w:t xml:space="preserve"> </w:t>
      </w:r>
    </w:p>
    <w:p w14:paraId="45B80C66" w14:textId="19274897" w:rsidR="000828F7" w:rsidRDefault="000828F7" w:rsidP="000828F7">
      <w:pPr>
        <w:pStyle w:val="BTCtextCTB"/>
        <w:rPr>
          <w:rFonts w:ascii="Georgia" w:hAnsi="Georgia"/>
          <w:color w:val="585756"/>
          <w:sz w:val="21"/>
        </w:rPr>
      </w:pPr>
      <w:r>
        <w:rPr>
          <w:rFonts w:ascii="Georgia" w:hAnsi="Georgia"/>
          <w:color w:val="585756"/>
          <w:sz w:val="21"/>
        </w:rPr>
        <w:t>Le soumissionnaire est, en outre, tenu de démontrer à l’aide des documents demandés ci-dessous qu’il est suffisamment capable, tant du point de vue économique et financier que du point de vue technique, de mener à bien le présent marché public.</w:t>
      </w:r>
    </w:p>
    <w:p w14:paraId="56455A2E" w14:textId="1115BD9A" w:rsidR="005D1DB7" w:rsidRPr="005D604E" w:rsidRDefault="005D1DB7" w:rsidP="005D1DB7">
      <w:pPr>
        <w:pStyle w:val="ListParagraph"/>
        <w:numPr>
          <w:ilvl w:val="0"/>
          <w:numId w:val="5"/>
        </w:numPr>
        <w:jc w:val="both"/>
      </w:pPr>
      <w:r>
        <w:t>Afin de satisfaire aux critères relatifs à la capacité économique et financière et à ceux relatifs aux capacités techniques et professionnelles, le soumissionnaire peut avoir recours à la capacité de :</w:t>
      </w:r>
      <w:r w:rsidR="00B5602D">
        <w:t xml:space="preserve"> </w:t>
      </w:r>
      <w:r>
        <w:t>tous les participants qui introduisent ensemble une demande de participation et ont l’intention de constituer, en cas de sélection, un groupement d’opérateurs économiques ;</w:t>
      </w:r>
    </w:p>
    <w:p w14:paraId="3DA18B60" w14:textId="1BAEF591" w:rsidR="005D1DB7" w:rsidRPr="005D604E" w:rsidRDefault="005D1DB7" w:rsidP="005D1DB7">
      <w:pPr>
        <w:pStyle w:val="ListParagraph"/>
        <w:numPr>
          <w:ilvl w:val="0"/>
          <w:numId w:val="5"/>
        </w:numPr>
        <w:jc w:val="both"/>
      </w:pPr>
      <w:r>
        <w:t>tous les participants qui, en tant que groupement d’opérateurs économiques, déposent ensemble une offre et</w:t>
      </w:r>
    </w:p>
    <w:p w14:paraId="12D0420E" w14:textId="5B8FB093" w:rsidR="005D1DB7" w:rsidRPr="005D1DB7" w:rsidRDefault="005D1DB7" w:rsidP="005D1DB7">
      <w:r>
        <w:t>d’autres entités (notamment des sous-traitants ou des filiales indépendantes) quelle que soit la nature du lien existant entre lui-même et ces entités, en vertu du § 1</w:t>
      </w:r>
      <w:r>
        <w:rPr>
          <w:vertAlign w:val="superscript"/>
        </w:rPr>
        <w:t>er</w:t>
      </w:r>
      <w:r>
        <w:t xml:space="preserve"> de l’article 73 de l’A.R. du 18 avril 2017.</w:t>
      </w:r>
      <w:r w:rsidR="00B5602D">
        <w:t xml:space="preserve"> </w:t>
      </w:r>
      <w:r>
        <w:t>Un DUME séparé (voir le point 3.5.1 Document unique de marché européen) doit être annexé pour chaque participant ou entité auquel il est fait recours pour satisfaire aux critères relatifs à la capacité économique et financière et ceux relatifs aux capacités techniques et professionnelles.</w:t>
      </w:r>
    </w:p>
    <w:p w14:paraId="13189150" w14:textId="7AF34E2A" w:rsidR="00BC4BF4" w:rsidRDefault="005D1DB7" w:rsidP="000828F7">
      <w:pPr>
        <w:pStyle w:val="BTCtextCTB"/>
        <w:rPr>
          <w:rFonts w:ascii="Georgia" w:eastAsia="Calibri" w:hAnsi="Georgia"/>
          <w:color w:val="585756"/>
          <w:sz w:val="21"/>
          <w:szCs w:val="22"/>
        </w:rPr>
      </w:pPr>
      <w:r>
        <w:t xml:space="preserve">Pour tous ces participants et entités, le pouvoir adjudicateur est tenu de vérifier qu’aucun motif d’exclusion ne s’applique. </w:t>
      </w:r>
      <w:r>
        <w:rPr>
          <w:rFonts w:ascii="Georgia" w:hAnsi="Georgia"/>
          <w:color w:val="585756"/>
          <w:sz w:val="21"/>
        </w:rPr>
        <w:t>Conformément à l’article 73 de l’A.R. du 18 avril 2017, si un opérateur économique souhaite recourir aux capacités d’autres entités (notamment des sous-traitants ou des filiales indépendantes) en ce qui concerne les critères relatifs à la capacité économique et financière et les critères relatifs aux capacités techniques et professionnelles, il apportera au pouvoir adjudicateur la preuve qu’il disposera des moyens nécessaires, notamment en produisant l’engagement de ces entités à cet effet.</w:t>
      </w:r>
    </w:p>
    <w:p w14:paraId="3D928E3B" w14:textId="77777777" w:rsidR="00863BE0" w:rsidRPr="000828F7" w:rsidRDefault="00863BE0" w:rsidP="000828F7">
      <w:pPr>
        <w:pStyle w:val="BTCtextCTB"/>
        <w:rPr>
          <w:rFonts w:ascii="Georgia" w:eastAsia="Calibri" w:hAnsi="Georgia"/>
          <w:color w:val="585756"/>
          <w:sz w:val="21"/>
          <w:szCs w:val="22"/>
        </w:rPr>
      </w:pPr>
    </w:p>
    <w:p w14:paraId="1AF29E13" w14:textId="69A4E47F" w:rsidR="00402C8C" w:rsidRPr="00402C8C" w:rsidRDefault="00402C8C" w:rsidP="00777CD0">
      <w:pPr>
        <w:pStyle w:val="Heading4"/>
      </w:pPr>
      <w:bookmarkStart w:id="58" w:name="_Toc160610181"/>
      <w:r>
        <w:t>Critères de capacité financière</w:t>
      </w:r>
      <w:bookmarkEnd w:id="58"/>
    </w:p>
    <w:p w14:paraId="202FA5EC" w14:textId="6EC21438" w:rsidR="00777CD0" w:rsidRDefault="00BF0EED" w:rsidP="00BF0EED">
      <w:pPr>
        <w:pStyle w:val="BodyText"/>
        <w:rPr>
          <w:rFonts w:ascii="Georgia" w:eastAsia="Calibri" w:hAnsi="Georgia" w:cs="Times New Roman"/>
          <w:color w:val="585756"/>
          <w:kern w:val="0"/>
          <w:sz w:val="21"/>
          <w:szCs w:val="21"/>
        </w:rPr>
      </w:pPr>
      <w:r>
        <w:rPr>
          <w:rFonts w:ascii="Georgia" w:hAnsi="Georgia"/>
          <w:color w:val="585756"/>
          <w:sz w:val="21"/>
        </w:rPr>
        <w:t>Pas d’application.</w:t>
      </w:r>
    </w:p>
    <w:p w14:paraId="5BA82E8C" w14:textId="77777777" w:rsidR="00B36A87" w:rsidRPr="005B7D75" w:rsidRDefault="00B36A87" w:rsidP="00B36A87">
      <w:pPr>
        <w:pStyle w:val="BodyText"/>
        <w:ind w:left="66"/>
        <w:rPr>
          <w:rFonts w:ascii="Georgia" w:eastAsia="Calibri" w:hAnsi="Georgia" w:cs="Times New Roman"/>
          <w:color w:val="585756"/>
          <w:kern w:val="0"/>
          <w:sz w:val="21"/>
          <w:szCs w:val="21"/>
        </w:rPr>
      </w:pPr>
    </w:p>
    <w:p w14:paraId="6979B369" w14:textId="07F50C58" w:rsidR="00402C8C" w:rsidRDefault="00D70DBF" w:rsidP="00777CD0">
      <w:pPr>
        <w:pStyle w:val="Heading4"/>
      </w:pPr>
      <w:bookmarkStart w:id="59" w:name="_Toc160610182"/>
      <w:r>
        <w:t>Critères de capacité technique</w:t>
      </w:r>
      <w:bookmarkEnd w:id="59"/>
    </w:p>
    <w:p w14:paraId="3EE8FF9A" w14:textId="2C598595" w:rsidR="00442BE1" w:rsidRDefault="00BF0EED" w:rsidP="00157B7F">
      <w:pPr>
        <w:pStyle w:val="BodyText"/>
        <w:rPr>
          <w:rFonts w:ascii="Georgia" w:eastAsia="Calibri" w:hAnsi="Georgia" w:cs="Times New Roman"/>
          <w:color w:val="585756"/>
          <w:kern w:val="0"/>
          <w:sz w:val="21"/>
          <w:szCs w:val="21"/>
        </w:rPr>
      </w:pPr>
      <w:r>
        <w:rPr>
          <w:rFonts w:ascii="Georgia" w:hAnsi="Georgia"/>
          <w:color w:val="585756"/>
          <w:sz w:val="21"/>
        </w:rPr>
        <w:t>Pour chaque lot pour lequel il remet offre, le soumissionnaire doit produire une liste des services similaires exécutés au cours des trois dernières années.</w:t>
      </w:r>
    </w:p>
    <w:p w14:paraId="0BA28E04" w14:textId="303DDBC5" w:rsidR="00442BE1" w:rsidRDefault="00442BE1">
      <w:pPr>
        <w:pStyle w:val="BodyText"/>
        <w:numPr>
          <w:ilvl w:val="1"/>
          <w:numId w:val="17"/>
        </w:numPr>
        <w:tabs>
          <w:tab w:val="clear" w:pos="1440"/>
        </w:tabs>
        <w:ind w:left="426"/>
        <w:rPr>
          <w:rFonts w:ascii="Georgia" w:eastAsia="Calibri" w:hAnsi="Georgia" w:cs="Times New Roman"/>
          <w:color w:val="585756"/>
          <w:kern w:val="0"/>
          <w:sz w:val="21"/>
          <w:szCs w:val="21"/>
        </w:rPr>
      </w:pPr>
      <w:r>
        <w:rPr>
          <w:rFonts w:ascii="Georgia" w:hAnsi="Georgia"/>
          <w:color w:val="585756"/>
          <w:sz w:val="21"/>
        </w:rPr>
        <w:t>Cette liste doit comporter au moins 3</w:t>
      </w:r>
      <w:r w:rsidR="00B5602D">
        <w:rPr>
          <w:rFonts w:ascii="Georgia" w:hAnsi="Georgia"/>
          <w:color w:val="585756"/>
          <w:sz w:val="21"/>
        </w:rPr>
        <w:t> </w:t>
      </w:r>
      <w:r>
        <w:rPr>
          <w:rFonts w:ascii="Georgia" w:hAnsi="Georgia"/>
          <w:color w:val="585756"/>
          <w:sz w:val="21"/>
        </w:rPr>
        <w:t>services similaires de complexité comparable aux services pour lesquels le soumissionnaire remet offre. Le montant total minimum des services réalisés au cours des 3 années devra être supérieur ou égal à 75.000 € par lot.</w:t>
      </w:r>
    </w:p>
    <w:p w14:paraId="5EE74D28" w14:textId="77777777" w:rsidR="00777CD0" w:rsidRPr="00777CD0" w:rsidRDefault="00777CD0" w:rsidP="00777CD0"/>
    <w:p w14:paraId="6D3041EB" w14:textId="5511A5EF" w:rsidR="00EC6BAA" w:rsidRPr="00EC6BAA" w:rsidRDefault="00783020" w:rsidP="009C1DE5">
      <w:pPr>
        <w:pStyle w:val="Heading2"/>
      </w:pPr>
      <w:bookmarkStart w:id="60" w:name="_Toc160610183"/>
      <w:r>
        <w:t>Évaluation des offres</w:t>
      </w:r>
      <w:bookmarkEnd w:id="60"/>
    </w:p>
    <w:p w14:paraId="6D3041ED" w14:textId="6C032FA2" w:rsidR="00EC6BAA" w:rsidRDefault="00EC6BAA" w:rsidP="00F65536">
      <w:pPr>
        <w:pStyle w:val="Heading3"/>
      </w:pPr>
      <w:bookmarkStart w:id="61" w:name="_Toc160610184"/>
      <w:r>
        <w:t>Régularité des offres</w:t>
      </w:r>
      <w:bookmarkEnd w:id="61"/>
    </w:p>
    <w:p w14:paraId="195FA4FA" w14:textId="630A9D30" w:rsidR="00F65536" w:rsidRPr="009332B3" w:rsidRDefault="00EC6BAA" w:rsidP="00F65536">
      <w:pPr>
        <w:jc w:val="both"/>
      </w:pPr>
      <w:r>
        <w:t xml:space="preserve">Avant de procéder à l’évaluation et à la comparaison des offres, le pouvoir adjudicateur examine leur régularité et vérifie les prix. </w:t>
      </w:r>
    </w:p>
    <w:p w14:paraId="6D3041EF" w14:textId="361CCD94" w:rsidR="00EC6BAA" w:rsidRPr="000409D4" w:rsidRDefault="00EC6BAA" w:rsidP="005E62B1">
      <w:pPr>
        <w:jc w:val="both"/>
        <w:rPr>
          <w:szCs w:val="21"/>
        </w:rPr>
      </w:pPr>
      <w:r>
        <w:t>Les offres doivent être établies de manière telle que le pouvoir adjudicateur puisse faire son choix sans entrer en négociation avec le soumissionnaire. Pour cette raison, et afin de pouvoir juger les offres sur pied d’égalité, il est fondamental que les offres soient entièrement conformes aux dispositions du CSC, tant au plan formel que matériel.</w:t>
      </w:r>
    </w:p>
    <w:p w14:paraId="6D3041F0" w14:textId="77777777" w:rsidR="00EC6BAA" w:rsidRPr="000409D4" w:rsidRDefault="00EC6BAA" w:rsidP="005E62B1">
      <w:pPr>
        <w:jc w:val="both"/>
        <w:rPr>
          <w:szCs w:val="21"/>
        </w:rPr>
      </w:pPr>
      <w:r>
        <w:rPr>
          <w:u w:val="single"/>
        </w:rPr>
        <w:t>Les offres substantiellement irrégulières sont exclues</w:t>
      </w:r>
      <w:r>
        <w:t xml:space="preserve">. </w:t>
      </w:r>
    </w:p>
    <w:p w14:paraId="6D3041F1" w14:textId="5296DDA0" w:rsidR="00EC6BAA" w:rsidRPr="000409D4" w:rsidRDefault="00EC6BAA" w:rsidP="005E62B1">
      <w:pPr>
        <w:jc w:val="both"/>
        <w:rPr>
          <w:szCs w:val="21"/>
        </w:rPr>
      </w:pPr>
      <w:r>
        <w:t xml:space="preserve">Constitue une irrégularité substantielle, celle qui est de nature à donner un avantage discriminatoire au soumissionnaire, à entraîner une distorsion de concurrence, à empêcher l’évaluation de l’offre du soumissionnaire ou la comparaison de celle-ci aux autres offres, ou à rendre inexistant, incomplet ou incertain l’engagement du soumissionnaire à exécuter le marché dans les conditions prévues. </w:t>
      </w:r>
    </w:p>
    <w:p w14:paraId="6D3041F2" w14:textId="7055D90D" w:rsidR="00EC6BAA" w:rsidRPr="000409D4" w:rsidRDefault="00EC6BAA" w:rsidP="005E62B1">
      <w:pPr>
        <w:jc w:val="both"/>
        <w:rPr>
          <w:szCs w:val="21"/>
        </w:rPr>
      </w:pPr>
      <w:r>
        <w:t>Sont réputées substantielles notamment les irrégularités suivantes :</w:t>
      </w:r>
    </w:p>
    <w:p w14:paraId="6D3041F3" w14:textId="0A0767CF" w:rsidR="00EC6BAA" w:rsidRPr="000409D4" w:rsidRDefault="00EC6BAA" w:rsidP="00777B24">
      <w:pPr>
        <w:pStyle w:val="ListParagraph"/>
        <w:numPr>
          <w:ilvl w:val="0"/>
          <w:numId w:val="6"/>
        </w:numPr>
        <w:jc w:val="both"/>
        <w:rPr>
          <w:szCs w:val="21"/>
        </w:rPr>
      </w:pPr>
      <w:r>
        <w:t>le non-respect du droit environnemental, social ou du travail, pour autant que ce non-respect soit sanctionné pénalement ;</w:t>
      </w:r>
    </w:p>
    <w:p w14:paraId="6D3041F4" w14:textId="592616C9" w:rsidR="00EC6BAA" w:rsidRPr="000409D4" w:rsidRDefault="00EC6BAA" w:rsidP="00777B24">
      <w:pPr>
        <w:pStyle w:val="ListParagraph"/>
        <w:numPr>
          <w:ilvl w:val="0"/>
          <w:numId w:val="6"/>
        </w:numPr>
        <w:jc w:val="both"/>
        <w:rPr>
          <w:szCs w:val="21"/>
        </w:rPr>
      </w:pPr>
      <w:r>
        <w:t>le non-respect des exigences visées aux articles 38, 42, 43, § 1</w:t>
      </w:r>
      <w:r>
        <w:rPr>
          <w:vertAlign w:val="superscript"/>
        </w:rPr>
        <w:t>er</w:t>
      </w:r>
      <w:r>
        <w:t>, 44, 48, § 2, alinéa 1</w:t>
      </w:r>
      <w:r>
        <w:rPr>
          <w:vertAlign w:val="superscript"/>
        </w:rPr>
        <w:t>er</w:t>
      </w:r>
      <w:r>
        <w:t>, 54, § 2, 55, 83 et 92 de l’A.R. du 18 avril 2017 et par l’article 14 de la loi, pour autant qu’ils contiennent des obligations à l’égard des soumissionnaires ;</w:t>
      </w:r>
    </w:p>
    <w:p w14:paraId="6D3041F5" w14:textId="64E12383" w:rsidR="00EC6BAA" w:rsidRPr="000409D4" w:rsidRDefault="00EC6BAA" w:rsidP="00777B24">
      <w:pPr>
        <w:pStyle w:val="ListParagraph"/>
        <w:numPr>
          <w:ilvl w:val="0"/>
          <w:numId w:val="6"/>
        </w:numPr>
        <w:jc w:val="both"/>
        <w:rPr>
          <w:szCs w:val="21"/>
        </w:rPr>
      </w:pPr>
      <w:r>
        <w:t>le non-respect des exigences minimales et des exigences qui sont indiquées comme substantielles dans les documents du marché.</w:t>
      </w:r>
    </w:p>
    <w:p w14:paraId="6D3041F6" w14:textId="50E15678" w:rsidR="00EC6BAA" w:rsidRDefault="00EC6BAA" w:rsidP="005E62B1">
      <w:pPr>
        <w:jc w:val="both"/>
        <w:rPr>
          <w:szCs w:val="21"/>
        </w:rPr>
      </w:pPr>
      <w:r>
        <w:t>Le pouvoir adjudicateur déclare également nulle l’offre qui est affectée de plusieurs irrégularités non substantielles qui, du fait de leur cumul ou de leur combinaison, sont de nature à avoir les mêmes effets que décrits ci-dessus (conformément à l’article 76 de l’A.R. du 18 avril 2017).</w:t>
      </w:r>
    </w:p>
    <w:p w14:paraId="3A673D62" w14:textId="77777777" w:rsidR="00863BE0" w:rsidRPr="000409D4" w:rsidRDefault="00863BE0" w:rsidP="005E62B1">
      <w:pPr>
        <w:jc w:val="both"/>
        <w:rPr>
          <w:szCs w:val="21"/>
        </w:rPr>
      </w:pPr>
    </w:p>
    <w:p w14:paraId="072BABBD" w14:textId="339341E2" w:rsidR="00FE6E38" w:rsidRPr="009332B3" w:rsidRDefault="00EC6BAA" w:rsidP="00FE6E38">
      <w:pPr>
        <w:pStyle w:val="Heading3"/>
      </w:pPr>
      <w:bookmarkStart w:id="62" w:name="_Toc160610185"/>
      <w:r>
        <w:t>Critères d’attribution</w:t>
      </w:r>
      <w:bookmarkEnd w:id="62"/>
    </w:p>
    <w:p w14:paraId="15D342F4" w14:textId="30C21FF1" w:rsidR="00CF7109" w:rsidRDefault="00CF7109" w:rsidP="00CF7109">
      <w:pPr>
        <w:pStyle w:val="BodyText"/>
        <w:rPr>
          <w:rFonts w:ascii="Georgia" w:hAnsi="Georgia"/>
          <w:color w:val="585756"/>
          <w:sz w:val="21"/>
        </w:rPr>
      </w:pPr>
      <w:r>
        <w:rPr>
          <w:rFonts w:ascii="Georgia" w:hAnsi="Georgia"/>
          <w:color w:val="585756"/>
          <w:sz w:val="21"/>
        </w:rPr>
        <w:t>Le pouvoir adjudicateur choisira l’offre régulière qu’il juge la plus avantageuse en tenant compte des critères suivants :</w:t>
      </w:r>
    </w:p>
    <w:p w14:paraId="16742553" w14:textId="77777777" w:rsidR="00B406A2" w:rsidRDefault="00B406A2" w:rsidP="00CF7109">
      <w:pPr>
        <w:pStyle w:val="BodyText"/>
        <w:rPr>
          <w:rFonts w:ascii="Georgia" w:eastAsia="Calibri" w:hAnsi="Georgia" w:cs="Times New Roman"/>
          <w:color w:val="585756"/>
          <w:kern w:val="0"/>
          <w:sz w:val="21"/>
          <w:szCs w:val="22"/>
        </w:rPr>
      </w:pPr>
    </w:p>
    <w:p w14:paraId="000D526E" w14:textId="50F5E180" w:rsidR="00FE6E38" w:rsidRDefault="00FE6E38" w:rsidP="009332B3">
      <w:pPr>
        <w:pStyle w:val="Heading4"/>
      </w:pPr>
      <w:bookmarkStart w:id="63" w:name="_Toc160610186"/>
      <w:r>
        <w:t>Qualité du curriculum vitae (45 %)</w:t>
      </w:r>
      <w:bookmarkEnd w:id="63"/>
    </w:p>
    <w:p w14:paraId="4A2B1A9A" w14:textId="165DE9AB" w:rsidR="00C21B6D" w:rsidRPr="00394A2C" w:rsidRDefault="00C21B6D" w:rsidP="00FE6E38">
      <w:r w:rsidRPr="00394A2C">
        <w:t>Le soumissionnaire est tenu de joindre le(s) CV de(s) l’</w:t>
      </w:r>
      <w:proofErr w:type="spellStart"/>
      <w:r w:rsidRPr="00394A2C">
        <w:t>expert·e</w:t>
      </w:r>
      <w:proofErr w:type="spellEnd"/>
      <w:r w:rsidRPr="00394A2C">
        <w:t xml:space="preserve">(s) qui sera (ou susceptible d’être) </w:t>
      </w:r>
      <w:proofErr w:type="spellStart"/>
      <w:r w:rsidRPr="00394A2C">
        <w:t>chargé·e</w:t>
      </w:r>
      <w:proofErr w:type="spellEnd"/>
      <w:r w:rsidRPr="00394A2C">
        <w:t>(s) d’une mission.</w:t>
      </w:r>
    </w:p>
    <w:p w14:paraId="59A5BEC7" w14:textId="2E2B3BD3" w:rsidR="00794C2F" w:rsidRPr="00394A2C" w:rsidRDefault="0027193C" w:rsidP="00FE6E38">
      <w:pPr>
        <w:rPr>
          <w:rFonts w:eastAsia="Calibri" w:cs="Times New Roman"/>
          <w:szCs w:val="21"/>
        </w:rPr>
      </w:pPr>
      <w:r w:rsidRPr="00394A2C">
        <w:t>L’</w:t>
      </w:r>
      <w:proofErr w:type="spellStart"/>
      <w:r w:rsidRPr="00394A2C">
        <w:t>expert·e</w:t>
      </w:r>
      <w:proofErr w:type="spellEnd"/>
      <w:r w:rsidRPr="00394A2C">
        <w:t xml:space="preserve"> ou les </w:t>
      </w:r>
      <w:proofErr w:type="spellStart"/>
      <w:r w:rsidRPr="00394A2C">
        <w:t>expert·es</w:t>
      </w:r>
      <w:proofErr w:type="spellEnd"/>
      <w:r w:rsidRPr="00394A2C">
        <w:t xml:space="preserve"> ne peut/peuvent pas être l’</w:t>
      </w:r>
      <w:proofErr w:type="spellStart"/>
      <w:r w:rsidRPr="00394A2C">
        <w:t>expert·e</w:t>
      </w:r>
      <w:proofErr w:type="spellEnd"/>
      <w:r w:rsidRPr="00394A2C">
        <w:t xml:space="preserve"> (ou les </w:t>
      </w:r>
      <w:proofErr w:type="spellStart"/>
      <w:r w:rsidRPr="00394A2C">
        <w:t>expert·es</w:t>
      </w:r>
      <w:proofErr w:type="spellEnd"/>
      <w:r w:rsidRPr="00394A2C">
        <w:t xml:space="preserve">) </w:t>
      </w:r>
      <w:proofErr w:type="spellStart"/>
      <w:r w:rsidRPr="00394A2C">
        <w:t>proposé·e</w:t>
      </w:r>
      <w:proofErr w:type="spellEnd"/>
      <w:r w:rsidRPr="00394A2C">
        <w:t xml:space="preserve">(s) par un des autres OE parties à l’accord-cadre du lot concerné. En revanche, </w:t>
      </w:r>
      <w:proofErr w:type="spellStart"/>
      <w:r w:rsidRPr="00394A2C">
        <w:t>un·e</w:t>
      </w:r>
      <w:proofErr w:type="spellEnd"/>
      <w:r w:rsidRPr="00394A2C">
        <w:t xml:space="preserve"> ou plusieurs </w:t>
      </w:r>
      <w:proofErr w:type="spellStart"/>
      <w:r w:rsidRPr="00394A2C">
        <w:t>expert·es</w:t>
      </w:r>
      <w:proofErr w:type="spellEnd"/>
      <w:r w:rsidRPr="00394A2C">
        <w:t xml:space="preserve"> pourront être </w:t>
      </w:r>
      <w:proofErr w:type="spellStart"/>
      <w:r w:rsidRPr="00394A2C">
        <w:t>proposé·es</w:t>
      </w:r>
      <w:proofErr w:type="spellEnd"/>
      <w:r w:rsidRPr="00394A2C">
        <w:t xml:space="preserve"> pour plusieurs lots.</w:t>
      </w:r>
    </w:p>
    <w:p w14:paraId="68FD2C3E" w14:textId="62194B19" w:rsidR="00C21B6D" w:rsidRPr="00394A2C" w:rsidRDefault="00C21B6D" w:rsidP="00FE6E38">
      <w:r w:rsidRPr="00394A2C">
        <w:t>Le nombre de CV sera de maximum 5 par lot.</w:t>
      </w:r>
    </w:p>
    <w:p w14:paraId="66325FEB" w14:textId="77777777" w:rsidR="001F1A54" w:rsidRPr="00394A2C" w:rsidRDefault="001F1A54" w:rsidP="001F1A54">
      <w:r w:rsidRPr="00394A2C">
        <w:t>Pour l’évaluation de ce critère, le pouvoir adjudicateur prend en compte les éléments qui viennent s’ajouter aux exigences minimales telles que précisées au 5.2 (Exigences spécifiques par lot / profil d’</w:t>
      </w:r>
      <w:proofErr w:type="spellStart"/>
      <w:r w:rsidRPr="00394A2C">
        <w:t>expert·e</w:t>
      </w:r>
      <w:proofErr w:type="spellEnd"/>
      <w:r w:rsidRPr="00394A2C">
        <w:t>).</w:t>
      </w:r>
    </w:p>
    <w:p w14:paraId="63EA64EB" w14:textId="3C20D56F" w:rsidR="00FE6E38" w:rsidRDefault="00FE6E38" w:rsidP="00FE6E38">
      <w:r w:rsidRPr="00394A2C">
        <w:t>Ces éléments diffèrent par lot et ceux-ci se présentent comme suit :</w:t>
      </w:r>
    </w:p>
    <w:p w14:paraId="7BEA5A16" w14:textId="77777777" w:rsidR="001747A5" w:rsidRPr="001747A5" w:rsidRDefault="001747A5" w:rsidP="00FE6E38">
      <w:pPr>
        <w:rPr>
          <w:lang w:val="fr-BE"/>
        </w:rPr>
      </w:pPr>
    </w:p>
    <w:p w14:paraId="20AE8EDD" w14:textId="5E636312" w:rsidR="00650762" w:rsidRPr="001747A5" w:rsidRDefault="00650762" w:rsidP="00650762">
      <w:pPr>
        <w:pStyle w:val="Heading5"/>
      </w:pPr>
      <w:r>
        <w:t>Lot 1 : Renforcement de la réglementation</w:t>
      </w:r>
    </w:p>
    <w:p w14:paraId="1A94504A" w14:textId="77777777" w:rsidR="00650762" w:rsidRPr="001747A5" w:rsidRDefault="00650762" w:rsidP="00650762"/>
    <w:p w14:paraId="2EE8DAE9" w14:textId="77777777" w:rsidR="00650762" w:rsidRPr="001747A5" w:rsidRDefault="00650762" w:rsidP="00650762">
      <w:pPr>
        <w:pStyle w:val="ListParagraph"/>
        <w:numPr>
          <w:ilvl w:val="0"/>
          <w:numId w:val="43"/>
        </w:numPr>
        <w:spacing w:line="259" w:lineRule="auto"/>
        <w:jc w:val="both"/>
      </w:pPr>
      <w:r>
        <w:t>Expérience professionnelle directe avec des autorités réglementaires nationales/supranationales ;</w:t>
      </w:r>
    </w:p>
    <w:p w14:paraId="3622D60A" w14:textId="77777777" w:rsidR="00650762" w:rsidRPr="001747A5" w:rsidRDefault="00650762" w:rsidP="00650762">
      <w:pPr>
        <w:pStyle w:val="ListParagraph"/>
        <w:numPr>
          <w:ilvl w:val="0"/>
          <w:numId w:val="43"/>
        </w:numPr>
        <w:spacing w:line="259" w:lineRule="auto"/>
        <w:jc w:val="both"/>
      </w:pPr>
      <w:r>
        <w:t>expérience du secteur pharmaceutique privé ;</w:t>
      </w:r>
    </w:p>
    <w:p w14:paraId="717A1CB7" w14:textId="77777777" w:rsidR="00650762" w:rsidRPr="001747A5" w:rsidRDefault="00650762" w:rsidP="00650762">
      <w:pPr>
        <w:pStyle w:val="ListParagraph"/>
        <w:numPr>
          <w:ilvl w:val="0"/>
          <w:numId w:val="43"/>
        </w:numPr>
        <w:spacing w:line="259" w:lineRule="auto"/>
        <w:jc w:val="both"/>
      </w:pPr>
      <w:r>
        <w:t>familiarisation avec les activités de l’AUDA-NEPAD / de l’AMRH et le projet AMA (</w:t>
      </w:r>
      <w:proofErr w:type="spellStart"/>
      <w:r>
        <w:t>African</w:t>
      </w:r>
      <w:proofErr w:type="spellEnd"/>
      <w:r>
        <w:t xml:space="preserve"> </w:t>
      </w:r>
      <w:proofErr w:type="spellStart"/>
      <w:r>
        <w:t>Medicines</w:t>
      </w:r>
      <w:proofErr w:type="spellEnd"/>
      <w:r>
        <w:t xml:space="preserve"> Agency) ;</w:t>
      </w:r>
    </w:p>
    <w:p w14:paraId="74AC8593" w14:textId="77777777" w:rsidR="00650762" w:rsidRPr="001747A5" w:rsidRDefault="00650762" w:rsidP="00650762">
      <w:pPr>
        <w:pStyle w:val="ListParagraph"/>
        <w:numPr>
          <w:ilvl w:val="0"/>
          <w:numId w:val="43"/>
        </w:numPr>
        <w:spacing w:line="259" w:lineRule="auto"/>
        <w:jc w:val="both"/>
      </w:pPr>
      <w:r>
        <w:t>expérience de travail en Afrique ;</w:t>
      </w:r>
    </w:p>
    <w:p w14:paraId="198D443A" w14:textId="77777777" w:rsidR="00650762" w:rsidRPr="001747A5" w:rsidRDefault="00650762" w:rsidP="00650762">
      <w:pPr>
        <w:pStyle w:val="ListParagraph"/>
        <w:numPr>
          <w:ilvl w:val="0"/>
          <w:numId w:val="43"/>
        </w:numPr>
        <w:spacing w:line="259" w:lineRule="auto"/>
        <w:jc w:val="both"/>
      </w:pPr>
      <w:r>
        <w:t>bonne maîtrise d’une ou de plusieurs autres langues de travail de l’UA (français, arabe, portugais…) ;</w:t>
      </w:r>
    </w:p>
    <w:p w14:paraId="5B7F273B" w14:textId="77777777" w:rsidR="00650762" w:rsidRDefault="00650762" w:rsidP="00650762">
      <w:pPr>
        <w:pStyle w:val="ListParagraph"/>
        <w:numPr>
          <w:ilvl w:val="0"/>
          <w:numId w:val="43"/>
        </w:numPr>
        <w:spacing w:line="259" w:lineRule="auto"/>
        <w:jc w:val="both"/>
      </w:pPr>
      <w:r>
        <w:t>bonne maîtrise du néerlandais ;</w:t>
      </w:r>
    </w:p>
    <w:p w14:paraId="4CE85D6C" w14:textId="77777777" w:rsidR="006B778E" w:rsidRPr="00BE4F08" w:rsidRDefault="006B778E" w:rsidP="006B778E">
      <w:pPr>
        <w:pStyle w:val="ListParagraph"/>
        <w:numPr>
          <w:ilvl w:val="0"/>
          <w:numId w:val="43"/>
        </w:numPr>
        <w:spacing w:line="259" w:lineRule="auto"/>
        <w:jc w:val="both"/>
      </w:pPr>
      <w:r>
        <w:t>solide expérience en matière de réglementation et bonne connaissance des systèmes, des fonctions et des principes de fiabilité réglementaires pharmaceutiques internationaux ;</w:t>
      </w:r>
    </w:p>
    <w:p w14:paraId="0954CDA8" w14:textId="77777777" w:rsidR="006B778E" w:rsidRPr="00BE4F08" w:rsidRDefault="006B778E" w:rsidP="006B778E">
      <w:pPr>
        <w:pStyle w:val="ListParagraph"/>
        <w:numPr>
          <w:ilvl w:val="0"/>
          <w:numId w:val="43"/>
        </w:numPr>
        <w:spacing w:line="259" w:lineRule="auto"/>
        <w:jc w:val="both"/>
      </w:pPr>
      <w:bookmarkStart w:id="64" w:name="_Hlk149908985"/>
      <w:r>
        <w:t>en fonction du besoin spécifique, une bonne connaissance d’une ou de plusieurs autres fonctions réglementaires clés : surveillance des essais cliniques, autorisation de mise sur le marché (AMM) et enregistrement des produits, octroi de licences aux établissements, inspections réglementaires, test de produits, surveillance après la mise sur le marché et activités de vigilance peut être exigée en sus ;</w:t>
      </w:r>
      <w:bookmarkEnd w:id="64"/>
    </w:p>
    <w:p w14:paraId="15625C35" w14:textId="77777777" w:rsidR="006B778E" w:rsidRPr="00BE4F08" w:rsidRDefault="006B778E" w:rsidP="006B778E">
      <w:pPr>
        <w:pStyle w:val="ListParagraph"/>
        <w:numPr>
          <w:ilvl w:val="0"/>
          <w:numId w:val="43"/>
        </w:numPr>
        <w:spacing w:line="259" w:lineRule="auto"/>
        <w:jc w:val="both"/>
      </w:pPr>
      <w:r>
        <w:t>bonne connaissance des BPF, des normes ISO IDMP, de la norme ISO 9004, de l’outil mondial d’analyse comparative de l’OMS (Global Benchmarking Tool - GBT) et des niveaux de maturité (ML) ;</w:t>
      </w:r>
    </w:p>
    <w:p w14:paraId="79781D3D" w14:textId="77777777" w:rsidR="006B778E" w:rsidRPr="00BE4F08" w:rsidRDefault="006B778E" w:rsidP="006B778E">
      <w:pPr>
        <w:pStyle w:val="ListParagraph"/>
        <w:numPr>
          <w:ilvl w:val="0"/>
          <w:numId w:val="43"/>
        </w:numPr>
        <w:spacing w:line="259" w:lineRule="auto"/>
        <w:jc w:val="both"/>
      </w:pPr>
      <w:r>
        <w:t>bonne connaissance de la réglementation et des activités de l’EMA ;</w:t>
      </w:r>
    </w:p>
    <w:p w14:paraId="1006B203" w14:textId="77777777" w:rsidR="006B778E" w:rsidRPr="00BE4F08" w:rsidRDefault="006B778E" w:rsidP="006B778E">
      <w:pPr>
        <w:pStyle w:val="ListParagraph"/>
        <w:numPr>
          <w:ilvl w:val="0"/>
          <w:numId w:val="43"/>
        </w:numPr>
        <w:spacing w:line="259" w:lineRule="auto"/>
        <w:jc w:val="both"/>
      </w:pPr>
      <w:r>
        <w:t>excellente connaissance des systèmes pharmaceutiques, des politiques et législations nationales en matière de médicaments, du renforcement des systèmes et du dialogue politique dans les PRFM ;</w:t>
      </w:r>
    </w:p>
    <w:p w14:paraId="6BE7D283" w14:textId="77777777" w:rsidR="006B778E" w:rsidRPr="00BE4F08" w:rsidRDefault="006B778E" w:rsidP="006B778E">
      <w:pPr>
        <w:pStyle w:val="ListParagraph"/>
        <w:numPr>
          <w:ilvl w:val="0"/>
          <w:numId w:val="43"/>
        </w:numPr>
        <w:spacing w:line="259" w:lineRule="auto"/>
        <w:jc w:val="both"/>
      </w:pPr>
      <w:r>
        <w:t>compétences en matière de renforcement des capacités organisationnelles et institutionnelles ;</w:t>
      </w:r>
    </w:p>
    <w:p w14:paraId="3783D8FC" w14:textId="77777777" w:rsidR="006B778E" w:rsidRPr="00BE4F08" w:rsidRDefault="006B778E" w:rsidP="006B778E">
      <w:pPr>
        <w:pStyle w:val="ListParagraph"/>
        <w:numPr>
          <w:ilvl w:val="0"/>
          <w:numId w:val="43"/>
        </w:numPr>
        <w:spacing w:line="259" w:lineRule="auto"/>
        <w:jc w:val="both"/>
      </w:pPr>
      <w:r>
        <w:t>capacité à utiliser les nouvelles technologies de la santé.</w:t>
      </w:r>
    </w:p>
    <w:p w14:paraId="0AD29D47" w14:textId="77777777" w:rsidR="006B778E" w:rsidRPr="001747A5" w:rsidRDefault="006B778E" w:rsidP="006B778E">
      <w:pPr>
        <w:pStyle w:val="ListParagraph"/>
        <w:spacing w:line="259" w:lineRule="auto"/>
        <w:jc w:val="both"/>
      </w:pPr>
    </w:p>
    <w:p w14:paraId="394D3EF0" w14:textId="77777777" w:rsidR="00650762" w:rsidRDefault="00650762" w:rsidP="00650762">
      <w:pPr>
        <w:pStyle w:val="ListParagraph"/>
        <w:spacing w:line="259" w:lineRule="auto"/>
        <w:jc w:val="both"/>
      </w:pPr>
    </w:p>
    <w:p w14:paraId="208827BE" w14:textId="77777777" w:rsidR="00C7795B" w:rsidRPr="001747A5" w:rsidRDefault="00C7795B" w:rsidP="00650762">
      <w:pPr>
        <w:pStyle w:val="ListParagraph"/>
        <w:spacing w:line="259" w:lineRule="auto"/>
        <w:jc w:val="both"/>
      </w:pPr>
    </w:p>
    <w:p w14:paraId="7A7231FC" w14:textId="5B972EA4" w:rsidR="00650762" w:rsidRPr="001747A5" w:rsidRDefault="00650762" w:rsidP="00650762">
      <w:pPr>
        <w:pStyle w:val="Heading5"/>
      </w:pPr>
      <w:r>
        <w:lastRenderedPageBreak/>
        <w:t>Lot 2 : Autorisation de mise sur le marché (AMM)</w:t>
      </w:r>
    </w:p>
    <w:p w14:paraId="67726919" w14:textId="00DD4728" w:rsidR="00FE6E38" w:rsidRPr="00AD683F" w:rsidRDefault="00FE6E38" w:rsidP="00FE6E38">
      <w:pPr>
        <w:rPr>
          <w:lang w:val="fr-BE"/>
        </w:rPr>
      </w:pPr>
    </w:p>
    <w:p w14:paraId="3BAD835D" w14:textId="77777777" w:rsidR="00650762" w:rsidRPr="001747A5" w:rsidRDefault="00650762" w:rsidP="00650762">
      <w:pPr>
        <w:pStyle w:val="ListParagraph"/>
        <w:numPr>
          <w:ilvl w:val="0"/>
          <w:numId w:val="43"/>
        </w:numPr>
        <w:spacing w:line="259" w:lineRule="auto"/>
        <w:jc w:val="both"/>
      </w:pPr>
      <w:r>
        <w:t>Expérience professionnelle avec des autorités réglementaires nationales/supranationales ;</w:t>
      </w:r>
    </w:p>
    <w:p w14:paraId="0A95547D" w14:textId="77777777" w:rsidR="00650762" w:rsidRPr="001747A5" w:rsidRDefault="00650762" w:rsidP="00650762">
      <w:pPr>
        <w:pStyle w:val="ListParagraph"/>
        <w:numPr>
          <w:ilvl w:val="0"/>
          <w:numId w:val="43"/>
        </w:numPr>
        <w:spacing w:line="259" w:lineRule="auto"/>
        <w:jc w:val="both"/>
      </w:pPr>
      <w:r>
        <w:t>expérience du secteur pharmaceutique privé ;</w:t>
      </w:r>
    </w:p>
    <w:p w14:paraId="1DD700C0" w14:textId="77777777" w:rsidR="00650762" w:rsidRPr="001747A5" w:rsidRDefault="00650762" w:rsidP="00650762">
      <w:pPr>
        <w:pStyle w:val="ListParagraph"/>
        <w:numPr>
          <w:ilvl w:val="0"/>
          <w:numId w:val="43"/>
        </w:numPr>
        <w:spacing w:line="259" w:lineRule="auto"/>
        <w:jc w:val="both"/>
      </w:pPr>
      <w:r>
        <w:t>familiarisation avec les activités de l’AUDA-NEPAD / de l’AMRH et le projet AMA (</w:t>
      </w:r>
      <w:proofErr w:type="spellStart"/>
      <w:r>
        <w:t>African</w:t>
      </w:r>
      <w:proofErr w:type="spellEnd"/>
      <w:r>
        <w:t xml:space="preserve"> </w:t>
      </w:r>
      <w:proofErr w:type="spellStart"/>
      <w:r>
        <w:t>Medicines</w:t>
      </w:r>
      <w:proofErr w:type="spellEnd"/>
      <w:r>
        <w:t xml:space="preserve"> Agency) ;</w:t>
      </w:r>
    </w:p>
    <w:p w14:paraId="5C448836" w14:textId="77777777" w:rsidR="00650762" w:rsidRPr="001747A5" w:rsidRDefault="00650762" w:rsidP="00650762">
      <w:pPr>
        <w:pStyle w:val="ListParagraph"/>
        <w:numPr>
          <w:ilvl w:val="0"/>
          <w:numId w:val="43"/>
        </w:numPr>
        <w:spacing w:line="259" w:lineRule="auto"/>
        <w:jc w:val="both"/>
      </w:pPr>
      <w:r>
        <w:t>expérience de travail en Afrique ;</w:t>
      </w:r>
    </w:p>
    <w:p w14:paraId="4C2A5DE0" w14:textId="77777777" w:rsidR="00650762" w:rsidRPr="001747A5" w:rsidRDefault="00650762" w:rsidP="00650762">
      <w:pPr>
        <w:pStyle w:val="ListParagraph"/>
        <w:numPr>
          <w:ilvl w:val="0"/>
          <w:numId w:val="43"/>
        </w:numPr>
        <w:spacing w:line="259" w:lineRule="auto"/>
        <w:jc w:val="both"/>
      </w:pPr>
      <w:r>
        <w:t>bonne maîtrise d’une ou de plusieurs autres langues de travail de l’UA (français, arabe, portugais…) ;</w:t>
      </w:r>
    </w:p>
    <w:p w14:paraId="1060478C" w14:textId="77777777" w:rsidR="00650762" w:rsidRDefault="00650762" w:rsidP="00650762">
      <w:pPr>
        <w:pStyle w:val="ListParagraph"/>
        <w:numPr>
          <w:ilvl w:val="0"/>
          <w:numId w:val="43"/>
        </w:numPr>
        <w:spacing w:line="259" w:lineRule="auto"/>
        <w:jc w:val="both"/>
      </w:pPr>
      <w:r>
        <w:t>bonne maîtrise du néerlandais ;</w:t>
      </w:r>
    </w:p>
    <w:p w14:paraId="52DB6AFF" w14:textId="77777777" w:rsidR="006B778E" w:rsidRDefault="006B778E" w:rsidP="006B778E">
      <w:pPr>
        <w:pStyle w:val="ListParagraph"/>
        <w:numPr>
          <w:ilvl w:val="0"/>
          <w:numId w:val="43"/>
        </w:numPr>
        <w:spacing w:line="259" w:lineRule="auto"/>
        <w:jc w:val="both"/>
      </w:pPr>
      <w:r>
        <w:t>solide expérience en matière de réglementation ;</w:t>
      </w:r>
    </w:p>
    <w:p w14:paraId="46A4A475" w14:textId="77777777" w:rsidR="006B778E" w:rsidRPr="00BE4F08" w:rsidRDefault="006B778E" w:rsidP="006B778E">
      <w:pPr>
        <w:pStyle w:val="ListParagraph"/>
        <w:numPr>
          <w:ilvl w:val="0"/>
          <w:numId w:val="43"/>
        </w:numPr>
        <w:spacing w:line="259" w:lineRule="auto"/>
        <w:jc w:val="both"/>
      </w:pPr>
      <w:r>
        <w:t>excellente connaissance des mécanismes d’AMM (en particulier, la préparation et l’examen des dossiers, le dépôt initial, le renouvellement et/ou la modification de l’AMM et l’enregistrement des produits) et des procédures et, plus globalement, des systèmes et fonctions réglementaires pharmaceutiques internationaux ;</w:t>
      </w:r>
    </w:p>
    <w:p w14:paraId="354604F4" w14:textId="77777777" w:rsidR="006B778E" w:rsidRPr="00BE4F08" w:rsidRDefault="006B778E" w:rsidP="006B778E">
      <w:pPr>
        <w:pStyle w:val="ListParagraph"/>
        <w:numPr>
          <w:ilvl w:val="0"/>
          <w:numId w:val="43"/>
        </w:numPr>
        <w:spacing w:line="259" w:lineRule="auto"/>
        <w:jc w:val="both"/>
      </w:pPr>
      <w:r>
        <w:t>en fonction du besoin spécifique, une bonne connaissance d’une ou de plusieurs autres fonctions réglementaires clés : renforcement de la réglementation, surveillance des essais cliniques, octroi de licences aux établissements, inspections réglementaires, test de produits, surveillance après la mise sur le marché et activités de vigilance peut être exigée en sus ;</w:t>
      </w:r>
    </w:p>
    <w:p w14:paraId="5A38E66C" w14:textId="77777777" w:rsidR="006B778E" w:rsidRPr="00BE4F08" w:rsidRDefault="006B778E" w:rsidP="006B778E">
      <w:pPr>
        <w:pStyle w:val="ListParagraph"/>
        <w:numPr>
          <w:ilvl w:val="0"/>
          <w:numId w:val="43"/>
        </w:numPr>
        <w:spacing w:line="259" w:lineRule="auto"/>
        <w:jc w:val="both"/>
      </w:pPr>
      <w:r>
        <w:t>bonne connaissance des BPF et des normes ISO IDMP ;</w:t>
      </w:r>
    </w:p>
    <w:p w14:paraId="53EC98A5" w14:textId="77777777" w:rsidR="006B778E" w:rsidRPr="00BE4F08" w:rsidRDefault="006B778E" w:rsidP="006B778E">
      <w:pPr>
        <w:pStyle w:val="ListParagraph"/>
        <w:numPr>
          <w:ilvl w:val="0"/>
          <w:numId w:val="43"/>
        </w:numPr>
        <w:spacing w:line="259" w:lineRule="auto"/>
        <w:jc w:val="both"/>
      </w:pPr>
      <w:r>
        <w:t>connaissance avérée des règlements de l’EMA, notamment la directive 2001/83/CE et le règlement (CE) n° 726/2004 ;</w:t>
      </w:r>
    </w:p>
    <w:p w14:paraId="2F691D16" w14:textId="43FBF7A9" w:rsidR="006B778E" w:rsidRPr="00BE4F08" w:rsidRDefault="006B778E" w:rsidP="006B778E">
      <w:pPr>
        <w:pStyle w:val="ListParagraph"/>
        <w:numPr>
          <w:ilvl w:val="0"/>
          <w:numId w:val="42"/>
        </w:numPr>
        <w:spacing w:line="259" w:lineRule="auto"/>
        <w:jc w:val="both"/>
      </w:pPr>
      <w:r>
        <w:t>bonne connaissance des procédures de l’EMA ; ASMF/EDMF, canaux de dépôt (CESP, répertoire commun) et formats (</w:t>
      </w:r>
      <w:proofErr w:type="spellStart"/>
      <w:r>
        <w:t>eCTD</w:t>
      </w:r>
      <w:proofErr w:type="spellEnd"/>
      <w:r>
        <w:t>) ;</w:t>
      </w:r>
    </w:p>
    <w:p w14:paraId="6E8D9760" w14:textId="77777777" w:rsidR="006B778E" w:rsidRPr="00BE4F08" w:rsidRDefault="006B778E" w:rsidP="006B778E">
      <w:pPr>
        <w:pStyle w:val="ListParagraph"/>
        <w:numPr>
          <w:ilvl w:val="0"/>
          <w:numId w:val="42"/>
        </w:numPr>
        <w:spacing w:line="259" w:lineRule="auto"/>
        <w:jc w:val="both"/>
      </w:pPr>
      <w:r>
        <w:t>familiarisation avec les politiques et législations nationales en matière de médicaments ;</w:t>
      </w:r>
    </w:p>
    <w:p w14:paraId="48F53B88" w14:textId="77777777" w:rsidR="006B778E" w:rsidRPr="00BE4F08" w:rsidRDefault="006B778E" w:rsidP="006B778E">
      <w:pPr>
        <w:pStyle w:val="ListParagraph"/>
        <w:numPr>
          <w:ilvl w:val="0"/>
          <w:numId w:val="42"/>
        </w:numPr>
        <w:spacing w:line="259" w:lineRule="auto"/>
        <w:jc w:val="both"/>
      </w:pPr>
      <w:r>
        <w:t>compétences en matière de renforcement des capacités organisationnelles et institutionnelles ;</w:t>
      </w:r>
    </w:p>
    <w:p w14:paraId="02F99B6A" w14:textId="77777777" w:rsidR="006B778E" w:rsidRPr="00BE4F08" w:rsidRDefault="006B778E" w:rsidP="006B778E">
      <w:pPr>
        <w:pStyle w:val="ListParagraph"/>
        <w:numPr>
          <w:ilvl w:val="0"/>
          <w:numId w:val="42"/>
        </w:numPr>
        <w:spacing w:line="259" w:lineRule="auto"/>
        <w:jc w:val="both"/>
      </w:pPr>
      <w:bookmarkStart w:id="65" w:name="_Hlk147570814"/>
      <w:r>
        <w:t>capacité à utiliser les nouvelles technologies de la santé.</w:t>
      </w:r>
      <w:bookmarkEnd w:id="65"/>
    </w:p>
    <w:p w14:paraId="3855E914" w14:textId="3CCBDE2A" w:rsidR="006B778E" w:rsidRPr="001747A5" w:rsidRDefault="006B778E" w:rsidP="006B778E">
      <w:pPr>
        <w:pStyle w:val="ListParagraph"/>
        <w:spacing w:line="259" w:lineRule="auto"/>
        <w:jc w:val="both"/>
      </w:pPr>
    </w:p>
    <w:p w14:paraId="720818D4" w14:textId="77777777" w:rsidR="00650762" w:rsidRPr="00AD683F" w:rsidRDefault="00650762" w:rsidP="00FE6E38">
      <w:pPr>
        <w:rPr>
          <w:lang w:val="fr-BE"/>
        </w:rPr>
      </w:pPr>
    </w:p>
    <w:p w14:paraId="196E5D4F" w14:textId="5BB9D495" w:rsidR="00650762" w:rsidRPr="001747A5" w:rsidRDefault="00650762" w:rsidP="00650762">
      <w:pPr>
        <w:pStyle w:val="Heading5"/>
      </w:pPr>
      <w:r>
        <w:t>Lot 3 : Propriété intellectuelle</w:t>
      </w:r>
    </w:p>
    <w:p w14:paraId="000D4DCD" w14:textId="77777777" w:rsidR="00650762" w:rsidRPr="001747A5" w:rsidRDefault="00650762" w:rsidP="00FE6E38">
      <w:pPr>
        <w:rPr>
          <w:lang w:val="en-US"/>
        </w:rPr>
      </w:pPr>
    </w:p>
    <w:p w14:paraId="2543D511" w14:textId="77777777" w:rsidR="00650762" w:rsidRPr="001747A5" w:rsidRDefault="00650762" w:rsidP="00650762">
      <w:pPr>
        <w:pStyle w:val="ListParagraph"/>
        <w:numPr>
          <w:ilvl w:val="0"/>
          <w:numId w:val="43"/>
        </w:numPr>
        <w:spacing w:line="259" w:lineRule="auto"/>
        <w:jc w:val="both"/>
      </w:pPr>
      <w:r>
        <w:t>Bonne connaissance des procédures de l’EMA, notamment ASMF/EDMF ;</w:t>
      </w:r>
    </w:p>
    <w:p w14:paraId="3651B5A2" w14:textId="77777777" w:rsidR="00650762" w:rsidRPr="001747A5" w:rsidRDefault="00650762" w:rsidP="00650762">
      <w:pPr>
        <w:pStyle w:val="ListParagraph"/>
        <w:numPr>
          <w:ilvl w:val="0"/>
          <w:numId w:val="43"/>
        </w:numPr>
        <w:spacing w:line="259" w:lineRule="auto"/>
        <w:jc w:val="both"/>
      </w:pPr>
      <w:r>
        <w:t>familiarisation avec l’AMM de médicaments et de vaccins, et avec les nouvelles technologies de la santé ;</w:t>
      </w:r>
    </w:p>
    <w:p w14:paraId="77B1D420" w14:textId="77777777" w:rsidR="00650762" w:rsidRPr="001747A5" w:rsidRDefault="00650762" w:rsidP="00650762">
      <w:pPr>
        <w:pStyle w:val="ListParagraph"/>
        <w:numPr>
          <w:ilvl w:val="0"/>
          <w:numId w:val="43"/>
        </w:numPr>
        <w:spacing w:line="259" w:lineRule="auto"/>
        <w:jc w:val="both"/>
      </w:pPr>
      <w:r>
        <w:t>familiarisation avec l’AUDA-NEPAD, l’ARIPO, l’OAPI, la PAIPO ou des bureaux nationaux de propriété intellectuelle en Afrique ;</w:t>
      </w:r>
    </w:p>
    <w:p w14:paraId="7C23CC61" w14:textId="77777777" w:rsidR="00650762" w:rsidRPr="001747A5" w:rsidRDefault="00650762" w:rsidP="00650762">
      <w:pPr>
        <w:pStyle w:val="ListParagraph"/>
        <w:numPr>
          <w:ilvl w:val="0"/>
          <w:numId w:val="43"/>
        </w:numPr>
        <w:spacing w:line="259" w:lineRule="auto"/>
        <w:jc w:val="both"/>
      </w:pPr>
      <w:r>
        <w:t>bonne maîtrise d’une ou de plusieurs autres langues de travail de l’UA (français, arabe, portugais…) ;</w:t>
      </w:r>
    </w:p>
    <w:p w14:paraId="04648FB7" w14:textId="77777777" w:rsidR="00650762" w:rsidRDefault="00650762" w:rsidP="00650762">
      <w:pPr>
        <w:pStyle w:val="ListParagraph"/>
        <w:numPr>
          <w:ilvl w:val="0"/>
          <w:numId w:val="43"/>
        </w:numPr>
        <w:spacing w:line="259" w:lineRule="auto"/>
        <w:jc w:val="both"/>
      </w:pPr>
      <w:r>
        <w:t>expérience de travail en Afrique ;</w:t>
      </w:r>
    </w:p>
    <w:p w14:paraId="1861E758" w14:textId="77777777" w:rsidR="006B778E" w:rsidRPr="00BE4F08" w:rsidRDefault="006B778E" w:rsidP="006B778E">
      <w:pPr>
        <w:pStyle w:val="ListParagraph"/>
        <w:numPr>
          <w:ilvl w:val="0"/>
          <w:numId w:val="43"/>
        </w:numPr>
        <w:spacing w:line="259" w:lineRule="auto"/>
        <w:jc w:val="both"/>
      </w:pPr>
      <w:r>
        <w:t>solide expérience en matière de réglementation et bonne connaissance des systèmes et fonctions réglementaires pharmaceutiques internationaux ;</w:t>
      </w:r>
    </w:p>
    <w:p w14:paraId="7EF4E61E" w14:textId="77777777" w:rsidR="006B778E" w:rsidRPr="00BE4F08" w:rsidRDefault="006B778E" w:rsidP="006B778E">
      <w:pPr>
        <w:pStyle w:val="ListParagraph"/>
        <w:numPr>
          <w:ilvl w:val="0"/>
          <w:numId w:val="43"/>
        </w:numPr>
        <w:spacing w:line="259" w:lineRule="auto"/>
        <w:jc w:val="both"/>
      </w:pPr>
      <w:r>
        <w:t>bonne connaissance de la réglementation sanitaire/pharmaceutique, du contexte organisationnel et institutionnel dans les pays en développement, et bonne connaissance des législations sanitaires/pharmaceutiques et des politiques nationales en matière de médicaments (en particulier dans les pays africains) ;</w:t>
      </w:r>
    </w:p>
    <w:p w14:paraId="142D1439" w14:textId="77777777" w:rsidR="006B778E" w:rsidRPr="00BE4F08" w:rsidRDefault="006B778E" w:rsidP="006B778E">
      <w:pPr>
        <w:pStyle w:val="ListParagraph"/>
        <w:numPr>
          <w:ilvl w:val="0"/>
          <w:numId w:val="43"/>
        </w:numPr>
        <w:spacing w:line="259" w:lineRule="auto"/>
        <w:jc w:val="both"/>
      </w:pPr>
      <w:r>
        <w:lastRenderedPageBreak/>
        <w:t>bonne connaissance des mécanismes et de la terminologie des procédures liées à la propriété intellectuelle (dépôt de brevet, dépôt, poursuite, liberté d’exploitation, invalidation, mise en vigueur, certificats de protection, etc.) ;</w:t>
      </w:r>
    </w:p>
    <w:p w14:paraId="206D83FC" w14:textId="77777777" w:rsidR="006B778E" w:rsidRPr="00BE4F08" w:rsidRDefault="006B778E" w:rsidP="006B778E">
      <w:pPr>
        <w:pStyle w:val="ListParagraph"/>
        <w:numPr>
          <w:ilvl w:val="0"/>
          <w:numId w:val="43"/>
        </w:numPr>
        <w:spacing w:line="259" w:lineRule="auto"/>
        <w:jc w:val="both"/>
      </w:pPr>
      <w:r>
        <w:t>excellentes connaissances et compétences en matière de négociation d’accords complexes dans le domaine des sciences de la vie et/ou de la fabrication de produits pharmaceutiques, d’identification des pratiques restrictives des accords de licence, de rédaction, d’examen et de révision des contrats (droits et obligations) relatifs à l’octroi et à la cession de licences de propriété intellectuelle ;</w:t>
      </w:r>
    </w:p>
    <w:p w14:paraId="246D13A5" w14:textId="77777777" w:rsidR="006B778E" w:rsidRPr="00BE4F08" w:rsidRDefault="006B778E" w:rsidP="006B778E">
      <w:pPr>
        <w:pStyle w:val="ListParagraph"/>
        <w:numPr>
          <w:ilvl w:val="0"/>
          <w:numId w:val="43"/>
        </w:numPr>
        <w:spacing w:line="259" w:lineRule="auto"/>
        <w:jc w:val="both"/>
      </w:pPr>
      <w:r>
        <w:t xml:space="preserve">solide expertise dans la représentation des </w:t>
      </w:r>
      <w:proofErr w:type="spellStart"/>
      <w:r>
        <w:t>consommateur·rices</w:t>
      </w:r>
      <w:proofErr w:type="spellEnd"/>
      <w:r>
        <w:t xml:space="preserve"> et des gouvernements locaux en matière de droit de la concurrence, d’affaires réglementaires ou de propriété intellectuelle et dans le recours au droit et à la politique de concurrence dans les PRFM ;</w:t>
      </w:r>
    </w:p>
    <w:p w14:paraId="07976428" w14:textId="77777777" w:rsidR="006B778E" w:rsidRPr="00BE4F08" w:rsidRDefault="006B778E" w:rsidP="006B778E">
      <w:pPr>
        <w:pStyle w:val="ListParagraph"/>
        <w:numPr>
          <w:ilvl w:val="0"/>
          <w:numId w:val="43"/>
        </w:numPr>
        <w:spacing w:line="259" w:lineRule="auto"/>
        <w:jc w:val="both"/>
      </w:pPr>
      <w:r>
        <w:t>compétences en matière de renforcement des capacités organisationnelles et institutionnelles, et capacité à contribuer à l’amélioration de l’efficacité et de l’efficience des activités et processus liés à la propriété intellectuelle ;</w:t>
      </w:r>
    </w:p>
    <w:p w14:paraId="55EA0362" w14:textId="77777777" w:rsidR="006B778E" w:rsidRPr="00BE4F08" w:rsidRDefault="006B778E" w:rsidP="006B778E">
      <w:pPr>
        <w:pStyle w:val="ListParagraph"/>
        <w:numPr>
          <w:ilvl w:val="0"/>
          <w:numId w:val="43"/>
        </w:numPr>
        <w:spacing w:line="259" w:lineRule="auto"/>
        <w:jc w:val="both"/>
      </w:pPr>
      <w:r>
        <w:t>capacités avérées en matière de plaidoyer et de dialogue au sein et entre les autorités et les institutions publiques ;</w:t>
      </w:r>
    </w:p>
    <w:p w14:paraId="0D90B0EE" w14:textId="77777777" w:rsidR="006B778E" w:rsidRDefault="006B778E" w:rsidP="006B778E">
      <w:pPr>
        <w:pStyle w:val="ListParagraph"/>
        <w:numPr>
          <w:ilvl w:val="0"/>
          <w:numId w:val="43"/>
        </w:numPr>
        <w:spacing w:line="259" w:lineRule="auto"/>
        <w:jc w:val="both"/>
      </w:pPr>
      <w:r>
        <w:t>excellentes aptitudes communicationnelles, interpersonnelles et relationnelles.</w:t>
      </w:r>
    </w:p>
    <w:p w14:paraId="481239DB" w14:textId="77777777" w:rsidR="000504DA" w:rsidRPr="00AD683F" w:rsidRDefault="000504DA" w:rsidP="00FE6E38">
      <w:pPr>
        <w:rPr>
          <w:lang w:val="fr-BE"/>
        </w:rPr>
      </w:pPr>
    </w:p>
    <w:p w14:paraId="2AEDC3BE" w14:textId="024A655A" w:rsidR="001A1F28" w:rsidRPr="001747A5" w:rsidRDefault="00495168" w:rsidP="001A1F28">
      <w:pPr>
        <w:pStyle w:val="Heading5"/>
      </w:pPr>
      <w:r>
        <w:t>Lot 4 : Contrôle de la qualité (CQ)</w:t>
      </w:r>
    </w:p>
    <w:p w14:paraId="75B43ECF" w14:textId="77777777" w:rsidR="00495168" w:rsidRPr="001747A5" w:rsidRDefault="00495168" w:rsidP="00495168"/>
    <w:p w14:paraId="750CB615" w14:textId="77777777" w:rsidR="00495168" w:rsidRPr="001747A5" w:rsidRDefault="00495168" w:rsidP="00495168">
      <w:pPr>
        <w:pStyle w:val="ListParagraph"/>
        <w:numPr>
          <w:ilvl w:val="0"/>
          <w:numId w:val="43"/>
        </w:numPr>
        <w:spacing w:line="259" w:lineRule="auto"/>
        <w:jc w:val="both"/>
      </w:pPr>
      <w:r>
        <w:t>Expérience professionnelle dans le domaine de la transmission des connaissances ;</w:t>
      </w:r>
    </w:p>
    <w:p w14:paraId="03B23958" w14:textId="77777777" w:rsidR="00495168" w:rsidRPr="001747A5" w:rsidRDefault="00495168" w:rsidP="00495168">
      <w:pPr>
        <w:pStyle w:val="ListParagraph"/>
        <w:numPr>
          <w:ilvl w:val="0"/>
          <w:numId w:val="43"/>
        </w:numPr>
        <w:spacing w:line="259" w:lineRule="auto"/>
        <w:jc w:val="both"/>
      </w:pPr>
      <w:r>
        <w:t>familiarisation avec les activités de l’AUDA-NEPAD / de l’AMRH et le projet AMA (</w:t>
      </w:r>
      <w:proofErr w:type="spellStart"/>
      <w:r>
        <w:t>African</w:t>
      </w:r>
      <w:proofErr w:type="spellEnd"/>
      <w:r>
        <w:t xml:space="preserve"> </w:t>
      </w:r>
      <w:proofErr w:type="spellStart"/>
      <w:r>
        <w:t>Medicines</w:t>
      </w:r>
      <w:proofErr w:type="spellEnd"/>
      <w:r>
        <w:t xml:space="preserve"> Agency) ;</w:t>
      </w:r>
    </w:p>
    <w:p w14:paraId="674EA63B" w14:textId="77777777" w:rsidR="00495168" w:rsidRPr="001747A5" w:rsidRDefault="00495168" w:rsidP="00495168">
      <w:pPr>
        <w:pStyle w:val="ListParagraph"/>
        <w:numPr>
          <w:ilvl w:val="0"/>
          <w:numId w:val="43"/>
        </w:numPr>
        <w:spacing w:line="259" w:lineRule="auto"/>
        <w:jc w:val="both"/>
      </w:pPr>
      <w:bookmarkStart w:id="66" w:name="_Hlk149913535"/>
      <w:r>
        <w:t xml:space="preserve">bonne maîtrise d’une ou de plusieurs </w:t>
      </w:r>
      <w:bookmarkStart w:id="67" w:name="_Hlk149912658"/>
      <w:r>
        <w:t>autres langues de travail de l’UA (français, arabe, portugais…)</w:t>
      </w:r>
      <w:bookmarkEnd w:id="67"/>
      <w:r>
        <w:t> ;</w:t>
      </w:r>
      <w:bookmarkEnd w:id="66"/>
    </w:p>
    <w:p w14:paraId="4F4C074A" w14:textId="4CE70FF6" w:rsidR="00495168" w:rsidRDefault="00495168" w:rsidP="00495168">
      <w:pPr>
        <w:pStyle w:val="ListParagraph"/>
        <w:numPr>
          <w:ilvl w:val="0"/>
          <w:numId w:val="43"/>
        </w:numPr>
        <w:spacing w:line="259" w:lineRule="auto"/>
        <w:jc w:val="both"/>
      </w:pPr>
      <w:r>
        <w:t>expérience de travail en Afrique ;</w:t>
      </w:r>
    </w:p>
    <w:p w14:paraId="4BBF1054" w14:textId="77777777" w:rsidR="006B778E" w:rsidRPr="00BE4F08" w:rsidRDefault="006B778E" w:rsidP="006B778E">
      <w:pPr>
        <w:pStyle w:val="ListParagraph"/>
        <w:numPr>
          <w:ilvl w:val="0"/>
          <w:numId w:val="43"/>
        </w:numPr>
        <w:spacing w:line="259" w:lineRule="auto"/>
        <w:jc w:val="both"/>
      </w:pPr>
      <w:r>
        <w:t>solide expérience en CQ et bonne connaissance des systèmes et fonctions internationaux de CQ pharmaceutique ;</w:t>
      </w:r>
    </w:p>
    <w:p w14:paraId="7BE2515C" w14:textId="77777777" w:rsidR="006B778E" w:rsidRPr="00BE4F08" w:rsidRDefault="006B778E" w:rsidP="006B778E">
      <w:pPr>
        <w:pStyle w:val="ListParagraph"/>
        <w:numPr>
          <w:ilvl w:val="0"/>
          <w:numId w:val="43"/>
        </w:numPr>
        <w:spacing w:line="259" w:lineRule="auto"/>
        <w:jc w:val="both"/>
      </w:pPr>
      <w:r>
        <w:t>excellente connaissance de la planification et l’organisation de projets et activités de CQ, et gestion et contrôle de l’équipement et des ressources techniques/financières ;</w:t>
      </w:r>
    </w:p>
    <w:p w14:paraId="34583760" w14:textId="77777777" w:rsidR="006B778E" w:rsidRPr="00BE4F08" w:rsidRDefault="006B778E" w:rsidP="006B778E">
      <w:pPr>
        <w:pStyle w:val="ListParagraph"/>
        <w:numPr>
          <w:ilvl w:val="0"/>
          <w:numId w:val="43"/>
        </w:numPr>
        <w:spacing w:line="259" w:lineRule="auto"/>
        <w:jc w:val="both"/>
      </w:pPr>
      <w:r>
        <w:t>connaissance approfondie de la norme ISO9001/du MQAS de l’OMS pour les agences d’approvisionnement en produits pharmaceutiques : exigences générales, préqualification, achats, réception et stockage, distribution et réévaluation ;</w:t>
      </w:r>
    </w:p>
    <w:p w14:paraId="37512894" w14:textId="77777777" w:rsidR="006B778E" w:rsidRPr="00BE4F08" w:rsidRDefault="006B778E" w:rsidP="006B778E">
      <w:pPr>
        <w:pStyle w:val="ListParagraph"/>
        <w:numPr>
          <w:ilvl w:val="0"/>
          <w:numId w:val="43"/>
        </w:numPr>
        <w:spacing w:line="259" w:lineRule="auto"/>
        <w:jc w:val="both"/>
      </w:pPr>
      <w:r>
        <w:t>bonne connaissance des autres référentiels, outils et normes de qualité liés à l’industrie pharmaceutique et à la distribution (BPF, BPD, QHSE, etc.) ;</w:t>
      </w:r>
    </w:p>
    <w:p w14:paraId="3F8E9347" w14:textId="77777777" w:rsidR="006B778E" w:rsidRPr="00BE4F08" w:rsidRDefault="006B778E" w:rsidP="006B778E">
      <w:pPr>
        <w:pStyle w:val="ListParagraph"/>
        <w:numPr>
          <w:ilvl w:val="0"/>
          <w:numId w:val="43"/>
        </w:numPr>
        <w:spacing w:line="259" w:lineRule="auto"/>
        <w:jc w:val="both"/>
      </w:pPr>
      <w:r>
        <w:t>très bonne connaissance des contrôles de la qualité à effectuer, de l’efficacité, de la mesure des résultats, des indicateurs de performance, des revues annuelles, de la résolution des problèmes et des plans d’amélioration continue ;</w:t>
      </w:r>
    </w:p>
    <w:p w14:paraId="5BB4D8A4" w14:textId="77777777" w:rsidR="006B778E" w:rsidRPr="00BE4F08" w:rsidRDefault="006B778E" w:rsidP="006B778E">
      <w:pPr>
        <w:pStyle w:val="ListParagraph"/>
        <w:numPr>
          <w:ilvl w:val="0"/>
          <w:numId w:val="43"/>
        </w:numPr>
        <w:spacing w:line="259" w:lineRule="auto"/>
        <w:jc w:val="both"/>
      </w:pPr>
      <w:r>
        <w:t>familiarisation avec les systèmes nationaux africains d’achat, de stockage et de distribution de médicaments, et avec le fonctionnement des agences nationales d’approvisionnement en médicaments essentiels ;</w:t>
      </w:r>
    </w:p>
    <w:p w14:paraId="43E80137" w14:textId="77777777" w:rsidR="006B778E" w:rsidRPr="00BE4F08" w:rsidRDefault="006B778E" w:rsidP="006B778E">
      <w:pPr>
        <w:pStyle w:val="ListParagraph"/>
        <w:numPr>
          <w:ilvl w:val="0"/>
          <w:numId w:val="43"/>
        </w:numPr>
        <w:spacing w:line="259" w:lineRule="auto"/>
        <w:jc w:val="both"/>
      </w:pPr>
      <w:r>
        <w:t>aptitudes à la gestion de projet et réflexion stratégique ;</w:t>
      </w:r>
    </w:p>
    <w:p w14:paraId="36837B90" w14:textId="77777777" w:rsidR="006B778E" w:rsidRPr="00BE4F08" w:rsidRDefault="006B778E" w:rsidP="006B778E">
      <w:pPr>
        <w:pStyle w:val="ListParagraph"/>
        <w:numPr>
          <w:ilvl w:val="0"/>
          <w:numId w:val="43"/>
        </w:numPr>
        <w:spacing w:line="259" w:lineRule="auto"/>
        <w:jc w:val="both"/>
      </w:pPr>
      <w:r>
        <w:t>grande capacité d’adaptation à des contextes éducatifs et culturels divers ;</w:t>
      </w:r>
    </w:p>
    <w:p w14:paraId="6D282252" w14:textId="77777777" w:rsidR="006B778E" w:rsidRPr="00BE4F08" w:rsidRDefault="006B778E" w:rsidP="006B778E">
      <w:pPr>
        <w:pStyle w:val="ListParagraph"/>
        <w:numPr>
          <w:ilvl w:val="0"/>
          <w:numId w:val="43"/>
        </w:numPr>
        <w:spacing w:line="259" w:lineRule="auto"/>
        <w:jc w:val="both"/>
      </w:pPr>
      <w:r>
        <w:t>bonne capacité à fixer des priorités, à respecter les délais et à faire preuve d’autonomie ;</w:t>
      </w:r>
    </w:p>
    <w:p w14:paraId="37B989EB" w14:textId="77777777" w:rsidR="006B778E" w:rsidRPr="00BE4F08" w:rsidRDefault="006B778E" w:rsidP="006B778E">
      <w:pPr>
        <w:pStyle w:val="ListParagraph"/>
        <w:numPr>
          <w:ilvl w:val="0"/>
          <w:numId w:val="43"/>
        </w:numPr>
        <w:spacing w:line="259" w:lineRule="auto"/>
        <w:jc w:val="both"/>
      </w:pPr>
      <w:r>
        <w:t>solides capacités en termes d’organisation, de gestion de données, d’analyse et de résolution des problèmes ;</w:t>
      </w:r>
    </w:p>
    <w:p w14:paraId="63ECC606" w14:textId="77777777" w:rsidR="006B778E" w:rsidRDefault="006B778E" w:rsidP="006B778E">
      <w:pPr>
        <w:pStyle w:val="ListParagraph"/>
        <w:numPr>
          <w:ilvl w:val="0"/>
          <w:numId w:val="43"/>
        </w:numPr>
        <w:spacing w:line="259" w:lineRule="auto"/>
        <w:jc w:val="both"/>
      </w:pPr>
      <w:r>
        <w:t>excellentes aptitudes communicationnelles, interpersonnelles et relationnelles.</w:t>
      </w:r>
    </w:p>
    <w:p w14:paraId="568E44AF" w14:textId="77777777" w:rsidR="001A1F28" w:rsidRPr="00AD683F" w:rsidRDefault="001A1F28" w:rsidP="00FE6E38">
      <w:pPr>
        <w:rPr>
          <w:lang w:val="fr-BE"/>
        </w:rPr>
      </w:pPr>
    </w:p>
    <w:p w14:paraId="18B7657E" w14:textId="13C59A72" w:rsidR="001A1F28" w:rsidRPr="001747A5" w:rsidRDefault="00495168" w:rsidP="001A1F28">
      <w:pPr>
        <w:pStyle w:val="Heading5"/>
      </w:pPr>
      <w:r>
        <w:lastRenderedPageBreak/>
        <w:t>Lot 5 : Pharmacovigilance (PV) et sécurité des médicaments/vaccins</w:t>
      </w:r>
    </w:p>
    <w:p w14:paraId="33ABB9E5" w14:textId="77777777" w:rsidR="00495168" w:rsidRPr="001747A5" w:rsidRDefault="00495168" w:rsidP="00495168"/>
    <w:p w14:paraId="704EF8B7" w14:textId="77777777" w:rsidR="00495168" w:rsidRPr="001747A5" w:rsidRDefault="00495168" w:rsidP="00495168">
      <w:pPr>
        <w:pStyle w:val="ListParagraph"/>
        <w:numPr>
          <w:ilvl w:val="0"/>
          <w:numId w:val="43"/>
        </w:numPr>
        <w:spacing w:line="259" w:lineRule="auto"/>
        <w:jc w:val="both"/>
      </w:pPr>
      <w:r>
        <w:t xml:space="preserve">Formation professionnelle dans le domaine des essais cliniques (p. ex., </w:t>
      </w:r>
      <w:proofErr w:type="spellStart"/>
      <w:r>
        <w:t>attaché·e</w:t>
      </w:r>
      <w:proofErr w:type="spellEnd"/>
      <w:r>
        <w:t xml:space="preserve"> de recherche clinique ou ARC) ;</w:t>
      </w:r>
    </w:p>
    <w:p w14:paraId="20A870AE" w14:textId="77777777" w:rsidR="00495168" w:rsidRPr="001747A5" w:rsidRDefault="00495168" w:rsidP="00495168">
      <w:pPr>
        <w:pStyle w:val="ListParagraph"/>
        <w:numPr>
          <w:ilvl w:val="0"/>
          <w:numId w:val="43"/>
        </w:numPr>
        <w:spacing w:line="259" w:lineRule="auto"/>
        <w:jc w:val="both"/>
      </w:pPr>
      <w:r>
        <w:t>familiarisation avec les essais cliniques au sein des industries pharmaceutiques ou des organismes de recherche clinique (ORC) ;</w:t>
      </w:r>
    </w:p>
    <w:p w14:paraId="78F781C6" w14:textId="77777777" w:rsidR="00495168" w:rsidRPr="001747A5" w:rsidRDefault="00495168" w:rsidP="00495168">
      <w:pPr>
        <w:pStyle w:val="ListParagraph"/>
        <w:numPr>
          <w:ilvl w:val="0"/>
          <w:numId w:val="43"/>
        </w:numPr>
        <w:spacing w:line="259" w:lineRule="auto"/>
        <w:jc w:val="both"/>
      </w:pPr>
      <w:r>
        <w:t>expérience de travail en Afrique ;</w:t>
      </w:r>
    </w:p>
    <w:p w14:paraId="4A3A7C78"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7C4FB3F3" w14:textId="2EDF7676" w:rsidR="001A1F28" w:rsidRPr="00B95B66" w:rsidRDefault="00495168" w:rsidP="00C65A1F">
      <w:pPr>
        <w:pStyle w:val="ListParagraph"/>
        <w:numPr>
          <w:ilvl w:val="0"/>
          <w:numId w:val="43"/>
        </w:numPr>
        <w:spacing w:line="259" w:lineRule="auto"/>
        <w:jc w:val="both"/>
      </w:pPr>
      <w:r>
        <w:t>bonne maîtrise du néerlandais ;</w:t>
      </w:r>
    </w:p>
    <w:p w14:paraId="18721E55" w14:textId="77777777" w:rsidR="00B95B66" w:rsidRPr="00BE4F08" w:rsidRDefault="00B95B66" w:rsidP="00B95B66">
      <w:pPr>
        <w:pStyle w:val="ListParagraph"/>
        <w:numPr>
          <w:ilvl w:val="0"/>
          <w:numId w:val="43"/>
        </w:numPr>
        <w:spacing w:line="259" w:lineRule="auto"/>
        <w:jc w:val="both"/>
      </w:pPr>
      <w:r>
        <w:t>solide expérience en matière de vigilance et de réglementation ;</w:t>
      </w:r>
    </w:p>
    <w:p w14:paraId="6D02742C" w14:textId="77777777" w:rsidR="00B95B66" w:rsidRPr="00BE4F08" w:rsidRDefault="00B95B66" w:rsidP="00B95B66">
      <w:pPr>
        <w:pStyle w:val="ListParagraph"/>
        <w:numPr>
          <w:ilvl w:val="0"/>
          <w:numId w:val="43"/>
        </w:numPr>
        <w:spacing w:line="259" w:lineRule="auto"/>
        <w:jc w:val="both"/>
      </w:pPr>
      <w:r>
        <w:t>bonne connaissance des principaux principes et notions de PV : vigilance avant et après la mise sur le marché, méthode d’imputabilité, détection et évaluation des signes B/R, plans de gestion des risques et rapports périodiques ;</w:t>
      </w:r>
    </w:p>
    <w:p w14:paraId="122FBF43" w14:textId="77777777" w:rsidR="00B95B66" w:rsidRPr="00BE4F08" w:rsidRDefault="00B95B66" w:rsidP="00B95B66">
      <w:pPr>
        <w:pStyle w:val="ListParagraph"/>
        <w:numPr>
          <w:ilvl w:val="0"/>
          <w:numId w:val="43"/>
        </w:numPr>
        <w:spacing w:line="259" w:lineRule="auto"/>
        <w:jc w:val="both"/>
      </w:pPr>
      <w:r>
        <w:t>connaissance approfondie/experte de la réglementation relative à la PV, des référentiels, des acteurs, des bases de données, des processus, du codage, des activités, des procédures et exigences en matière de rapports sur les effets indésirables, des canaux de communication et des systèmes de gestion de la qualité dans le domaine de la PV ;</w:t>
      </w:r>
    </w:p>
    <w:p w14:paraId="4CC929CE" w14:textId="77777777" w:rsidR="00B95B66" w:rsidRPr="00BE4F08" w:rsidRDefault="00B95B66" w:rsidP="00B95B66">
      <w:pPr>
        <w:pStyle w:val="ListParagraph"/>
        <w:numPr>
          <w:ilvl w:val="0"/>
          <w:numId w:val="43"/>
        </w:numPr>
        <w:spacing w:line="259" w:lineRule="auto"/>
        <w:jc w:val="both"/>
      </w:pPr>
      <w:r>
        <w:t xml:space="preserve">bonne connaissance des BPP et familiarisation avec les institutions, exigences et la terminologie en matière de PV (ICSR, ICH, </w:t>
      </w:r>
      <w:proofErr w:type="spellStart"/>
      <w:r>
        <w:t>MedDRA</w:t>
      </w:r>
      <w:proofErr w:type="spellEnd"/>
      <w:r>
        <w:t xml:space="preserve">, initiatives CIOMS, etc.) ; </w:t>
      </w:r>
    </w:p>
    <w:p w14:paraId="5C55B414" w14:textId="77777777" w:rsidR="00B95B66" w:rsidRPr="00BE4F08" w:rsidRDefault="00B95B66" w:rsidP="00B95B66">
      <w:pPr>
        <w:pStyle w:val="ListParagraph"/>
        <w:numPr>
          <w:ilvl w:val="0"/>
          <w:numId w:val="43"/>
        </w:numPr>
        <w:spacing w:line="259" w:lineRule="auto"/>
        <w:jc w:val="both"/>
      </w:pPr>
      <w:r>
        <w:t>expérience en matière d’audits de PV et/ou d’inspections de PV par l’autorité compétente en santé ;</w:t>
      </w:r>
    </w:p>
    <w:p w14:paraId="5EEA40D9" w14:textId="77777777" w:rsidR="00B95B66" w:rsidRPr="00BE4F08" w:rsidRDefault="00B95B66" w:rsidP="00B95B66">
      <w:pPr>
        <w:pStyle w:val="ListParagraph"/>
        <w:numPr>
          <w:ilvl w:val="0"/>
          <w:numId w:val="43"/>
        </w:numPr>
        <w:spacing w:line="259" w:lineRule="auto"/>
        <w:jc w:val="both"/>
      </w:pPr>
      <w:r>
        <w:t>en fonction du besoin spécifique, une bonne connaissance d’une ou de plusieurs autres fonctions réglementaires clés : surveillance des essais cliniques, autorisation de mise sur le marché (AMM) et enregistrement des produits, octroi de licences aux établissements, inspections réglementaires et tests de produits peut être exigée en sus ;</w:t>
      </w:r>
    </w:p>
    <w:p w14:paraId="5BC6C003" w14:textId="77777777" w:rsidR="00B95B66" w:rsidRPr="00BE4F08" w:rsidRDefault="00B95B66" w:rsidP="00B95B66">
      <w:pPr>
        <w:pStyle w:val="ListParagraph"/>
        <w:numPr>
          <w:ilvl w:val="0"/>
          <w:numId w:val="43"/>
        </w:numPr>
        <w:spacing w:line="259" w:lineRule="auto"/>
        <w:jc w:val="both"/>
      </w:pPr>
      <w:r>
        <w:t>bonne connaissance du développement des médicaments et des essais cliniques de produits pharmaceutiques et de vaccins, ainsi que des bonnes pratiques cliniques (BPC) ;</w:t>
      </w:r>
    </w:p>
    <w:p w14:paraId="72C1249A" w14:textId="77777777" w:rsidR="00B95B66" w:rsidRPr="00BE4F08" w:rsidRDefault="00B95B66" w:rsidP="00B95B66">
      <w:pPr>
        <w:pStyle w:val="ListParagraph"/>
        <w:numPr>
          <w:ilvl w:val="0"/>
          <w:numId w:val="43"/>
        </w:numPr>
        <w:spacing w:line="259" w:lineRule="auto"/>
        <w:jc w:val="both"/>
      </w:pPr>
      <w:r>
        <w:t>connaissance avérée des règlements et procédures de l’EMA et des directives européennes pertinentes ;</w:t>
      </w:r>
    </w:p>
    <w:p w14:paraId="76A62F43" w14:textId="77777777" w:rsidR="00B95B66" w:rsidRPr="00BE4F08" w:rsidRDefault="00B95B66" w:rsidP="00B95B66">
      <w:pPr>
        <w:pStyle w:val="ListParagraph"/>
        <w:numPr>
          <w:ilvl w:val="0"/>
          <w:numId w:val="43"/>
        </w:numPr>
        <w:spacing w:line="259" w:lineRule="auto"/>
        <w:jc w:val="both"/>
      </w:pPr>
      <w:r>
        <w:t>compétences en matière de renforcement des capacités organisationnelles et institutionnelles ;</w:t>
      </w:r>
    </w:p>
    <w:p w14:paraId="60701F57" w14:textId="77777777" w:rsidR="00B95B66" w:rsidRPr="00BE4F08" w:rsidRDefault="00B95B66" w:rsidP="00B95B66">
      <w:pPr>
        <w:pStyle w:val="ListParagraph"/>
        <w:numPr>
          <w:ilvl w:val="0"/>
          <w:numId w:val="43"/>
        </w:numPr>
        <w:spacing w:line="259" w:lineRule="auto"/>
        <w:jc w:val="both"/>
      </w:pPr>
      <w:r>
        <w:t>capacité à utiliser les nouvelles technologies de la santé.</w:t>
      </w:r>
    </w:p>
    <w:p w14:paraId="4AF79DEB" w14:textId="77777777" w:rsidR="00B95B66" w:rsidRPr="00AD683F" w:rsidRDefault="00B95B66" w:rsidP="00B95B66">
      <w:pPr>
        <w:pStyle w:val="ListParagraph"/>
        <w:spacing w:line="259" w:lineRule="auto"/>
        <w:jc w:val="both"/>
        <w:rPr>
          <w:lang w:val="fr-BE"/>
        </w:rPr>
      </w:pPr>
    </w:p>
    <w:p w14:paraId="589D9936" w14:textId="72D4D185" w:rsidR="001A1F28" w:rsidRPr="001747A5" w:rsidRDefault="00495168" w:rsidP="001A1F28">
      <w:pPr>
        <w:pStyle w:val="Heading5"/>
      </w:pPr>
      <w:r>
        <w:t xml:space="preserve">Lot 6 : Transfert technologique  </w:t>
      </w:r>
    </w:p>
    <w:p w14:paraId="10527479" w14:textId="77777777" w:rsidR="001A1F28" w:rsidRPr="001747A5" w:rsidRDefault="001A1F28" w:rsidP="001A1F28"/>
    <w:p w14:paraId="1C8EE42D" w14:textId="77777777" w:rsidR="00495168" w:rsidRPr="001747A5" w:rsidRDefault="00495168" w:rsidP="00495168">
      <w:pPr>
        <w:pStyle w:val="ListParagraph"/>
        <w:numPr>
          <w:ilvl w:val="0"/>
          <w:numId w:val="43"/>
        </w:numPr>
        <w:spacing w:line="259" w:lineRule="auto"/>
        <w:jc w:val="both"/>
      </w:pPr>
      <w:r>
        <w:t>Expérience dans la R&amp;D, l’assurance qualité ou la production de médicaments, de vaccins ou de produits de santé dans le secteur privé ou universitaire (de préférence, dans les PRFM) ;</w:t>
      </w:r>
    </w:p>
    <w:p w14:paraId="30D46213" w14:textId="77777777" w:rsidR="00495168" w:rsidRPr="001747A5" w:rsidRDefault="00495168" w:rsidP="00495168">
      <w:pPr>
        <w:pStyle w:val="ListParagraph"/>
        <w:numPr>
          <w:ilvl w:val="0"/>
          <w:numId w:val="43"/>
        </w:numPr>
        <w:spacing w:line="259" w:lineRule="auto"/>
        <w:jc w:val="both"/>
      </w:pPr>
      <w:r>
        <w:t>connaissance des règles de financement européennes et expérience dans des projets ou programmes financés par l’Union européenne ;</w:t>
      </w:r>
    </w:p>
    <w:p w14:paraId="5EC33091" w14:textId="77777777" w:rsidR="00495168" w:rsidRPr="001747A5" w:rsidRDefault="00495168" w:rsidP="00495168">
      <w:pPr>
        <w:pStyle w:val="ListParagraph"/>
        <w:numPr>
          <w:ilvl w:val="0"/>
          <w:numId w:val="43"/>
        </w:numPr>
        <w:spacing w:line="259" w:lineRule="auto"/>
        <w:jc w:val="both"/>
      </w:pPr>
      <w:r>
        <w:t>connaissances avancées en statistiques ;</w:t>
      </w:r>
    </w:p>
    <w:p w14:paraId="012B1753" w14:textId="77777777" w:rsidR="00495168" w:rsidRPr="001747A5" w:rsidRDefault="00495168" w:rsidP="00495168">
      <w:pPr>
        <w:pStyle w:val="ListParagraph"/>
        <w:numPr>
          <w:ilvl w:val="0"/>
          <w:numId w:val="43"/>
        </w:numPr>
        <w:spacing w:line="259" w:lineRule="auto"/>
        <w:jc w:val="both"/>
      </w:pPr>
      <w:r>
        <w:t>familiarisation avec les projets de l’industrie pharmaceutique dans les PRFM (en particulier, en Afrique) ;</w:t>
      </w:r>
    </w:p>
    <w:p w14:paraId="6D2A8D29"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14765F13" w14:textId="4C379BCD" w:rsidR="00495168" w:rsidRDefault="00495168" w:rsidP="00495168">
      <w:pPr>
        <w:pStyle w:val="ListParagraph"/>
        <w:numPr>
          <w:ilvl w:val="0"/>
          <w:numId w:val="43"/>
        </w:numPr>
        <w:spacing w:line="259" w:lineRule="auto"/>
        <w:jc w:val="both"/>
      </w:pPr>
      <w:r>
        <w:t>expérience de travail en Afrique/dans les PRFM ;</w:t>
      </w:r>
    </w:p>
    <w:p w14:paraId="136253CA" w14:textId="77777777" w:rsidR="00B95B66" w:rsidRPr="00BE4F08" w:rsidRDefault="00B95B66" w:rsidP="00B95B66">
      <w:pPr>
        <w:pStyle w:val="ListParagraph"/>
        <w:numPr>
          <w:ilvl w:val="0"/>
          <w:numId w:val="43"/>
        </w:numPr>
        <w:spacing w:line="259" w:lineRule="auto"/>
        <w:jc w:val="both"/>
      </w:pPr>
      <w:r>
        <w:lastRenderedPageBreak/>
        <w:t>solide expérience en matière de transfert de technologies/processus dans l’industrie pharmaceutique, des vaccins, des réactifs/kits de diagnostic en laboratoire et/ou des IPA ;</w:t>
      </w:r>
    </w:p>
    <w:p w14:paraId="3E351A2A" w14:textId="77777777" w:rsidR="00B95B66" w:rsidRPr="00BE4F08" w:rsidRDefault="00B95B66" w:rsidP="00B95B66">
      <w:pPr>
        <w:pStyle w:val="ListParagraph"/>
        <w:numPr>
          <w:ilvl w:val="0"/>
          <w:numId w:val="43"/>
        </w:numPr>
        <w:spacing w:line="259" w:lineRule="auto"/>
        <w:jc w:val="both"/>
      </w:pPr>
      <w:bookmarkStart w:id="68" w:name="_Hlk148687102"/>
      <w:r>
        <w:t xml:space="preserve">bonne compréhension des approches industrielles en matière de mise à l’échelle, des lignes directrices et des protocoles de transfert de technologies, et de l’application des principes </w:t>
      </w:r>
      <w:proofErr w:type="spellStart"/>
      <w:r>
        <w:t>QbD</w:t>
      </w:r>
      <w:proofErr w:type="spellEnd"/>
      <w:r>
        <w:t xml:space="preserve"> au cours de la mise au point du processus ;</w:t>
      </w:r>
    </w:p>
    <w:p w14:paraId="1639966D" w14:textId="77777777" w:rsidR="00B95B66" w:rsidRPr="00BE4F08" w:rsidRDefault="00B95B66" w:rsidP="00B95B66">
      <w:pPr>
        <w:pStyle w:val="ListParagraph"/>
        <w:numPr>
          <w:ilvl w:val="0"/>
          <w:numId w:val="43"/>
        </w:numPr>
        <w:spacing w:line="259" w:lineRule="auto"/>
        <w:jc w:val="both"/>
      </w:pPr>
      <w:r>
        <w:t>bonnes connaissances en matière de réglementation, de planification et d’exécution, ainsi que des conseils sur la manière de réaliser des transferts de technologies ;</w:t>
      </w:r>
    </w:p>
    <w:p w14:paraId="3A4C8CEB" w14:textId="77777777" w:rsidR="00B95B66" w:rsidRPr="00BE4F08" w:rsidRDefault="00B95B66" w:rsidP="00B95B66">
      <w:pPr>
        <w:pStyle w:val="ListParagraph"/>
        <w:numPr>
          <w:ilvl w:val="0"/>
          <w:numId w:val="43"/>
        </w:numPr>
        <w:spacing w:line="259" w:lineRule="auto"/>
        <w:jc w:val="both"/>
      </w:pPr>
      <w:r>
        <w:t>connaissance théorique et pratique avérée des meilleures pratiques en matière de mise à l’échelle des procédés de fabrication de doses solides ;</w:t>
      </w:r>
    </w:p>
    <w:p w14:paraId="25C6EB7D" w14:textId="77777777" w:rsidR="00B95B66" w:rsidRPr="00BE4F08" w:rsidRDefault="00B95B66" w:rsidP="00B95B66">
      <w:pPr>
        <w:pStyle w:val="ListParagraph"/>
        <w:numPr>
          <w:ilvl w:val="0"/>
          <w:numId w:val="43"/>
        </w:numPr>
        <w:spacing w:line="259" w:lineRule="auto"/>
        <w:jc w:val="both"/>
      </w:pPr>
      <w:r>
        <w:t>bonne connaissance des principes, des notions et de la terminologie du transfert de technologies dans l’industrie pharmaceutique : mise à l’échelle des procédés de granulation et de compaction, validation des procédés, nouvelles directives et exigences (ICH Q9/10/11, FDA, OMS, ISPE, etc.), étape de conception des procédés (élément clé pour la qualité des produits et des procédés, qualification des performances des procédés), vérification continue des procédés, évaluation des risques liés aux procédés, paramètres critiques des procédés, attributs critiques de qualité, contrôle des changements pour les produits de santé, etc. ;</w:t>
      </w:r>
    </w:p>
    <w:p w14:paraId="5B44E543" w14:textId="77777777" w:rsidR="00B95B66" w:rsidRPr="00BE4F08" w:rsidRDefault="00B95B66" w:rsidP="00B95B66">
      <w:pPr>
        <w:pStyle w:val="ListParagraph"/>
        <w:numPr>
          <w:ilvl w:val="0"/>
          <w:numId w:val="43"/>
        </w:numPr>
        <w:spacing w:line="259" w:lineRule="auto"/>
        <w:jc w:val="both"/>
      </w:pPr>
      <w:r>
        <w:t>expérience des étapes du transfert de technologies : identification des points de contrôle critiques, conception expérimentale et critères d’acceptation des méthodes d’analyse, informations sur les lots de production d’essai, lots de qualification, validation du processus, contrôle des changements en cas de déviation potentielle du processus, évaluation du produit final, modalités de conservation d’échantillons d’ingrédients actifs, de produits intermédiaires et de produits finis ;</w:t>
      </w:r>
    </w:p>
    <w:p w14:paraId="7D1C26C9" w14:textId="77777777" w:rsidR="00B95B66" w:rsidRPr="00BE4F08" w:rsidRDefault="00B95B66" w:rsidP="00B95B66">
      <w:pPr>
        <w:pStyle w:val="ListParagraph"/>
        <w:numPr>
          <w:ilvl w:val="0"/>
          <w:numId w:val="43"/>
        </w:numPr>
        <w:spacing w:line="259" w:lineRule="auto"/>
        <w:jc w:val="both"/>
      </w:pPr>
      <w:r>
        <w:t xml:space="preserve">bonne connaissance des processus de fabrication et des principes de validation conformément au </w:t>
      </w:r>
      <w:proofErr w:type="spellStart"/>
      <w:r>
        <w:t>cGMP</w:t>
      </w:r>
      <w:proofErr w:type="spellEnd"/>
      <w:r>
        <w:t> ;</w:t>
      </w:r>
      <w:bookmarkEnd w:id="68"/>
    </w:p>
    <w:p w14:paraId="3C08D8FE" w14:textId="77777777" w:rsidR="00B95B66" w:rsidRPr="00BE4F08" w:rsidRDefault="00B95B66" w:rsidP="00B95B66">
      <w:pPr>
        <w:pStyle w:val="ListParagraph"/>
        <w:numPr>
          <w:ilvl w:val="0"/>
          <w:numId w:val="43"/>
        </w:numPr>
        <w:spacing w:line="259" w:lineRule="auto"/>
        <w:jc w:val="both"/>
      </w:pPr>
      <w:r>
        <w:t>familiarisation avec la promotion d’un réseau d’instances régionales pour aider au transfert de technologies ;</w:t>
      </w:r>
    </w:p>
    <w:p w14:paraId="3A79585F" w14:textId="77777777" w:rsidR="00B95B66" w:rsidRPr="00BE4F08" w:rsidRDefault="00B95B66" w:rsidP="00B95B66">
      <w:pPr>
        <w:pStyle w:val="ListParagraph"/>
        <w:numPr>
          <w:ilvl w:val="0"/>
          <w:numId w:val="43"/>
        </w:numPr>
        <w:spacing w:line="259" w:lineRule="auto"/>
        <w:jc w:val="both"/>
      </w:pPr>
      <w:r>
        <w:t>bonnes connaissances en statistiques (un minimum est obligatoire) ;</w:t>
      </w:r>
    </w:p>
    <w:p w14:paraId="5C401505" w14:textId="77777777" w:rsidR="00B95B66" w:rsidRPr="00BE4F08" w:rsidRDefault="00B95B66" w:rsidP="00B95B66">
      <w:pPr>
        <w:pStyle w:val="ListParagraph"/>
        <w:numPr>
          <w:ilvl w:val="0"/>
          <w:numId w:val="43"/>
        </w:numPr>
        <w:spacing w:line="259" w:lineRule="auto"/>
        <w:jc w:val="both"/>
      </w:pPr>
      <w:r>
        <w:t xml:space="preserve">bonne connaissance de la mise en place/coordination de partenariats </w:t>
      </w:r>
      <w:proofErr w:type="spellStart"/>
      <w:r>
        <w:t>multiacteurs</w:t>
      </w:r>
      <w:proofErr w:type="spellEnd"/>
      <w:r>
        <w:t xml:space="preserve"> proactifs et de la gestion/du partage des connaissances ;</w:t>
      </w:r>
    </w:p>
    <w:p w14:paraId="217338DC" w14:textId="77777777" w:rsidR="00B95B66" w:rsidRPr="00BE4F08" w:rsidRDefault="00B95B66" w:rsidP="00B95B66">
      <w:pPr>
        <w:pStyle w:val="ListParagraph"/>
        <w:numPr>
          <w:ilvl w:val="0"/>
          <w:numId w:val="43"/>
        </w:numPr>
        <w:spacing w:line="259" w:lineRule="auto"/>
        <w:jc w:val="both"/>
      </w:pPr>
      <w:r>
        <w:t>niveau élevé d’autonomie et solides compétences en matière d’organisation, d’analyse et de résolution de problèmes en adoptant une approche pragmatique ;</w:t>
      </w:r>
    </w:p>
    <w:p w14:paraId="5C5913CE" w14:textId="77777777" w:rsidR="00B95B66" w:rsidRPr="00BE4F08" w:rsidRDefault="00B95B66" w:rsidP="00B95B66">
      <w:pPr>
        <w:pStyle w:val="ListParagraph"/>
        <w:numPr>
          <w:ilvl w:val="0"/>
          <w:numId w:val="43"/>
        </w:numPr>
        <w:spacing w:line="259" w:lineRule="auto"/>
        <w:jc w:val="both"/>
      </w:pPr>
      <w:r>
        <w:t>esprit d’équipe assorti d’excellentes aptitudes communicationnelles, interpersonnelles et relationnelles.</w:t>
      </w:r>
    </w:p>
    <w:p w14:paraId="19B3AA09" w14:textId="77777777" w:rsidR="00495168" w:rsidRPr="001747A5" w:rsidRDefault="00495168" w:rsidP="000504DA">
      <w:pPr>
        <w:ind w:firstLine="708"/>
      </w:pPr>
    </w:p>
    <w:p w14:paraId="69BB0EF2" w14:textId="6C44C08E" w:rsidR="001A1F28" w:rsidRPr="001747A5" w:rsidRDefault="00495168" w:rsidP="001A1F28">
      <w:pPr>
        <w:pStyle w:val="Heading5"/>
      </w:pPr>
      <w:r>
        <w:t>Lot 7 : Façonnage du marché, demande &amp; facilitation du commerce</w:t>
      </w:r>
    </w:p>
    <w:p w14:paraId="00BDD63E" w14:textId="77777777" w:rsidR="00495168" w:rsidRPr="001747A5" w:rsidRDefault="00495168" w:rsidP="00495168"/>
    <w:p w14:paraId="5EA7AFC6" w14:textId="77777777" w:rsidR="00495168" w:rsidRPr="001747A5" w:rsidRDefault="00495168" w:rsidP="00495168">
      <w:pPr>
        <w:pStyle w:val="ListParagraph"/>
        <w:numPr>
          <w:ilvl w:val="0"/>
          <w:numId w:val="43"/>
        </w:numPr>
        <w:spacing w:line="259" w:lineRule="auto"/>
        <w:jc w:val="both"/>
      </w:pPr>
      <w:r>
        <w:t>Expérience des mécanismes de mise en commun des achats de produits de santé au niveau mondial ou régional ;</w:t>
      </w:r>
    </w:p>
    <w:p w14:paraId="620F185B" w14:textId="77777777" w:rsidR="00495168" w:rsidRPr="001747A5" w:rsidRDefault="00495168" w:rsidP="00495168">
      <w:pPr>
        <w:pStyle w:val="ListParagraph"/>
        <w:numPr>
          <w:ilvl w:val="0"/>
          <w:numId w:val="43"/>
        </w:numPr>
        <w:spacing w:line="259" w:lineRule="auto"/>
        <w:jc w:val="both"/>
      </w:pPr>
      <w:r>
        <w:t>connaissance avérée du commerce, de l’approvisionnement et de l’achat de produits pharmaceutiques dans le contexte africain ;</w:t>
      </w:r>
    </w:p>
    <w:p w14:paraId="78263FE9" w14:textId="77777777" w:rsidR="00495168" w:rsidRPr="001747A5" w:rsidRDefault="00495168" w:rsidP="00495168">
      <w:pPr>
        <w:pStyle w:val="ListParagraph"/>
        <w:numPr>
          <w:ilvl w:val="0"/>
          <w:numId w:val="43"/>
        </w:numPr>
        <w:spacing w:line="259" w:lineRule="auto"/>
        <w:jc w:val="both"/>
      </w:pPr>
      <w:r>
        <w:t>réseau existant avec les principaux décideurs, acteurs et parties prenantes en matière d’approvisionnement, actifs sur le marché africain ;</w:t>
      </w:r>
    </w:p>
    <w:p w14:paraId="6E6EBA37" w14:textId="77777777" w:rsidR="00495168" w:rsidRPr="001747A5" w:rsidRDefault="00495168" w:rsidP="00495168">
      <w:pPr>
        <w:pStyle w:val="ListParagraph"/>
        <w:numPr>
          <w:ilvl w:val="0"/>
          <w:numId w:val="43"/>
        </w:numPr>
        <w:spacing w:line="259" w:lineRule="auto"/>
        <w:jc w:val="both"/>
      </w:pPr>
      <w:r>
        <w:t>familiarisation avec les mécanismes et processus de gestion de la chaîne d’approvisionnement pharmaceutique ;</w:t>
      </w:r>
    </w:p>
    <w:p w14:paraId="28EAB177"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58F2785E" w14:textId="5EF5B2F1" w:rsidR="00495168" w:rsidRDefault="00495168" w:rsidP="00CA6A66">
      <w:pPr>
        <w:pStyle w:val="ListParagraph"/>
        <w:numPr>
          <w:ilvl w:val="0"/>
          <w:numId w:val="43"/>
        </w:numPr>
        <w:spacing w:line="259" w:lineRule="auto"/>
        <w:jc w:val="both"/>
      </w:pPr>
      <w:r>
        <w:t>expérience de travail en Afrique ;</w:t>
      </w:r>
    </w:p>
    <w:p w14:paraId="72821CF6" w14:textId="77777777" w:rsidR="00B95B66" w:rsidRPr="00BE4F08" w:rsidRDefault="00B95B66" w:rsidP="00B95B66">
      <w:pPr>
        <w:pStyle w:val="ListParagraph"/>
        <w:numPr>
          <w:ilvl w:val="0"/>
          <w:numId w:val="43"/>
        </w:numPr>
        <w:spacing w:line="259" w:lineRule="auto"/>
        <w:jc w:val="both"/>
      </w:pPr>
      <w:r>
        <w:lastRenderedPageBreak/>
        <w:t>solide expérience dans le domaine des affaires, de l’économie, du marketing et/ou du commerce ;</w:t>
      </w:r>
    </w:p>
    <w:p w14:paraId="049E0441" w14:textId="77777777" w:rsidR="00B95B66" w:rsidRPr="00BE4F08" w:rsidRDefault="00B95B66" w:rsidP="00B95B66">
      <w:pPr>
        <w:pStyle w:val="ListParagraph"/>
        <w:numPr>
          <w:ilvl w:val="0"/>
          <w:numId w:val="43"/>
        </w:numPr>
        <w:spacing w:line="259" w:lineRule="auto"/>
        <w:jc w:val="both"/>
      </w:pPr>
      <w:r>
        <w:t>bonne connaissance de la gestion des approvisionnements et achats internationaux de produits pharmaceutiques (y compris les vaccins), de l’estimation des besoins et de leur quantification, des mécanismes, règles et procédures d’appel d’offres ;</w:t>
      </w:r>
    </w:p>
    <w:p w14:paraId="3D15E0E5" w14:textId="77777777" w:rsidR="00B95B66" w:rsidRPr="00BE4F08" w:rsidRDefault="00B95B66" w:rsidP="00B95B66">
      <w:pPr>
        <w:pStyle w:val="ListParagraph"/>
        <w:numPr>
          <w:ilvl w:val="0"/>
          <w:numId w:val="43"/>
        </w:numPr>
        <w:spacing w:line="259" w:lineRule="auto"/>
        <w:jc w:val="both"/>
      </w:pPr>
      <w:r>
        <w:t>bonne compréhension du statut et de l’environnement juridique, réglementaire et institutionnel liés au commerce et à l’approvisionnement en produits pharmaceutiques et de santé ;</w:t>
      </w:r>
    </w:p>
    <w:p w14:paraId="0B617C46" w14:textId="77777777" w:rsidR="00B95B66" w:rsidRPr="00BE4F08" w:rsidRDefault="00B95B66" w:rsidP="00B95B66">
      <w:pPr>
        <w:pStyle w:val="ListParagraph"/>
        <w:numPr>
          <w:ilvl w:val="0"/>
          <w:numId w:val="43"/>
        </w:numPr>
        <w:spacing w:line="259" w:lineRule="auto"/>
        <w:jc w:val="both"/>
      </w:pPr>
      <w:r>
        <w:t>connaissance approfondie des différents acteurs et parties prenantes internationaux, régionaux et nationaux, et de leur rôle sur le marché continental des médicaments et des vaccins ;</w:t>
      </w:r>
    </w:p>
    <w:p w14:paraId="35E93D0E" w14:textId="77777777" w:rsidR="00B95B66" w:rsidRPr="00BE4F08" w:rsidRDefault="00B95B66" w:rsidP="00B95B66">
      <w:pPr>
        <w:pStyle w:val="ListParagraph"/>
        <w:numPr>
          <w:ilvl w:val="0"/>
          <w:numId w:val="43"/>
        </w:numPr>
        <w:spacing w:line="259" w:lineRule="auto"/>
        <w:jc w:val="both"/>
      </w:pPr>
      <w:bookmarkStart w:id="69" w:name="_Hlk147916918"/>
      <w:r>
        <w:t>bonne connaissance des systèmes nationaux d’approvisionnement et des agences nationales d’approvisionnement (NPA) en médicaments dans les PRFM ;</w:t>
      </w:r>
      <w:bookmarkEnd w:id="69"/>
    </w:p>
    <w:p w14:paraId="4FD821B2" w14:textId="77777777" w:rsidR="00B95B66" w:rsidRPr="00BE4F08" w:rsidRDefault="00B95B66" w:rsidP="00B95B66">
      <w:pPr>
        <w:pStyle w:val="ListParagraph"/>
        <w:numPr>
          <w:ilvl w:val="0"/>
          <w:numId w:val="43"/>
        </w:numPr>
        <w:spacing w:line="259" w:lineRule="auto"/>
        <w:jc w:val="both"/>
      </w:pPr>
      <w:r>
        <w:t>familiarisation avec les règles et procédures de l’assurance qualité des médicaments (MQAS) de l’OMS ;</w:t>
      </w:r>
    </w:p>
    <w:p w14:paraId="31917AD0" w14:textId="77777777" w:rsidR="00B95B66" w:rsidRPr="00BE4F08" w:rsidRDefault="00B95B66" w:rsidP="00B95B66">
      <w:pPr>
        <w:pStyle w:val="ListParagraph"/>
        <w:numPr>
          <w:ilvl w:val="0"/>
          <w:numId w:val="43"/>
        </w:numPr>
        <w:spacing w:line="259" w:lineRule="auto"/>
        <w:jc w:val="both"/>
      </w:pPr>
      <w:r>
        <w:t>esprit stratégique et sens aigu du business et de la technique ;</w:t>
      </w:r>
    </w:p>
    <w:p w14:paraId="35214C8A" w14:textId="77777777" w:rsidR="00B95B66" w:rsidRPr="00BE4F08" w:rsidRDefault="00B95B66" w:rsidP="00B95B66">
      <w:pPr>
        <w:pStyle w:val="ListParagraph"/>
        <w:numPr>
          <w:ilvl w:val="0"/>
          <w:numId w:val="43"/>
        </w:numPr>
        <w:spacing w:line="259" w:lineRule="auto"/>
        <w:jc w:val="both"/>
      </w:pPr>
      <w:r>
        <w:t>expertise technique et expérience avérées dans la réalisation d’analyses de marché, l’élaboration de stratégies de lancement et/ou de mise à l’échelle ;</w:t>
      </w:r>
    </w:p>
    <w:p w14:paraId="59820ED7" w14:textId="77777777" w:rsidR="00B95B66" w:rsidRPr="00BE4F08" w:rsidRDefault="00B95B66" w:rsidP="00B95B66">
      <w:pPr>
        <w:pStyle w:val="ListParagraph"/>
        <w:numPr>
          <w:ilvl w:val="0"/>
          <w:numId w:val="43"/>
        </w:numPr>
        <w:spacing w:line="259" w:lineRule="auto"/>
        <w:jc w:val="both"/>
      </w:pPr>
      <w:r>
        <w:t>solides capacités de négociation (persuasion et influence, connaissance de la psychologie de la persuasion dans le monde des affaires, politique organisationnelle, networking et coalitions, assertivité, gestion des émotions, etc.) assorties de preuves en matière de compromis tactiques afin de garantir le meilleur résultat possible ;</w:t>
      </w:r>
    </w:p>
    <w:p w14:paraId="6D803D99" w14:textId="77777777" w:rsidR="00B95B66" w:rsidRPr="00BE4F08" w:rsidRDefault="00B95B66" w:rsidP="00B95B66">
      <w:pPr>
        <w:pStyle w:val="ListParagraph"/>
        <w:numPr>
          <w:ilvl w:val="0"/>
          <w:numId w:val="43"/>
        </w:numPr>
        <w:spacing w:line="259" w:lineRule="auto"/>
        <w:jc w:val="both"/>
      </w:pPr>
      <w:r>
        <w:t>aptitudes à la gestion de projet et réflexion stratégique ;</w:t>
      </w:r>
    </w:p>
    <w:p w14:paraId="6BC7FB35" w14:textId="77777777" w:rsidR="00B95B66" w:rsidRPr="00BE4F08" w:rsidRDefault="00B95B66" w:rsidP="00B95B66">
      <w:pPr>
        <w:pStyle w:val="ListParagraph"/>
        <w:numPr>
          <w:ilvl w:val="0"/>
          <w:numId w:val="43"/>
        </w:numPr>
        <w:spacing w:line="259" w:lineRule="auto"/>
        <w:jc w:val="both"/>
      </w:pPr>
      <w:r>
        <w:t>grande capacité d’adaptation à des contextes éducatifs et culturels divers ;</w:t>
      </w:r>
    </w:p>
    <w:p w14:paraId="71FD1E5B" w14:textId="77777777" w:rsidR="00B95B66" w:rsidRPr="00BE4F08" w:rsidRDefault="00B95B66" w:rsidP="00B95B66">
      <w:pPr>
        <w:pStyle w:val="ListParagraph"/>
        <w:numPr>
          <w:ilvl w:val="0"/>
          <w:numId w:val="43"/>
        </w:numPr>
        <w:spacing w:line="259" w:lineRule="auto"/>
        <w:jc w:val="both"/>
      </w:pPr>
      <w:r>
        <w:t>bonne capacité à fixer des priorités, à respecter les délais et à faire preuve d’autonomie ;</w:t>
      </w:r>
    </w:p>
    <w:p w14:paraId="16827DE0" w14:textId="77777777" w:rsidR="00B95B66" w:rsidRPr="00BE4F08" w:rsidRDefault="00B95B66" w:rsidP="00B95B66">
      <w:pPr>
        <w:pStyle w:val="ListParagraph"/>
        <w:numPr>
          <w:ilvl w:val="0"/>
          <w:numId w:val="43"/>
        </w:numPr>
        <w:spacing w:line="259" w:lineRule="auto"/>
        <w:jc w:val="both"/>
      </w:pPr>
      <w:r>
        <w:t>solides capacités en termes d’organisation, de gestion de données, d’analyse et de résolution des problèmes ;</w:t>
      </w:r>
    </w:p>
    <w:p w14:paraId="2723B4BF" w14:textId="77777777" w:rsidR="00B95B66" w:rsidRDefault="00B95B66" w:rsidP="00B95B66">
      <w:pPr>
        <w:pStyle w:val="ListParagraph"/>
        <w:numPr>
          <w:ilvl w:val="0"/>
          <w:numId w:val="43"/>
        </w:numPr>
        <w:spacing w:line="259" w:lineRule="auto"/>
        <w:jc w:val="both"/>
      </w:pPr>
      <w:r>
        <w:t>excellentes aptitudes communicationnelles, interpersonnelles, interculturelles et relationnelles.</w:t>
      </w:r>
    </w:p>
    <w:p w14:paraId="0585A11A" w14:textId="77777777" w:rsidR="00B95B66" w:rsidRPr="001747A5" w:rsidRDefault="00B95B66" w:rsidP="00B95B66">
      <w:pPr>
        <w:pStyle w:val="ListParagraph"/>
        <w:spacing w:line="259" w:lineRule="auto"/>
        <w:jc w:val="both"/>
      </w:pPr>
    </w:p>
    <w:p w14:paraId="464AECFF" w14:textId="3ACEA677" w:rsidR="001A1F28" w:rsidRPr="001747A5" w:rsidRDefault="00495168" w:rsidP="001A1F28">
      <w:pPr>
        <w:pStyle w:val="Heading5"/>
      </w:pPr>
      <w:r>
        <w:t>Lot 8 : Gestion de la chaîne d’approvisionnement</w:t>
      </w:r>
    </w:p>
    <w:p w14:paraId="1F3ACB84" w14:textId="77777777" w:rsidR="00495168" w:rsidRPr="001747A5" w:rsidRDefault="00495168" w:rsidP="00495168"/>
    <w:p w14:paraId="3B7DDB01" w14:textId="77777777" w:rsidR="00495168" w:rsidRPr="001747A5" w:rsidRDefault="00495168" w:rsidP="00495168">
      <w:pPr>
        <w:pStyle w:val="ListParagraph"/>
        <w:numPr>
          <w:ilvl w:val="0"/>
          <w:numId w:val="43"/>
        </w:numPr>
        <w:spacing w:line="259" w:lineRule="auto"/>
        <w:jc w:val="both"/>
      </w:pPr>
      <w:r>
        <w:t>Expérience avec une agence nationale d’approvisionnement dans des PRFM ;</w:t>
      </w:r>
    </w:p>
    <w:p w14:paraId="66479A5D" w14:textId="77777777" w:rsidR="00495168" w:rsidRPr="001747A5" w:rsidRDefault="00495168" w:rsidP="00495168">
      <w:pPr>
        <w:pStyle w:val="ListParagraph"/>
        <w:numPr>
          <w:ilvl w:val="0"/>
          <w:numId w:val="43"/>
        </w:numPr>
        <w:spacing w:line="259" w:lineRule="auto"/>
        <w:jc w:val="both"/>
      </w:pPr>
      <w:r>
        <w:t>connaissance avérée du commerce de produits pharmaceutiques dans le contexte africain ;</w:t>
      </w:r>
    </w:p>
    <w:p w14:paraId="63F9DC4B" w14:textId="77777777" w:rsidR="00495168" w:rsidRPr="001747A5" w:rsidRDefault="00495168" w:rsidP="00495168">
      <w:pPr>
        <w:pStyle w:val="ListParagraph"/>
        <w:numPr>
          <w:ilvl w:val="0"/>
          <w:numId w:val="43"/>
        </w:numPr>
        <w:spacing w:line="259" w:lineRule="auto"/>
        <w:jc w:val="both"/>
      </w:pPr>
      <w:r>
        <w:t>familiarisation avec les mécanismes et processus d’approvisionnement en produits de santé ;</w:t>
      </w:r>
    </w:p>
    <w:p w14:paraId="0385026A"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20BA55D5" w14:textId="77777777" w:rsidR="00495168" w:rsidRPr="001747A5" w:rsidRDefault="00495168" w:rsidP="00495168">
      <w:pPr>
        <w:pStyle w:val="ListParagraph"/>
        <w:numPr>
          <w:ilvl w:val="0"/>
          <w:numId w:val="43"/>
        </w:numPr>
        <w:spacing w:line="259" w:lineRule="auto"/>
        <w:jc w:val="both"/>
      </w:pPr>
      <w:r>
        <w:t>expérience de travail en Afrique ;</w:t>
      </w:r>
    </w:p>
    <w:p w14:paraId="210EA3A1" w14:textId="77777777" w:rsidR="00B95B66" w:rsidRPr="00BE4F08" w:rsidRDefault="00B95B66" w:rsidP="00B95B66">
      <w:pPr>
        <w:pStyle w:val="ListParagraph"/>
        <w:numPr>
          <w:ilvl w:val="0"/>
          <w:numId w:val="43"/>
        </w:numPr>
        <w:spacing w:line="259" w:lineRule="auto"/>
        <w:jc w:val="both"/>
      </w:pPr>
      <w:r>
        <w:t>solide expérience commerciale (en particulier, dans le domaine de la gestion de la chaîne d’approvisionnement et de la logistique) ;</w:t>
      </w:r>
    </w:p>
    <w:p w14:paraId="49A813F5" w14:textId="77777777" w:rsidR="00B95B66" w:rsidRPr="00BE4F08" w:rsidRDefault="00B95B66" w:rsidP="00B95B66">
      <w:pPr>
        <w:pStyle w:val="ListParagraph"/>
        <w:numPr>
          <w:ilvl w:val="0"/>
          <w:numId w:val="43"/>
        </w:numPr>
        <w:spacing w:line="259" w:lineRule="auto"/>
        <w:jc w:val="both"/>
      </w:pPr>
      <w:r>
        <w:t>bonne connaissance des phases de gestion de la chaîne d’approvisionnement des produits de santé (achat de médicaments/vaccins, stockage et distribution primaires et secondaires, dispensation, contrôle et assurance de la qualité) ;</w:t>
      </w:r>
    </w:p>
    <w:p w14:paraId="501267E2" w14:textId="77777777" w:rsidR="00B95B66" w:rsidRPr="00BE4F08" w:rsidRDefault="00B95B66" w:rsidP="00B95B66">
      <w:pPr>
        <w:pStyle w:val="ListParagraph"/>
        <w:numPr>
          <w:ilvl w:val="0"/>
          <w:numId w:val="43"/>
        </w:numPr>
        <w:spacing w:line="259" w:lineRule="auto"/>
        <w:jc w:val="both"/>
      </w:pPr>
      <w:r>
        <w:t>bonne compréhension du statut et de l’environnement juridique, réglementaire et institutionnel liés au secteur pharmaceutique dans les PRFM ;</w:t>
      </w:r>
    </w:p>
    <w:p w14:paraId="6D2826AF" w14:textId="77777777" w:rsidR="00B95B66" w:rsidRPr="00BE4F08" w:rsidRDefault="00B95B66" w:rsidP="00B95B66">
      <w:pPr>
        <w:pStyle w:val="ListParagraph"/>
        <w:numPr>
          <w:ilvl w:val="0"/>
          <w:numId w:val="43"/>
        </w:numPr>
        <w:spacing w:line="259" w:lineRule="auto"/>
        <w:jc w:val="both"/>
      </w:pPr>
      <w:r>
        <w:t>bonne connaissance des systèmes et acteurs nationaux de la gestion de l’approvisionnement (notamment, les NPA en médicaments dans des PRFM) ;</w:t>
      </w:r>
    </w:p>
    <w:p w14:paraId="386102C2" w14:textId="77777777" w:rsidR="00B95B66" w:rsidRPr="00BE4F08" w:rsidRDefault="00B95B66" w:rsidP="00B95B66">
      <w:pPr>
        <w:pStyle w:val="ListParagraph"/>
        <w:numPr>
          <w:ilvl w:val="0"/>
          <w:numId w:val="43"/>
        </w:numPr>
        <w:spacing w:line="259" w:lineRule="auto"/>
        <w:jc w:val="both"/>
      </w:pPr>
      <w:r>
        <w:t>bonne connaissance des processus CMT ;</w:t>
      </w:r>
    </w:p>
    <w:p w14:paraId="7CB397A0" w14:textId="77777777" w:rsidR="00B95B66" w:rsidRPr="00BE4F08" w:rsidRDefault="00B95B66" w:rsidP="00B95B66">
      <w:pPr>
        <w:pStyle w:val="ListParagraph"/>
        <w:numPr>
          <w:ilvl w:val="0"/>
          <w:numId w:val="43"/>
        </w:numPr>
        <w:spacing w:line="259" w:lineRule="auto"/>
        <w:jc w:val="both"/>
      </w:pPr>
      <w:r>
        <w:lastRenderedPageBreak/>
        <w:t>familiarisation avec les BPF / BPD ;</w:t>
      </w:r>
    </w:p>
    <w:p w14:paraId="10CCDC73" w14:textId="77777777" w:rsidR="00B95B66" w:rsidRPr="00BE4F08" w:rsidRDefault="00B95B66" w:rsidP="00B95B66">
      <w:pPr>
        <w:pStyle w:val="ListParagraph"/>
        <w:numPr>
          <w:ilvl w:val="0"/>
          <w:numId w:val="43"/>
        </w:numPr>
        <w:spacing w:line="259" w:lineRule="auto"/>
        <w:jc w:val="both"/>
      </w:pPr>
      <w:r>
        <w:t>familiarisation avec les principes, règles et procédures du modèle de système d’assurance qualité (MQAS) de l’OMS pour les agences d’approvisionnement ;</w:t>
      </w:r>
    </w:p>
    <w:p w14:paraId="1E31DD0E" w14:textId="77777777" w:rsidR="00B95B66" w:rsidRPr="00BE4F08" w:rsidRDefault="00B95B66" w:rsidP="00B95B66">
      <w:pPr>
        <w:pStyle w:val="ListParagraph"/>
        <w:numPr>
          <w:ilvl w:val="0"/>
          <w:numId w:val="43"/>
        </w:numPr>
        <w:spacing w:line="259" w:lineRule="auto"/>
        <w:jc w:val="both"/>
      </w:pPr>
      <w:r>
        <w:t>connaissance approfondie des acteurs et parties prenantes de la chaîne d’approvisionnement, ainsi que de leur rôle dans l’approvisionnement et la distribution de médicaments et de vaccins sur le continent ;</w:t>
      </w:r>
    </w:p>
    <w:p w14:paraId="79FA1B2E" w14:textId="77777777" w:rsidR="00B95B66" w:rsidRPr="00BE4F08" w:rsidRDefault="00B95B66" w:rsidP="00B95B66">
      <w:pPr>
        <w:pStyle w:val="ListParagraph"/>
        <w:numPr>
          <w:ilvl w:val="0"/>
          <w:numId w:val="43"/>
        </w:numPr>
        <w:spacing w:line="259" w:lineRule="auto"/>
        <w:jc w:val="both"/>
      </w:pPr>
      <w:r>
        <w:t>familiarisation avec les principaux défis intrinsèques de la chaîne d’approvisionnement (CA) en Afrique : manquements juridiques et réglementaires, faiblesses managériales, techniques et financières de certains acteurs, difficultés de coordination, multitude d’acteurs et de bailleurs de fonds verticaux ayant des agendas différents, manque de disponibilité, d’exhaustivité, de rapidité et/ou de fiabilité des données sanitaires et logistiques, indisponibilité des médicaments essentiels aux différents niveaux de la pyramide sanitaire, difficultés logistiques (notamment en ce qui concerne le stockage et la distribution des médicaments), manque d’utilisation rationnelle des médicaments, indisponibilité de moyens financiers pour certains sous-secteurs, etc. ;</w:t>
      </w:r>
    </w:p>
    <w:p w14:paraId="0AF19D4A" w14:textId="77777777" w:rsidR="00B95B66" w:rsidRPr="00BE4F08" w:rsidRDefault="00B95B66" w:rsidP="00B95B66">
      <w:pPr>
        <w:pStyle w:val="ListParagraph"/>
        <w:numPr>
          <w:ilvl w:val="0"/>
          <w:numId w:val="43"/>
        </w:numPr>
        <w:spacing w:line="259" w:lineRule="auto"/>
        <w:jc w:val="both"/>
      </w:pPr>
      <w:bookmarkStart w:id="70" w:name="_Hlk148525329"/>
      <w:r>
        <w:t>aptitudes à la gestion de projet et réflexion stratégique ;</w:t>
      </w:r>
    </w:p>
    <w:p w14:paraId="722BD0CF" w14:textId="77777777" w:rsidR="00B95B66" w:rsidRPr="00BE4F08" w:rsidRDefault="00B95B66" w:rsidP="00B95B66">
      <w:pPr>
        <w:pStyle w:val="ListParagraph"/>
        <w:numPr>
          <w:ilvl w:val="0"/>
          <w:numId w:val="43"/>
        </w:numPr>
        <w:spacing w:line="259" w:lineRule="auto"/>
        <w:jc w:val="both"/>
      </w:pPr>
      <w:r>
        <w:t>grande capacité d’adaptation à des contextes éducatifs et culturels divers ;</w:t>
      </w:r>
    </w:p>
    <w:p w14:paraId="15F6867E" w14:textId="77777777" w:rsidR="00B95B66" w:rsidRPr="00BE4F08" w:rsidRDefault="00B95B66" w:rsidP="00B95B66">
      <w:pPr>
        <w:pStyle w:val="ListParagraph"/>
        <w:numPr>
          <w:ilvl w:val="0"/>
          <w:numId w:val="43"/>
        </w:numPr>
        <w:spacing w:line="259" w:lineRule="auto"/>
        <w:jc w:val="both"/>
      </w:pPr>
      <w:r>
        <w:t>bonne capacité à fixer des priorités, à respecter les délais et à faire preuve d’autonomie ;</w:t>
      </w:r>
    </w:p>
    <w:p w14:paraId="2D925BD4" w14:textId="77777777" w:rsidR="00B95B66" w:rsidRPr="00BE4F08" w:rsidRDefault="00B95B66" w:rsidP="00B95B66">
      <w:pPr>
        <w:pStyle w:val="ListParagraph"/>
        <w:numPr>
          <w:ilvl w:val="0"/>
          <w:numId w:val="43"/>
        </w:numPr>
        <w:spacing w:line="259" w:lineRule="auto"/>
        <w:jc w:val="both"/>
      </w:pPr>
      <w:r>
        <w:t>solides capacités en termes d’organisation, de gestion de données, d’analyse et de résolution des problèmes ;</w:t>
      </w:r>
      <w:bookmarkEnd w:id="70"/>
    </w:p>
    <w:p w14:paraId="6F4EAB79" w14:textId="0AEE3E91" w:rsidR="00EF296F" w:rsidRPr="00154D45" w:rsidRDefault="00B95B66" w:rsidP="00FE6E38">
      <w:pPr>
        <w:pStyle w:val="ListParagraph"/>
        <w:numPr>
          <w:ilvl w:val="0"/>
          <w:numId w:val="43"/>
        </w:numPr>
        <w:spacing w:line="259" w:lineRule="auto"/>
        <w:jc w:val="both"/>
      </w:pPr>
      <w:r>
        <w:t>excellentes aptitudes communicationnelles, interpersonnelles, interculturelles et relationnelles.</w:t>
      </w:r>
    </w:p>
    <w:p w14:paraId="3E71E462" w14:textId="77777777" w:rsidR="00EF296F" w:rsidRPr="00AD683F" w:rsidRDefault="00EF296F" w:rsidP="00FE6E38">
      <w:pPr>
        <w:rPr>
          <w:lang w:val="fr-BE"/>
        </w:rPr>
      </w:pPr>
    </w:p>
    <w:p w14:paraId="230052F4" w14:textId="051023A5" w:rsidR="001A1F28" w:rsidRPr="001747A5" w:rsidRDefault="00495168" w:rsidP="001A1F28">
      <w:pPr>
        <w:pStyle w:val="Heading5"/>
      </w:pPr>
      <w:r>
        <w:t>Lot 9 : Recherche &amp; développement (R&amp;D)</w:t>
      </w:r>
    </w:p>
    <w:p w14:paraId="07CC4D72" w14:textId="77777777" w:rsidR="00495168" w:rsidRPr="001747A5" w:rsidRDefault="00495168" w:rsidP="00495168"/>
    <w:p w14:paraId="6FF2752F" w14:textId="77777777" w:rsidR="00495168" w:rsidRPr="001747A5" w:rsidRDefault="00495168" w:rsidP="00495168">
      <w:pPr>
        <w:pStyle w:val="ListParagraph"/>
        <w:numPr>
          <w:ilvl w:val="0"/>
          <w:numId w:val="43"/>
        </w:numPr>
        <w:spacing w:line="259" w:lineRule="auto"/>
        <w:jc w:val="both"/>
      </w:pPr>
      <w:r>
        <w:t>Familiarisation avec la mise en place d’une unité de recherche dans un cadre privé, public ou mixte ;</w:t>
      </w:r>
    </w:p>
    <w:p w14:paraId="43867A25" w14:textId="77777777" w:rsidR="00495168" w:rsidRPr="001747A5" w:rsidRDefault="00495168" w:rsidP="00495168">
      <w:pPr>
        <w:pStyle w:val="ListParagraph"/>
        <w:numPr>
          <w:ilvl w:val="0"/>
          <w:numId w:val="43"/>
        </w:numPr>
        <w:spacing w:line="259" w:lineRule="auto"/>
        <w:jc w:val="both"/>
      </w:pPr>
      <w:r>
        <w:t>formation complémentaire en finances et/ou en planification ;</w:t>
      </w:r>
    </w:p>
    <w:p w14:paraId="1908B0D7" w14:textId="77777777" w:rsidR="00495168" w:rsidRPr="001747A5" w:rsidRDefault="00495168" w:rsidP="00495168">
      <w:pPr>
        <w:pStyle w:val="ListParagraph"/>
        <w:numPr>
          <w:ilvl w:val="0"/>
          <w:numId w:val="43"/>
        </w:numPr>
        <w:spacing w:line="259" w:lineRule="auto"/>
        <w:jc w:val="both"/>
      </w:pPr>
      <w:r>
        <w:t>familiarisation avec la gestion de la qualité et des risques ;</w:t>
      </w:r>
    </w:p>
    <w:p w14:paraId="7D74E1F2" w14:textId="77777777" w:rsidR="00495168" w:rsidRPr="001747A5" w:rsidRDefault="00495168" w:rsidP="00495168">
      <w:pPr>
        <w:pStyle w:val="ListParagraph"/>
        <w:numPr>
          <w:ilvl w:val="0"/>
          <w:numId w:val="49"/>
        </w:numPr>
        <w:spacing w:line="259" w:lineRule="auto"/>
        <w:jc w:val="both"/>
      </w:pPr>
      <w:r>
        <w:t>expérience de travail en Afrique ;</w:t>
      </w:r>
    </w:p>
    <w:p w14:paraId="080D09D0"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51CF2163" w14:textId="77777777" w:rsidR="00B95B66" w:rsidRPr="00620C2A" w:rsidRDefault="00B95B66" w:rsidP="00B95B66">
      <w:pPr>
        <w:pStyle w:val="ListParagraph"/>
        <w:numPr>
          <w:ilvl w:val="0"/>
          <w:numId w:val="43"/>
        </w:numPr>
        <w:spacing w:line="259" w:lineRule="auto"/>
        <w:jc w:val="both"/>
      </w:pPr>
      <w:r>
        <w:t>expérience avérée en recherche fondamentale et/ou clinique ;</w:t>
      </w:r>
    </w:p>
    <w:p w14:paraId="1240B1E7" w14:textId="77777777" w:rsidR="00B95B66" w:rsidRPr="00620C2A" w:rsidRDefault="00B95B66" w:rsidP="00B95B66">
      <w:pPr>
        <w:pStyle w:val="ListParagraph"/>
        <w:numPr>
          <w:ilvl w:val="0"/>
          <w:numId w:val="43"/>
        </w:numPr>
        <w:spacing w:line="259" w:lineRule="auto"/>
        <w:jc w:val="both"/>
      </w:pPr>
      <w:r>
        <w:t>bonne connaissance des processus et techniques de R&amp;D en médicaments : conception, synthèse, conception in silico, modélisation, criblage, évaluation pharmacologique, molécules bioactives naturelles, valorisation, analyse et optimisation de modèles PK/PD, etc. ;</w:t>
      </w:r>
    </w:p>
    <w:p w14:paraId="56F5A3B6" w14:textId="77777777" w:rsidR="00B95B66" w:rsidRPr="00620C2A" w:rsidRDefault="00B95B66" w:rsidP="00B95B66">
      <w:pPr>
        <w:pStyle w:val="ListParagraph"/>
        <w:numPr>
          <w:ilvl w:val="0"/>
          <w:numId w:val="43"/>
        </w:numPr>
        <w:spacing w:line="259" w:lineRule="auto"/>
        <w:jc w:val="both"/>
      </w:pPr>
      <w:r>
        <w:t>expérience avérée dans l’évaluation des lacunes en matière de R&amp;D (y compris l’équipement, les matériaux et les consommables, les installations, le personnel, la chaîne d’approvisionnement, le contrôle de la qualité et l’assurance qualité) ;</w:t>
      </w:r>
    </w:p>
    <w:p w14:paraId="2896712F" w14:textId="77777777" w:rsidR="00B95B66" w:rsidRPr="00620C2A" w:rsidRDefault="00B95B66" w:rsidP="00B95B66">
      <w:pPr>
        <w:pStyle w:val="ListParagraph"/>
        <w:numPr>
          <w:ilvl w:val="0"/>
          <w:numId w:val="43"/>
        </w:numPr>
        <w:spacing w:line="259" w:lineRule="auto"/>
        <w:jc w:val="both"/>
      </w:pPr>
      <w:r>
        <w:t xml:space="preserve">solide connaissance des exigences réglementaires (BPC, BPL, BPLC et </w:t>
      </w:r>
      <w:proofErr w:type="spellStart"/>
      <w:r>
        <w:t>cGMP</w:t>
      </w:r>
      <w:proofErr w:type="spellEnd"/>
      <w:r>
        <w:t>) et éthiques pour les essais cliniques ;</w:t>
      </w:r>
    </w:p>
    <w:p w14:paraId="2E80D96A" w14:textId="77777777" w:rsidR="00B95B66" w:rsidRPr="00620C2A" w:rsidRDefault="00B95B66" w:rsidP="00B95B66">
      <w:pPr>
        <w:pStyle w:val="ListParagraph"/>
        <w:numPr>
          <w:ilvl w:val="0"/>
          <w:numId w:val="43"/>
        </w:numPr>
        <w:spacing w:line="259" w:lineRule="auto"/>
        <w:jc w:val="both"/>
      </w:pPr>
      <w:r>
        <w:t>familiarisation avec les progrès de la recherche sur le plan du développement de médicaments et de vaccins en Afrique ;</w:t>
      </w:r>
    </w:p>
    <w:p w14:paraId="202179F9" w14:textId="77777777" w:rsidR="00B95B66" w:rsidRPr="00620C2A" w:rsidRDefault="00B95B66" w:rsidP="00B95B66">
      <w:pPr>
        <w:pStyle w:val="ListParagraph"/>
        <w:numPr>
          <w:ilvl w:val="0"/>
          <w:numId w:val="43"/>
        </w:numPr>
        <w:spacing w:line="259" w:lineRule="auto"/>
        <w:jc w:val="both"/>
      </w:pPr>
      <w:r>
        <w:t>connaissance des contraintes du secteur : réglementation des produits de santé, propriété intellectuelle, information et économie de la santé ;</w:t>
      </w:r>
    </w:p>
    <w:p w14:paraId="3F50FD5B" w14:textId="77777777" w:rsidR="00B95B66" w:rsidRPr="00620C2A" w:rsidRDefault="00B95B66" w:rsidP="00B95B66">
      <w:pPr>
        <w:pStyle w:val="ListParagraph"/>
        <w:numPr>
          <w:ilvl w:val="0"/>
          <w:numId w:val="43"/>
        </w:numPr>
        <w:spacing w:line="259" w:lineRule="auto"/>
        <w:jc w:val="both"/>
      </w:pPr>
      <w:r>
        <w:t>excellente connaissance de l’écosystème africain et mondial de la R&amp;D et des processus d’innovation en matière de médicaments et de vaccins ;</w:t>
      </w:r>
    </w:p>
    <w:p w14:paraId="211452DE" w14:textId="77777777" w:rsidR="00B95B66" w:rsidRPr="00620C2A" w:rsidRDefault="00B95B66" w:rsidP="00B95B66">
      <w:pPr>
        <w:pStyle w:val="ListParagraph"/>
        <w:numPr>
          <w:ilvl w:val="0"/>
          <w:numId w:val="43"/>
        </w:numPr>
        <w:spacing w:line="259" w:lineRule="auto"/>
        <w:jc w:val="both"/>
      </w:pPr>
      <w:r>
        <w:lastRenderedPageBreak/>
        <w:t xml:space="preserve"> excellente connaissance des politiques et des mécanismes de financement favorisant la R&amp;D et l’accès aux produits de santé ;  </w:t>
      </w:r>
    </w:p>
    <w:p w14:paraId="23BBDB14" w14:textId="77777777" w:rsidR="00B95B66" w:rsidRPr="00620C2A" w:rsidRDefault="00B95B66" w:rsidP="00B95B66">
      <w:pPr>
        <w:pStyle w:val="ListParagraph"/>
        <w:numPr>
          <w:ilvl w:val="0"/>
          <w:numId w:val="43"/>
        </w:numPr>
        <w:spacing w:line="259" w:lineRule="auto"/>
        <w:jc w:val="both"/>
      </w:pPr>
      <w:r>
        <w:t xml:space="preserve">coordination de partenariats </w:t>
      </w:r>
      <w:proofErr w:type="spellStart"/>
      <w:r>
        <w:t>multiacteurs</w:t>
      </w:r>
      <w:proofErr w:type="spellEnd"/>
      <w:r>
        <w:t> ;</w:t>
      </w:r>
    </w:p>
    <w:p w14:paraId="78D04C3A" w14:textId="77777777" w:rsidR="00B95B66" w:rsidRPr="00620C2A" w:rsidRDefault="00B95B66" w:rsidP="00B95B66">
      <w:pPr>
        <w:pStyle w:val="ListParagraph"/>
        <w:numPr>
          <w:ilvl w:val="0"/>
          <w:numId w:val="43"/>
        </w:numPr>
        <w:spacing w:line="259" w:lineRule="auto"/>
        <w:jc w:val="both"/>
      </w:pPr>
      <w:r>
        <w:t>grande capacité d’adaptation à des contextes éducatifs et culturels divers ;</w:t>
      </w:r>
    </w:p>
    <w:p w14:paraId="6A095596" w14:textId="77777777" w:rsidR="00B95B66" w:rsidRPr="00620C2A" w:rsidRDefault="00B95B66" w:rsidP="00B95B66">
      <w:pPr>
        <w:pStyle w:val="ListParagraph"/>
        <w:numPr>
          <w:ilvl w:val="0"/>
          <w:numId w:val="43"/>
        </w:numPr>
        <w:spacing w:line="259" w:lineRule="auto"/>
        <w:jc w:val="both"/>
      </w:pPr>
      <w:r>
        <w:t>bonne capacité à fixer des priorités, à respecter les délais et à faire preuve d’autonomie ;</w:t>
      </w:r>
    </w:p>
    <w:p w14:paraId="032559E6" w14:textId="77777777" w:rsidR="00B95B66" w:rsidRPr="00620C2A" w:rsidRDefault="00B95B66" w:rsidP="00B95B66">
      <w:pPr>
        <w:pStyle w:val="ListParagraph"/>
        <w:numPr>
          <w:ilvl w:val="0"/>
          <w:numId w:val="43"/>
        </w:numPr>
        <w:spacing w:line="259" w:lineRule="auto"/>
        <w:jc w:val="both"/>
      </w:pPr>
      <w:r>
        <w:t>solides capacités en termes d’organisation, de gestion de données, d’analyse et de résolution des problèmes ;</w:t>
      </w:r>
    </w:p>
    <w:p w14:paraId="4AF69070" w14:textId="77777777" w:rsidR="00B95B66" w:rsidRDefault="00B95B66" w:rsidP="00B95B66">
      <w:pPr>
        <w:pStyle w:val="ListParagraph"/>
        <w:numPr>
          <w:ilvl w:val="0"/>
          <w:numId w:val="43"/>
        </w:numPr>
        <w:spacing w:line="259" w:lineRule="auto"/>
        <w:jc w:val="both"/>
      </w:pPr>
      <w:r>
        <w:t>excellentes aptitudes communicationnelles, interpersonnelles, interculturelles et relationnelles.</w:t>
      </w:r>
    </w:p>
    <w:p w14:paraId="07AD6B76" w14:textId="77777777" w:rsidR="001A1F28" w:rsidRPr="001747A5" w:rsidRDefault="001A1F28" w:rsidP="00B95B66">
      <w:pPr>
        <w:ind w:firstLine="708"/>
      </w:pPr>
    </w:p>
    <w:p w14:paraId="1F08EED6" w14:textId="65CD6597" w:rsidR="001A1F28" w:rsidRPr="001747A5" w:rsidRDefault="00495168" w:rsidP="001A1F28">
      <w:pPr>
        <w:pStyle w:val="Heading5"/>
      </w:pPr>
      <w:r>
        <w:t>Lot 10 : Enseignement supérieur et renforcement des compétences</w:t>
      </w:r>
    </w:p>
    <w:p w14:paraId="2AB20992" w14:textId="77777777" w:rsidR="00495168" w:rsidRPr="001747A5" w:rsidRDefault="00495168" w:rsidP="00495168"/>
    <w:p w14:paraId="08823D81" w14:textId="77777777" w:rsidR="00495168" w:rsidRPr="001747A5" w:rsidRDefault="00495168" w:rsidP="00495168">
      <w:pPr>
        <w:pStyle w:val="ListParagraph"/>
        <w:numPr>
          <w:ilvl w:val="0"/>
          <w:numId w:val="43"/>
        </w:numPr>
        <w:spacing w:line="259" w:lineRule="auto"/>
        <w:jc w:val="both"/>
      </w:pPr>
      <w:r>
        <w:t>Expérience professionnelle dans des instituts et laboratoires de recherche sur les produits de santé ou dans le secteur privé ;</w:t>
      </w:r>
    </w:p>
    <w:p w14:paraId="077E208F" w14:textId="77777777" w:rsidR="00495168" w:rsidRPr="001747A5" w:rsidRDefault="00495168" w:rsidP="00495168">
      <w:pPr>
        <w:pStyle w:val="ListParagraph"/>
        <w:numPr>
          <w:ilvl w:val="0"/>
          <w:numId w:val="43"/>
        </w:numPr>
        <w:spacing w:line="259" w:lineRule="auto"/>
        <w:jc w:val="both"/>
      </w:pPr>
      <w:r>
        <w:t>bonne maîtrise d’une ou de plusieurs autres langues de travail de l’UA (français, arabe, portugais…) ;</w:t>
      </w:r>
    </w:p>
    <w:p w14:paraId="0CB3C540" w14:textId="77777777" w:rsidR="00495168" w:rsidRDefault="00495168" w:rsidP="00495168">
      <w:pPr>
        <w:pStyle w:val="ListParagraph"/>
        <w:numPr>
          <w:ilvl w:val="0"/>
          <w:numId w:val="43"/>
        </w:numPr>
        <w:spacing w:line="259" w:lineRule="auto"/>
        <w:jc w:val="both"/>
      </w:pPr>
      <w:r>
        <w:t>expérience de travail en Afrique ;</w:t>
      </w:r>
    </w:p>
    <w:p w14:paraId="13D5066A" w14:textId="77777777" w:rsidR="00B95B66" w:rsidRPr="00620C2A" w:rsidRDefault="00B95B66" w:rsidP="00B95B66">
      <w:pPr>
        <w:pStyle w:val="ListParagraph"/>
        <w:numPr>
          <w:ilvl w:val="0"/>
          <w:numId w:val="42"/>
        </w:numPr>
        <w:spacing w:line="259" w:lineRule="auto"/>
        <w:jc w:val="both"/>
      </w:pPr>
      <w:r>
        <w:t>solide formation scientifique et académique ;</w:t>
      </w:r>
    </w:p>
    <w:p w14:paraId="6E63D776" w14:textId="77777777" w:rsidR="00B95B66" w:rsidRPr="00620C2A" w:rsidRDefault="00B95B66" w:rsidP="00B95B66">
      <w:pPr>
        <w:pStyle w:val="ListParagraph"/>
        <w:numPr>
          <w:ilvl w:val="0"/>
          <w:numId w:val="42"/>
        </w:numPr>
        <w:spacing w:line="259" w:lineRule="auto"/>
        <w:jc w:val="both"/>
      </w:pPr>
      <w:r>
        <w:t>solides compétences didactiques et pédagogiques ;</w:t>
      </w:r>
    </w:p>
    <w:p w14:paraId="074DCA99" w14:textId="77777777" w:rsidR="00B95B66" w:rsidRPr="00620C2A" w:rsidRDefault="00B95B66" w:rsidP="00B95B66">
      <w:pPr>
        <w:pStyle w:val="ListParagraph"/>
        <w:numPr>
          <w:ilvl w:val="0"/>
          <w:numId w:val="45"/>
        </w:numPr>
        <w:spacing w:line="259" w:lineRule="auto"/>
        <w:jc w:val="both"/>
      </w:pPr>
      <w:r>
        <w:t>expérience avérée de l’évaluation et de l’élaboration de programmes de cours dans le domaine de la recherche, de la fabrication de produits pharmaceutiques et/ou de la réglementation ;</w:t>
      </w:r>
    </w:p>
    <w:p w14:paraId="553F264B" w14:textId="77777777" w:rsidR="000504DA" w:rsidRDefault="00B95B66" w:rsidP="00B95B66">
      <w:pPr>
        <w:pStyle w:val="ListParagraph"/>
        <w:numPr>
          <w:ilvl w:val="0"/>
          <w:numId w:val="42"/>
        </w:numPr>
        <w:spacing w:line="259" w:lineRule="auto"/>
        <w:jc w:val="both"/>
      </w:pPr>
      <w:r>
        <w:t>bonne connaissance des processus et techniques de R&amp;D et de fabrication des médicaments ;</w:t>
      </w:r>
    </w:p>
    <w:p w14:paraId="4E620574" w14:textId="7E426C3C" w:rsidR="00B95B66" w:rsidRPr="00620C2A" w:rsidRDefault="00B95B66" w:rsidP="00B95B66">
      <w:pPr>
        <w:pStyle w:val="ListParagraph"/>
        <w:numPr>
          <w:ilvl w:val="0"/>
          <w:numId w:val="42"/>
        </w:numPr>
        <w:spacing w:line="259" w:lineRule="auto"/>
        <w:jc w:val="both"/>
      </w:pPr>
      <w:r>
        <w:t>excellente connaissance des universités et écoles d’excellence africaines et mondiales dans le secteur pharmaceutique et de la recherche ;</w:t>
      </w:r>
    </w:p>
    <w:p w14:paraId="217823FC" w14:textId="77777777" w:rsidR="00B95B66" w:rsidRPr="00620C2A" w:rsidRDefault="00B95B66" w:rsidP="00B95B66">
      <w:pPr>
        <w:pStyle w:val="ListParagraph"/>
        <w:numPr>
          <w:ilvl w:val="0"/>
          <w:numId w:val="42"/>
        </w:numPr>
        <w:spacing w:line="259" w:lineRule="auto"/>
        <w:jc w:val="both"/>
      </w:pPr>
      <w:r>
        <w:t>excellente connaissance des politiques et des mécanismes de financement nécessaires au personnel de la recherche et de l’industrie pharmaceutique ;</w:t>
      </w:r>
    </w:p>
    <w:p w14:paraId="19094328" w14:textId="77777777" w:rsidR="00B95B66" w:rsidRPr="00620C2A" w:rsidRDefault="00B95B66" w:rsidP="00B95B66">
      <w:pPr>
        <w:pStyle w:val="ListParagraph"/>
        <w:numPr>
          <w:ilvl w:val="0"/>
          <w:numId w:val="42"/>
        </w:numPr>
        <w:spacing w:line="259" w:lineRule="auto"/>
        <w:jc w:val="both"/>
      </w:pPr>
      <w:r>
        <w:t xml:space="preserve">solide connaissance des profils et des compétences du personnel nécessaire dans le secteur de la recherche et de l’industrie pharmaceutique ;  </w:t>
      </w:r>
    </w:p>
    <w:p w14:paraId="13620962" w14:textId="77777777" w:rsidR="00B95B66" w:rsidRPr="00620C2A" w:rsidRDefault="00B95B66" w:rsidP="00B95B66">
      <w:pPr>
        <w:pStyle w:val="ListParagraph"/>
        <w:numPr>
          <w:ilvl w:val="0"/>
          <w:numId w:val="42"/>
        </w:numPr>
        <w:spacing w:line="259" w:lineRule="auto"/>
        <w:jc w:val="both"/>
      </w:pPr>
      <w:r>
        <w:t>connaissance approfondie de la théorie de l’apprentissage des adultes et de la conception pédagogique, y compris des cadres de compétences ;</w:t>
      </w:r>
    </w:p>
    <w:p w14:paraId="330EC2C1" w14:textId="77777777" w:rsidR="00B95B66" w:rsidRDefault="00B95B66" w:rsidP="00B95B66">
      <w:pPr>
        <w:pStyle w:val="ListParagraph"/>
        <w:numPr>
          <w:ilvl w:val="0"/>
          <w:numId w:val="42"/>
        </w:numPr>
        <w:spacing w:line="259" w:lineRule="auto"/>
        <w:jc w:val="both"/>
      </w:pPr>
      <w:r>
        <w:t>excellentes aptitudes communicationnelles, interpersonnelles, interculturelles et relationnelles ;</w:t>
      </w:r>
    </w:p>
    <w:p w14:paraId="58522AE5" w14:textId="77777777" w:rsidR="00B95B66" w:rsidRPr="00620C2A" w:rsidRDefault="00B95B66" w:rsidP="00B95B66">
      <w:pPr>
        <w:pStyle w:val="ListParagraph"/>
        <w:numPr>
          <w:ilvl w:val="0"/>
          <w:numId w:val="42"/>
        </w:numPr>
        <w:spacing w:line="259" w:lineRule="auto"/>
        <w:jc w:val="both"/>
      </w:pPr>
      <w:r>
        <w:t>grande capacité d’adaptation à des contextes éducatifs et culturels divers ;</w:t>
      </w:r>
    </w:p>
    <w:p w14:paraId="634489A7" w14:textId="77777777" w:rsidR="00B95B66" w:rsidRPr="00620C2A" w:rsidRDefault="00B95B66" w:rsidP="00B95B66">
      <w:pPr>
        <w:pStyle w:val="ListParagraph"/>
        <w:numPr>
          <w:ilvl w:val="0"/>
          <w:numId w:val="42"/>
        </w:numPr>
        <w:spacing w:line="259" w:lineRule="auto"/>
        <w:jc w:val="both"/>
      </w:pPr>
      <w:r>
        <w:t>bonne capacité à fixer des priorités, à respecter les délais et à faire preuve d’autonomie ;</w:t>
      </w:r>
    </w:p>
    <w:p w14:paraId="5761AC2D" w14:textId="77777777" w:rsidR="00B95B66" w:rsidRPr="00620C2A" w:rsidRDefault="00B95B66" w:rsidP="00B95B66">
      <w:pPr>
        <w:pStyle w:val="ListParagraph"/>
        <w:numPr>
          <w:ilvl w:val="0"/>
          <w:numId w:val="42"/>
        </w:numPr>
        <w:spacing w:line="259" w:lineRule="auto"/>
        <w:jc w:val="both"/>
      </w:pPr>
      <w:r>
        <w:t>solides capacités en termes d’organisation, de gestion de données, d’analyse et de résolution des problèmes.</w:t>
      </w:r>
    </w:p>
    <w:p w14:paraId="17D2FA32" w14:textId="77777777" w:rsidR="00B95B66" w:rsidRPr="001747A5" w:rsidRDefault="00B95B66" w:rsidP="00B95B66">
      <w:pPr>
        <w:pStyle w:val="ListParagraph"/>
        <w:spacing w:line="259" w:lineRule="auto"/>
        <w:jc w:val="both"/>
      </w:pPr>
    </w:p>
    <w:p w14:paraId="5E5286C4" w14:textId="77777777" w:rsidR="001A1F28" w:rsidRPr="00AD683F" w:rsidRDefault="001A1F28" w:rsidP="00FE6E38">
      <w:pPr>
        <w:rPr>
          <w:lang w:val="fr-BE"/>
        </w:rPr>
      </w:pPr>
    </w:p>
    <w:p w14:paraId="49E4C0EE" w14:textId="4CFD03D4" w:rsidR="001A1F28" w:rsidRPr="001747A5" w:rsidRDefault="00495168" w:rsidP="001A1F28">
      <w:pPr>
        <w:pStyle w:val="Heading5"/>
      </w:pPr>
      <w:r>
        <w:t>Lot 11 : Accès au financement et partenariat</w:t>
      </w:r>
    </w:p>
    <w:p w14:paraId="7E9497C7" w14:textId="77777777" w:rsidR="00495168" w:rsidRPr="001747A5" w:rsidRDefault="00495168" w:rsidP="00495168"/>
    <w:p w14:paraId="5B06F3BC" w14:textId="77777777" w:rsidR="00495168" w:rsidRPr="001747A5" w:rsidRDefault="00495168" w:rsidP="00495168">
      <w:pPr>
        <w:pStyle w:val="ListParagraph"/>
        <w:numPr>
          <w:ilvl w:val="0"/>
          <w:numId w:val="43"/>
        </w:numPr>
        <w:spacing w:line="259" w:lineRule="auto"/>
        <w:jc w:val="both"/>
      </w:pPr>
      <w:r>
        <w:t>Expérience de travail en Afrique ;</w:t>
      </w:r>
    </w:p>
    <w:p w14:paraId="34C1633E" w14:textId="77777777" w:rsidR="00495168" w:rsidRPr="001747A5" w:rsidRDefault="00495168" w:rsidP="00495168">
      <w:pPr>
        <w:pStyle w:val="ListParagraph"/>
        <w:numPr>
          <w:ilvl w:val="0"/>
          <w:numId w:val="43"/>
        </w:numPr>
        <w:spacing w:line="259" w:lineRule="auto"/>
        <w:jc w:val="both"/>
      </w:pPr>
      <w:r>
        <w:t>expérience antérieure en management ;</w:t>
      </w:r>
    </w:p>
    <w:p w14:paraId="7A09033B" w14:textId="77777777" w:rsidR="00495168" w:rsidRPr="001747A5" w:rsidRDefault="00495168" w:rsidP="00495168">
      <w:pPr>
        <w:pStyle w:val="ListParagraph"/>
        <w:numPr>
          <w:ilvl w:val="0"/>
          <w:numId w:val="43"/>
        </w:numPr>
        <w:spacing w:line="259" w:lineRule="auto"/>
        <w:jc w:val="both"/>
      </w:pPr>
      <w:r>
        <w:t>formation complémentaire en finances et/ou en planification ;</w:t>
      </w:r>
    </w:p>
    <w:p w14:paraId="6F64BE96" w14:textId="42708EBD" w:rsidR="00B95B66" w:rsidRPr="000504DA" w:rsidRDefault="00495168" w:rsidP="00B95B66">
      <w:pPr>
        <w:pStyle w:val="ListParagraph"/>
        <w:numPr>
          <w:ilvl w:val="0"/>
          <w:numId w:val="43"/>
        </w:numPr>
        <w:spacing w:line="259" w:lineRule="auto"/>
        <w:jc w:val="both"/>
      </w:pPr>
      <w:r>
        <w:lastRenderedPageBreak/>
        <w:t>bonne maîtrise d’une ou de plusieurs autres langues de travail de l’UA (français, arabe, portugais…) ;</w:t>
      </w:r>
    </w:p>
    <w:p w14:paraId="06F08139" w14:textId="77777777" w:rsidR="00B95B66" w:rsidRPr="00620C2A" w:rsidRDefault="00B95B66" w:rsidP="00B95B66">
      <w:pPr>
        <w:pStyle w:val="ListParagraph"/>
        <w:numPr>
          <w:ilvl w:val="0"/>
          <w:numId w:val="43"/>
        </w:numPr>
        <w:spacing w:line="259" w:lineRule="auto"/>
        <w:jc w:val="both"/>
      </w:pPr>
      <w:r>
        <w:t>solide expérience dans le domaine des affaires, du management et/ou des finances ;</w:t>
      </w:r>
    </w:p>
    <w:p w14:paraId="539A1D94" w14:textId="77777777" w:rsidR="00B95B66" w:rsidRPr="00620C2A" w:rsidRDefault="00B95B66" w:rsidP="00B95B66">
      <w:pPr>
        <w:pStyle w:val="ListParagraph"/>
        <w:numPr>
          <w:ilvl w:val="0"/>
          <w:numId w:val="43"/>
        </w:numPr>
        <w:spacing w:line="259" w:lineRule="auto"/>
        <w:jc w:val="both"/>
      </w:pPr>
      <w:r>
        <w:t>excellente connaissance du droit financier et comptable international, et des normes réglementaires (GAAP, IFRS) ;</w:t>
      </w:r>
    </w:p>
    <w:p w14:paraId="5A6DA79B" w14:textId="77777777" w:rsidR="00B95B66" w:rsidRPr="00620C2A" w:rsidRDefault="00B95B66" w:rsidP="00B95B66">
      <w:pPr>
        <w:pStyle w:val="ListParagraph"/>
        <w:numPr>
          <w:ilvl w:val="0"/>
          <w:numId w:val="43"/>
        </w:numPr>
        <w:spacing w:line="259" w:lineRule="auto"/>
        <w:jc w:val="both"/>
      </w:pPr>
      <w:r>
        <w:t>bonne connaissance des principaux bailleurs de fonds internationaux, multilatéraux, régionaux et bilatéraux dans le domaine de la santé agissant dans le contexte des PRFM / africain (comme le FMI, la BM, le FM, USAID, etc.) ;</w:t>
      </w:r>
    </w:p>
    <w:p w14:paraId="3BC3D447" w14:textId="77777777" w:rsidR="00B95B66" w:rsidRPr="00620C2A" w:rsidRDefault="00B95B66" w:rsidP="00B95B66">
      <w:pPr>
        <w:pStyle w:val="ListParagraph"/>
        <w:numPr>
          <w:ilvl w:val="0"/>
          <w:numId w:val="43"/>
        </w:numPr>
        <w:spacing w:line="259" w:lineRule="auto"/>
        <w:jc w:val="both"/>
      </w:pPr>
      <w:r>
        <w:t>bonne connaissance des règles de financement européennes et expérience dans des projets ou programmes financés par l’Union européenne ;</w:t>
      </w:r>
    </w:p>
    <w:p w14:paraId="62B38201" w14:textId="77777777" w:rsidR="00B95B66" w:rsidRPr="00620C2A" w:rsidRDefault="00B95B66" w:rsidP="00B95B66">
      <w:pPr>
        <w:pStyle w:val="ListParagraph"/>
        <w:numPr>
          <w:ilvl w:val="0"/>
          <w:numId w:val="43"/>
        </w:numPr>
        <w:spacing w:line="259" w:lineRule="auto"/>
        <w:jc w:val="both"/>
      </w:pPr>
      <w:r>
        <w:t>bonne connaissance des financements innovants ;</w:t>
      </w:r>
    </w:p>
    <w:p w14:paraId="1B8F54E1" w14:textId="77777777" w:rsidR="00B95B66" w:rsidRPr="00620C2A" w:rsidRDefault="00B95B66" w:rsidP="00B95B66">
      <w:pPr>
        <w:pStyle w:val="ListParagraph"/>
        <w:numPr>
          <w:ilvl w:val="0"/>
          <w:numId w:val="43"/>
        </w:numPr>
        <w:spacing w:line="259" w:lineRule="auto"/>
        <w:jc w:val="both"/>
      </w:pPr>
      <w:r>
        <w:t xml:space="preserve">familiarisation avec les interventions et initiatives internationales et régionales en matière de santé en Afrique ; </w:t>
      </w:r>
    </w:p>
    <w:p w14:paraId="64B80085" w14:textId="77777777" w:rsidR="00B95B66" w:rsidRPr="00620C2A" w:rsidRDefault="00B95B66" w:rsidP="00B95B66">
      <w:pPr>
        <w:pStyle w:val="ListParagraph"/>
        <w:numPr>
          <w:ilvl w:val="0"/>
          <w:numId w:val="43"/>
        </w:numPr>
        <w:spacing w:line="259" w:lineRule="auto"/>
        <w:jc w:val="both"/>
      </w:pPr>
      <w:bookmarkStart w:id="71" w:name="_Hlk148687901"/>
      <w:r>
        <w:t>bonne connaissance des principaux domaines permettant de renforcer les systèmes financiers : appropriation par le pays, consensus national, évaluation des pratiques actuelles, définition des priorités, dialogue politique et engagements, transparence des politiques monétaire, financière et fiscale, gouvernance d’entreprise, intégrité, réglementation et surveillance des marchés ;</w:t>
      </w:r>
    </w:p>
    <w:p w14:paraId="01F8E4C8" w14:textId="77777777" w:rsidR="00B95B66" w:rsidRPr="00620C2A" w:rsidRDefault="00B95B66" w:rsidP="00B95B66">
      <w:pPr>
        <w:pStyle w:val="ListParagraph"/>
        <w:numPr>
          <w:ilvl w:val="0"/>
          <w:numId w:val="43"/>
        </w:numPr>
        <w:spacing w:line="259" w:lineRule="auto"/>
        <w:jc w:val="both"/>
      </w:pPr>
      <w:bookmarkStart w:id="72" w:name="_Hlk148548046"/>
      <w:r>
        <w:t xml:space="preserve">bonne connaissance des partenariats et initiatives </w:t>
      </w:r>
      <w:proofErr w:type="spellStart"/>
      <w:r>
        <w:t>multiacteurs</w:t>
      </w:r>
      <w:proofErr w:type="spellEnd"/>
      <w:r>
        <w:t xml:space="preserve"> et public-privé dans le secteur pharmaceutique et des mécanismes de mobilisation de fonds privés pour le développement durable dans les PRFM ;</w:t>
      </w:r>
      <w:bookmarkEnd w:id="71"/>
      <w:bookmarkEnd w:id="72"/>
    </w:p>
    <w:p w14:paraId="446D86CD" w14:textId="77777777" w:rsidR="00B95B66" w:rsidRPr="00620C2A" w:rsidRDefault="00B95B66" w:rsidP="00B95B66">
      <w:pPr>
        <w:pStyle w:val="ListParagraph"/>
        <w:numPr>
          <w:ilvl w:val="0"/>
          <w:numId w:val="43"/>
        </w:numPr>
        <w:spacing w:line="259" w:lineRule="auto"/>
        <w:jc w:val="both"/>
      </w:pPr>
      <w:r>
        <w:t>familiarisation avec des normes clés pour des systèmes financiers sains : codes de bonnes pratiques, NSDD, SGDD, IAS, ISA, CBCB, etc.) et avec des outils de conformité (PASF, RONC, IFI, etc.) ;</w:t>
      </w:r>
    </w:p>
    <w:p w14:paraId="38D93E84" w14:textId="77777777" w:rsidR="00B95B66" w:rsidRPr="00620C2A" w:rsidRDefault="00B95B66" w:rsidP="00B95B66">
      <w:pPr>
        <w:pStyle w:val="ListParagraph"/>
        <w:numPr>
          <w:ilvl w:val="0"/>
          <w:numId w:val="43"/>
        </w:numPr>
        <w:spacing w:line="259" w:lineRule="auto"/>
        <w:jc w:val="both"/>
      </w:pPr>
      <w:r>
        <w:t>grande capacité d’adaptation à des contextes éducatifs et culturels divers ;</w:t>
      </w:r>
    </w:p>
    <w:p w14:paraId="014028D8" w14:textId="77777777" w:rsidR="00B95B66" w:rsidRPr="00620C2A" w:rsidRDefault="00B95B66" w:rsidP="00B95B66">
      <w:pPr>
        <w:pStyle w:val="ListParagraph"/>
        <w:numPr>
          <w:ilvl w:val="0"/>
          <w:numId w:val="43"/>
        </w:numPr>
        <w:spacing w:line="259" w:lineRule="auto"/>
        <w:jc w:val="both"/>
      </w:pPr>
      <w:r>
        <w:t>bonne capacité à fixer des priorités, à respecter les délais et à faire preuve d’autonomie ;</w:t>
      </w:r>
    </w:p>
    <w:p w14:paraId="156BA69C" w14:textId="77777777" w:rsidR="00B95B66" w:rsidRPr="00620C2A" w:rsidRDefault="00B95B66" w:rsidP="00B95B66">
      <w:pPr>
        <w:pStyle w:val="ListParagraph"/>
        <w:numPr>
          <w:ilvl w:val="0"/>
          <w:numId w:val="43"/>
        </w:numPr>
        <w:spacing w:line="259" w:lineRule="auto"/>
        <w:jc w:val="both"/>
      </w:pPr>
      <w:r>
        <w:t>solides capacités en termes d’organisation, de gestion de données, d’analyse et de résolution des problèmes ;</w:t>
      </w:r>
    </w:p>
    <w:p w14:paraId="5DE374BB" w14:textId="77777777" w:rsidR="00B95B66" w:rsidRDefault="00B95B66" w:rsidP="00B95B66">
      <w:pPr>
        <w:pStyle w:val="ListParagraph"/>
        <w:numPr>
          <w:ilvl w:val="0"/>
          <w:numId w:val="43"/>
        </w:numPr>
        <w:spacing w:line="259" w:lineRule="auto"/>
        <w:jc w:val="both"/>
      </w:pPr>
      <w:r>
        <w:t>excellentes aptitudes communicationnelles, interpersonnelles, interculturelles et relationnelles.</w:t>
      </w:r>
    </w:p>
    <w:p w14:paraId="5458D809" w14:textId="77777777" w:rsidR="00B95B66" w:rsidRPr="001747A5" w:rsidRDefault="00B95B66" w:rsidP="00B95B66">
      <w:pPr>
        <w:pStyle w:val="ListParagraph"/>
        <w:spacing w:line="259" w:lineRule="auto"/>
        <w:jc w:val="both"/>
      </w:pPr>
    </w:p>
    <w:p w14:paraId="608E306D" w14:textId="77777777" w:rsidR="001A1F28" w:rsidRPr="001747A5" w:rsidRDefault="001A1F28" w:rsidP="00FE6E38"/>
    <w:p w14:paraId="7B822287" w14:textId="24D54500" w:rsidR="001A1F28" w:rsidRPr="001747A5" w:rsidRDefault="00495168" w:rsidP="001A1F28">
      <w:pPr>
        <w:pStyle w:val="Heading5"/>
      </w:pPr>
      <w:r>
        <w:t>Lot 12 : Industrialisation</w:t>
      </w:r>
    </w:p>
    <w:p w14:paraId="42DB8B77" w14:textId="77777777" w:rsidR="001A1F28" w:rsidRPr="001747A5" w:rsidRDefault="001A1F28" w:rsidP="00FE6E38">
      <w:pPr>
        <w:rPr>
          <w:lang w:val="en-US"/>
        </w:rPr>
      </w:pPr>
    </w:p>
    <w:p w14:paraId="6B10BF94" w14:textId="77777777" w:rsidR="00C21B6D" w:rsidRPr="001747A5" w:rsidRDefault="00C21B6D" w:rsidP="00C21B6D">
      <w:pPr>
        <w:pStyle w:val="ListParagraph"/>
        <w:numPr>
          <w:ilvl w:val="0"/>
          <w:numId w:val="43"/>
        </w:numPr>
        <w:spacing w:line="259" w:lineRule="auto"/>
        <w:jc w:val="both"/>
      </w:pPr>
      <w:r>
        <w:t>Expérience de travail dans les PRFM / en Afrique ;</w:t>
      </w:r>
    </w:p>
    <w:p w14:paraId="7C9286B3" w14:textId="77777777" w:rsidR="00C21B6D" w:rsidRPr="001747A5" w:rsidRDefault="00C21B6D" w:rsidP="00C21B6D">
      <w:pPr>
        <w:pStyle w:val="ListParagraph"/>
        <w:numPr>
          <w:ilvl w:val="0"/>
          <w:numId w:val="43"/>
        </w:numPr>
        <w:spacing w:line="259" w:lineRule="auto"/>
        <w:jc w:val="both"/>
      </w:pPr>
      <w:r>
        <w:t>familiarisation avec la gestion de la qualité et des risques ;</w:t>
      </w:r>
    </w:p>
    <w:p w14:paraId="1C467DA3" w14:textId="77777777" w:rsidR="00C21B6D" w:rsidRPr="001747A5" w:rsidRDefault="00C21B6D" w:rsidP="00C21B6D">
      <w:pPr>
        <w:pStyle w:val="ListParagraph"/>
        <w:numPr>
          <w:ilvl w:val="0"/>
          <w:numId w:val="43"/>
        </w:numPr>
        <w:spacing w:line="259" w:lineRule="auto"/>
        <w:jc w:val="both"/>
      </w:pPr>
      <w:r>
        <w:t>bonne maîtrise d’une ou de plusieurs autres langues de travail de l’UA (français, arabe, portugais…) ;</w:t>
      </w:r>
    </w:p>
    <w:p w14:paraId="01668DDB" w14:textId="77777777" w:rsidR="00B95B66" w:rsidRPr="00620C2A" w:rsidRDefault="00B95B66" w:rsidP="00B95B66">
      <w:pPr>
        <w:pStyle w:val="ListParagraph"/>
        <w:numPr>
          <w:ilvl w:val="0"/>
          <w:numId w:val="43"/>
        </w:numPr>
        <w:spacing w:line="259" w:lineRule="auto"/>
        <w:jc w:val="both"/>
      </w:pPr>
      <w:r>
        <w:t>solide expérience dans le domaine technique, managérial et des affaires ;</w:t>
      </w:r>
    </w:p>
    <w:p w14:paraId="565CB019" w14:textId="77777777" w:rsidR="00B95B66" w:rsidRPr="00620C2A" w:rsidRDefault="00B95B66" w:rsidP="00B95B66">
      <w:pPr>
        <w:pStyle w:val="ListParagraph"/>
        <w:numPr>
          <w:ilvl w:val="0"/>
          <w:numId w:val="43"/>
        </w:numPr>
        <w:spacing w:line="259" w:lineRule="auto"/>
        <w:jc w:val="both"/>
      </w:pPr>
      <w:r>
        <w:t xml:space="preserve">excellente connaissance des stratégies, méthodes et processus de l’industrie pharmaceutique, des vaccins, des réactifs de laboratoire et des produits de diagnostic, des kits, des produits chimiques, de la </w:t>
      </w:r>
      <w:proofErr w:type="spellStart"/>
      <w:r>
        <w:t>bioproduction</w:t>
      </w:r>
      <w:proofErr w:type="spellEnd"/>
      <w:r>
        <w:t xml:space="preserve"> et de l’IPA : analyse des spécifications, études de faisabilité, analyse des risques, conception des processus de production, suivi normatif et juridique, rapports de performance et optimisation ;</w:t>
      </w:r>
    </w:p>
    <w:p w14:paraId="3CDC975F" w14:textId="77777777" w:rsidR="00B95B66" w:rsidRPr="00620C2A" w:rsidRDefault="00B95B66" w:rsidP="00B95B66">
      <w:pPr>
        <w:pStyle w:val="ListParagraph"/>
        <w:numPr>
          <w:ilvl w:val="0"/>
          <w:numId w:val="43"/>
        </w:numPr>
        <w:spacing w:line="259" w:lineRule="auto"/>
        <w:jc w:val="both"/>
      </w:pPr>
      <w:r>
        <w:t xml:space="preserve">bonne compréhension des approches industrielles et des bonnes pratiques en matière de mise à l’échelle, de transfert de technologies, et de l’application des principes </w:t>
      </w:r>
      <w:proofErr w:type="spellStart"/>
      <w:r>
        <w:t>QbD</w:t>
      </w:r>
      <w:proofErr w:type="spellEnd"/>
      <w:r>
        <w:t xml:space="preserve"> au cours de la mise au point du processus ;</w:t>
      </w:r>
    </w:p>
    <w:p w14:paraId="75A7DFF7" w14:textId="77777777" w:rsidR="00B95B66" w:rsidRPr="00620C2A" w:rsidRDefault="00B95B66" w:rsidP="00B95B66">
      <w:pPr>
        <w:pStyle w:val="ListParagraph"/>
        <w:numPr>
          <w:ilvl w:val="0"/>
          <w:numId w:val="43"/>
        </w:numPr>
        <w:spacing w:line="259" w:lineRule="auto"/>
        <w:jc w:val="both"/>
      </w:pPr>
      <w:r>
        <w:t>bonne connaissance des notions et de la terminologie du transfert de technologies dans l’industrie pharmaceutique ;</w:t>
      </w:r>
    </w:p>
    <w:p w14:paraId="4447F95F" w14:textId="77777777" w:rsidR="00B95B66" w:rsidRPr="00620C2A" w:rsidRDefault="00B95B66" w:rsidP="00B95B66">
      <w:pPr>
        <w:pStyle w:val="ListParagraph"/>
        <w:numPr>
          <w:ilvl w:val="0"/>
          <w:numId w:val="43"/>
        </w:numPr>
        <w:spacing w:line="259" w:lineRule="auto"/>
        <w:jc w:val="both"/>
      </w:pPr>
      <w:r>
        <w:lastRenderedPageBreak/>
        <w:t xml:space="preserve">parfaite connaissance du </w:t>
      </w:r>
      <w:proofErr w:type="spellStart"/>
      <w:r>
        <w:t>cGMP</w:t>
      </w:r>
      <w:proofErr w:type="spellEnd"/>
      <w:r>
        <w:t xml:space="preserve"> et des principes de validation ;</w:t>
      </w:r>
    </w:p>
    <w:p w14:paraId="1836880F" w14:textId="77777777" w:rsidR="00B95B66" w:rsidRPr="00620C2A" w:rsidRDefault="00B95B66" w:rsidP="00B95B66">
      <w:pPr>
        <w:pStyle w:val="ListParagraph"/>
        <w:numPr>
          <w:ilvl w:val="0"/>
          <w:numId w:val="43"/>
        </w:numPr>
        <w:spacing w:line="259" w:lineRule="auto"/>
        <w:jc w:val="both"/>
      </w:pPr>
      <w:r>
        <w:t>bonne connaissance des processus et techniques de R&amp;D en médicaments et bonne connaissance de la recherche fondamentale et clinique ;</w:t>
      </w:r>
    </w:p>
    <w:p w14:paraId="7F0E530E" w14:textId="77777777" w:rsidR="00B95B66" w:rsidRPr="00620C2A" w:rsidRDefault="00B95B66" w:rsidP="00B95B66">
      <w:pPr>
        <w:pStyle w:val="ListParagraph"/>
        <w:numPr>
          <w:ilvl w:val="0"/>
          <w:numId w:val="43"/>
        </w:numPr>
        <w:spacing w:line="259" w:lineRule="auto"/>
        <w:jc w:val="both"/>
      </w:pPr>
      <w:r>
        <w:t>excellente connaissance de l’écosystème industriel africain et mondial, et des processus d’innovation en matière de médicaments et de vaccins ;</w:t>
      </w:r>
    </w:p>
    <w:p w14:paraId="63953559" w14:textId="77777777" w:rsidR="00B95B66" w:rsidRPr="00620C2A" w:rsidRDefault="00B95B66" w:rsidP="00B95B66">
      <w:pPr>
        <w:pStyle w:val="ListParagraph"/>
        <w:numPr>
          <w:ilvl w:val="0"/>
          <w:numId w:val="43"/>
        </w:numPr>
        <w:spacing w:line="259" w:lineRule="auto"/>
        <w:jc w:val="both"/>
      </w:pPr>
      <w:r>
        <w:t>haut niveau d’expertise et de créativité ;</w:t>
      </w:r>
    </w:p>
    <w:p w14:paraId="6E2C7B82" w14:textId="77777777" w:rsidR="00B95B66" w:rsidRPr="00620C2A" w:rsidRDefault="00B95B66" w:rsidP="00B95B66">
      <w:pPr>
        <w:pStyle w:val="ListParagraph"/>
        <w:numPr>
          <w:ilvl w:val="0"/>
          <w:numId w:val="43"/>
        </w:numPr>
        <w:spacing w:line="259" w:lineRule="auto"/>
        <w:jc w:val="both"/>
      </w:pPr>
      <w:r>
        <w:t xml:space="preserve">compréhension large et approfondie des divers aspects de la coopération au développement et du développement durable ; </w:t>
      </w:r>
    </w:p>
    <w:p w14:paraId="3B8B24CF" w14:textId="77777777" w:rsidR="00B95B66" w:rsidRPr="00620C2A" w:rsidRDefault="00B95B66" w:rsidP="00B95B66">
      <w:pPr>
        <w:pStyle w:val="ListParagraph"/>
        <w:numPr>
          <w:ilvl w:val="0"/>
          <w:numId w:val="43"/>
        </w:numPr>
        <w:spacing w:line="259" w:lineRule="auto"/>
        <w:jc w:val="both"/>
      </w:pPr>
      <w:r>
        <w:t>grande capacité d’adaptation à des contextes éducatifs et culturels divers ;</w:t>
      </w:r>
    </w:p>
    <w:p w14:paraId="640FF955" w14:textId="77777777" w:rsidR="00B95B66" w:rsidRPr="00620C2A" w:rsidRDefault="00B95B66" w:rsidP="00B95B66">
      <w:pPr>
        <w:pStyle w:val="ListParagraph"/>
        <w:numPr>
          <w:ilvl w:val="0"/>
          <w:numId w:val="43"/>
        </w:numPr>
        <w:spacing w:line="259" w:lineRule="auto"/>
        <w:jc w:val="both"/>
      </w:pPr>
      <w:r>
        <w:t>bonne capacité à fixer des priorités, à respecter les délais et à faire preuve d’autonomie ;</w:t>
      </w:r>
    </w:p>
    <w:p w14:paraId="53DD0D71" w14:textId="77777777" w:rsidR="00B95B66" w:rsidRPr="00620C2A" w:rsidRDefault="00B95B66" w:rsidP="00B95B66">
      <w:pPr>
        <w:pStyle w:val="ListParagraph"/>
        <w:numPr>
          <w:ilvl w:val="0"/>
          <w:numId w:val="43"/>
        </w:numPr>
        <w:spacing w:line="259" w:lineRule="auto"/>
        <w:jc w:val="both"/>
      </w:pPr>
      <w:r>
        <w:t>solides capacités en termes d’organisation, de gestion de données, d’analyse et de résolution des problèmes ;</w:t>
      </w:r>
    </w:p>
    <w:p w14:paraId="6259808A" w14:textId="77777777" w:rsidR="00B95B66" w:rsidRDefault="00B95B66" w:rsidP="00B95B66">
      <w:pPr>
        <w:pStyle w:val="ListParagraph"/>
        <w:numPr>
          <w:ilvl w:val="0"/>
          <w:numId w:val="43"/>
        </w:numPr>
        <w:spacing w:line="259" w:lineRule="auto"/>
        <w:jc w:val="both"/>
      </w:pPr>
      <w:r>
        <w:t>excellentes aptitudes communicationnelles, interpersonnelles, interculturelles et relationnelles.</w:t>
      </w:r>
    </w:p>
    <w:p w14:paraId="1E778AB3" w14:textId="77777777" w:rsidR="00C21B6D" w:rsidRPr="001747A5" w:rsidRDefault="00C21B6D" w:rsidP="00FE6E38"/>
    <w:p w14:paraId="1817E852" w14:textId="3FA6C503" w:rsidR="001A1F28" w:rsidRPr="001747A5" w:rsidRDefault="001A1F28" w:rsidP="001A1F28">
      <w:pPr>
        <w:pStyle w:val="Heading5"/>
      </w:pPr>
      <w:r>
        <w:t>Lot 13 : Développement et mobilisation du secteur privé</w:t>
      </w:r>
    </w:p>
    <w:p w14:paraId="173B5D0D" w14:textId="77777777" w:rsidR="00C21B6D" w:rsidRPr="001747A5" w:rsidRDefault="00C21B6D" w:rsidP="00C21B6D"/>
    <w:p w14:paraId="77E378F6" w14:textId="77777777" w:rsidR="00C21B6D" w:rsidRPr="001747A5" w:rsidRDefault="00C21B6D" w:rsidP="00C21B6D">
      <w:pPr>
        <w:pStyle w:val="ListParagraph"/>
        <w:numPr>
          <w:ilvl w:val="0"/>
          <w:numId w:val="43"/>
        </w:numPr>
        <w:spacing w:line="259" w:lineRule="auto"/>
        <w:jc w:val="both"/>
      </w:pPr>
      <w:r>
        <w:t>Expérience professionnelle dans le secteur de la santé publique/pharmaceutique en Afrique ;</w:t>
      </w:r>
    </w:p>
    <w:p w14:paraId="6CA47185" w14:textId="77777777" w:rsidR="00C21B6D" w:rsidRPr="001747A5" w:rsidRDefault="00C21B6D" w:rsidP="00C21B6D">
      <w:pPr>
        <w:pStyle w:val="ListParagraph"/>
        <w:numPr>
          <w:ilvl w:val="0"/>
          <w:numId w:val="43"/>
        </w:numPr>
        <w:spacing w:line="259" w:lineRule="auto"/>
        <w:jc w:val="both"/>
      </w:pPr>
      <w:r>
        <w:t>bonne maîtrise d’une ou de plusieurs autres langues de travail de l’UA (français, arabe, portugais…) ;</w:t>
      </w:r>
    </w:p>
    <w:p w14:paraId="18AF9721" w14:textId="77777777" w:rsidR="002B5F2D" w:rsidRPr="00620C2A" w:rsidRDefault="002B5F2D" w:rsidP="002B5F2D">
      <w:pPr>
        <w:pStyle w:val="ListParagraph"/>
        <w:numPr>
          <w:ilvl w:val="0"/>
          <w:numId w:val="43"/>
        </w:numPr>
        <w:spacing w:line="259" w:lineRule="auto"/>
        <w:jc w:val="both"/>
      </w:pPr>
      <w:r>
        <w:t>solide expérience dans le domaine des affaires, de la politique de santé et de l’économie ;</w:t>
      </w:r>
    </w:p>
    <w:p w14:paraId="23458EDA" w14:textId="77777777" w:rsidR="002B5F2D" w:rsidRPr="00620C2A" w:rsidRDefault="002B5F2D" w:rsidP="002B5F2D">
      <w:pPr>
        <w:pStyle w:val="ListParagraph"/>
        <w:numPr>
          <w:ilvl w:val="0"/>
          <w:numId w:val="43"/>
        </w:numPr>
        <w:spacing w:line="259" w:lineRule="auto"/>
        <w:jc w:val="both"/>
      </w:pPr>
      <w:r>
        <w:t xml:space="preserve">bonne connaissance des partenariats, du dialogue et des initiatives </w:t>
      </w:r>
      <w:proofErr w:type="spellStart"/>
      <w:r>
        <w:t>multiacteurs</w:t>
      </w:r>
      <w:proofErr w:type="spellEnd"/>
      <w:r>
        <w:t xml:space="preserve"> et public-privé dans le secteur pharmaceutique et des mécanismes de mobilisation de fonds privés pour le développement durable dans les PRFM ;</w:t>
      </w:r>
    </w:p>
    <w:p w14:paraId="3E860E12" w14:textId="77777777" w:rsidR="002B5F2D" w:rsidRPr="00620C2A" w:rsidRDefault="002B5F2D" w:rsidP="002B5F2D">
      <w:pPr>
        <w:pStyle w:val="ListParagraph"/>
        <w:numPr>
          <w:ilvl w:val="0"/>
          <w:numId w:val="43"/>
        </w:numPr>
        <w:spacing w:line="259" w:lineRule="auto"/>
        <w:jc w:val="both"/>
      </w:pPr>
      <w:r>
        <w:t>familiarisation avec l’écosystème juridique, réglementaire et institutionnel du secteur de la santé et de l’industrie pharmaceutique en Afrique ;</w:t>
      </w:r>
    </w:p>
    <w:p w14:paraId="37D6B051" w14:textId="77777777" w:rsidR="002B5F2D" w:rsidRPr="00620C2A" w:rsidRDefault="002B5F2D" w:rsidP="002B5F2D">
      <w:pPr>
        <w:pStyle w:val="ListParagraph"/>
        <w:numPr>
          <w:ilvl w:val="0"/>
          <w:numId w:val="43"/>
        </w:numPr>
        <w:spacing w:line="259" w:lineRule="auto"/>
        <w:jc w:val="both"/>
      </w:pPr>
      <w:r>
        <w:t>bonne expérience en matière d’assurance qualité publique/privée pour la production locale ;</w:t>
      </w:r>
    </w:p>
    <w:p w14:paraId="4236DCDB" w14:textId="77777777" w:rsidR="002B5F2D" w:rsidRPr="00620C2A" w:rsidRDefault="002B5F2D" w:rsidP="002B5F2D">
      <w:pPr>
        <w:pStyle w:val="ListParagraph"/>
        <w:numPr>
          <w:ilvl w:val="0"/>
          <w:numId w:val="43"/>
        </w:numPr>
        <w:spacing w:line="259" w:lineRule="auto"/>
        <w:jc w:val="both"/>
      </w:pPr>
      <w:r>
        <w:t>expérience de travail en Afrique et bonne connaissance du secteur de la santé privé en Afrique ;</w:t>
      </w:r>
    </w:p>
    <w:p w14:paraId="4DC397B2" w14:textId="77777777" w:rsidR="002B5F2D" w:rsidRPr="00620C2A" w:rsidRDefault="002B5F2D" w:rsidP="002B5F2D">
      <w:pPr>
        <w:pStyle w:val="ListParagraph"/>
        <w:numPr>
          <w:ilvl w:val="0"/>
          <w:numId w:val="43"/>
        </w:numPr>
        <w:spacing w:line="259" w:lineRule="auto"/>
        <w:jc w:val="both"/>
      </w:pPr>
      <w:r>
        <w:t>bonne connaissance des principaux défis du secteur pharmaceutique dans le contexte africain : manquements juridiques et réglementaires, faiblesses managériales, techniques et financières de certains acteurs publics, difficultés de coordination, faiblesse du partenariat public-privé dans le secteur de la santé et méfiance mutuelle, manque de ressources humaines spécialisées, prévalence du secteur informel et prédominance de médicaments de qualité inférieure/falsifiés, etc. ;</w:t>
      </w:r>
    </w:p>
    <w:p w14:paraId="639F7535" w14:textId="77777777" w:rsidR="002B5F2D" w:rsidRPr="00620C2A" w:rsidRDefault="002B5F2D" w:rsidP="002B5F2D">
      <w:pPr>
        <w:pStyle w:val="ListParagraph"/>
        <w:numPr>
          <w:ilvl w:val="0"/>
          <w:numId w:val="43"/>
        </w:numPr>
        <w:spacing w:line="259" w:lineRule="auto"/>
        <w:jc w:val="both"/>
      </w:pPr>
      <w:r>
        <w:t>grande capacité d’adaptation à des contextes éducatifs et culturels divers ;</w:t>
      </w:r>
    </w:p>
    <w:p w14:paraId="77606185" w14:textId="77777777" w:rsidR="002B5F2D" w:rsidRPr="00620C2A" w:rsidRDefault="002B5F2D" w:rsidP="002B5F2D">
      <w:pPr>
        <w:pStyle w:val="ListParagraph"/>
        <w:numPr>
          <w:ilvl w:val="0"/>
          <w:numId w:val="43"/>
        </w:numPr>
        <w:spacing w:line="259" w:lineRule="auto"/>
        <w:jc w:val="both"/>
      </w:pPr>
      <w:r>
        <w:t>bonne capacité à fixer des priorités, à respecter les délais et à faire preuve d’autonomie ;</w:t>
      </w:r>
    </w:p>
    <w:p w14:paraId="478A2167" w14:textId="77777777" w:rsidR="002B5F2D" w:rsidRPr="00620C2A" w:rsidRDefault="002B5F2D" w:rsidP="002B5F2D">
      <w:pPr>
        <w:pStyle w:val="ListParagraph"/>
        <w:numPr>
          <w:ilvl w:val="0"/>
          <w:numId w:val="43"/>
        </w:numPr>
        <w:spacing w:line="259" w:lineRule="auto"/>
        <w:jc w:val="both"/>
      </w:pPr>
      <w:r>
        <w:t>solides capacités en termes d’organisation, de gestion de données, d’analyse et de résolution des problèmes ;</w:t>
      </w:r>
    </w:p>
    <w:p w14:paraId="19305073" w14:textId="77777777" w:rsidR="002B5F2D" w:rsidRDefault="002B5F2D" w:rsidP="002B5F2D">
      <w:pPr>
        <w:pStyle w:val="ListParagraph"/>
        <w:numPr>
          <w:ilvl w:val="0"/>
          <w:numId w:val="43"/>
        </w:numPr>
        <w:spacing w:line="259" w:lineRule="auto"/>
        <w:jc w:val="both"/>
      </w:pPr>
      <w:r>
        <w:t>excellentes aptitudes communicationnelles, interpersonnelles, interculturelles et relationnelles.</w:t>
      </w:r>
    </w:p>
    <w:p w14:paraId="2E088660" w14:textId="77777777" w:rsidR="001A1F28" w:rsidRDefault="001A1F28" w:rsidP="00FE6E38"/>
    <w:p w14:paraId="7A03514E" w14:textId="77777777" w:rsidR="00C70A63" w:rsidRPr="001747A5" w:rsidRDefault="00C70A63" w:rsidP="00FE6E38"/>
    <w:p w14:paraId="05661249" w14:textId="2991459D" w:rsidR="001A1F28" w:rsidRPr="001747A5" w:rsidRDefault="00C21B6D" w:rsidP="001A1F28">
      <w:pPr>
        <w:pStyle w:val="Heading5"/>
      </w:pPr>
      <w:r>
        <w:lastRenderedPageBreak/>
        <w:t>Lot 14 : Monitoring &amp; Évaluation</w:t>
      </w:r>
    </w:p>
    <w:p w14:paraId="4468F0B5" w14:textId="27C6174C" w:rsidR="00C21B6D" w:rsidRPr="001747A5" w:rsidRDefault="00C21B6D" w:rsidP="00C21B6D"/>
    <w:p w14:paraId="27AADC68" w14:textId="77777777" w:rsidR="00C21B6D" w:rsidRPr="001747A5" w:rsidRDefault="00C21B6D" w:rsidP="00C21B6D">
      <w:pPr>
        <w:pStyle w:val="ListParagraph"/>
        <w:numPr>
          <w:ilvl w:val="0"/>
          <w:numId w:val="43"/>
        </w:numPr>
        <w:spacing w:line="259" w:lineRule="auto"/>
        <w:jc w:val="both"/>
      </w:pPr>
      <w:r>
        <w:t>Expérience professionnelle pertinente en Afrique ;</w:t>
      </w:r>
    </w:p>
    <w:p w14:paraId="0A96D4C4" w14:textId="77777777" w:rsidR="002B5F2D" w:rsidRDefault="00C21B6D" w:rsidP="00C21B6D">
      <w:pPr>
        <w:pStyle w:val="ListParagraph"/>
        <w:numPr>
          <w:ilvl w:val="0"/>
          <w:numId w:val="43"/>
        </w:numPr>
        <w:spacing w:line="259" w:lineRule="auto"/>
        <w:jc w:val="both"/>
      </w:pPr>
      <w:r>
        <w:t>familiarisation avec les aspects institutionnels, organisationnels et opérationnels des systèmes pharmaceutiques africains ;</w:t>
      </w:r>
    </w:p>
    <w:p w14:paraId="36E835D6" w14:textId="441F94A8" w:rsidR="001A1F28" w:rsidRDefault="00C21B6D" w:rsidP="00C21B6D">
      <w:pPr>
        <w:pStyle w:val="ListParagraph"/>
        <w:numPr>
          <w:ilvl w:val="0"/>
          <w:numId w:val="43"/>
        </w:numPr>
        <w:spacing w:line="259" w:lineRule="auto"/>
        <w:jc w:val="both"/>
      </w:pPr>
      <w:r>
        <w:t>bonne maîtrise d’une ou de plusieurs autres langues de travail de l’UA (français, arabe, portugais…) ;</w:t>
      </w:r>
    </w:p>
    <w:p w14:paraId="36C3C4B9" w14:textId="77777777" w:rsidR="002B5F2D" w:rsidRPr="00620C2A" w:rsidRDefault="002B5F2D" w:rsidP="002B5F2D">
      <w:pPr>
        <w:pStyle w:val="ListParagraph"/>
        <w:numPr>
          <w:ilvl w:val="0"/>
          <w:numId w:val="43"/>
        </w:numPr>
        <w:spacing w:line="259" w:lineRule="auto"/>
        <w:jc w:val="both"/>
      </w:pPr>
      <w:r>
        <w:t>solide expérience en matière de santé publique et de produits pharmaceutiques ;</w:t>
      </w:r>
    </w:p>
    <w:p w14:paraId="0F5EB478" w14:textId="77777777" w:rsidR="002B5F2D" w:rsidRPr="00620C2A" w:rsidRDefault="002B5F2D" w:rsidP="002B5F2D">
      <w:pPr>
        <w:pStyle w:val="ListParagraph"/>
        <w:numPr>
          <w:ilvl w:val="0"/>
          <w:numId w:val="43"/>
        </w:numPr>
        <w:spacing w:line="259" w:lineRule="auto"/>
        <w:jc w:val="both"/>
      </w:pPr>
      <w:r>
        <w:t>expertise technique et expérience avérées dans la gestion de projets et programmes, le monitoring &amp; l’évaluation, la redevabilité et les enseignements tirés (y compris dans des postes de consultance) ;</w:t>
      </w:r>
    </w:p>
    <w:p w14:paraId="3F3E091B" w14:textId="77777777" w:rsidR="002B5F2D" w:rsidRPr="00620C2A" w:rsidRDefault="002B5F2D" w:rsidP="002B5F2D">
      <w:pPr>
        <w:pStyle w:val="ListParagraph"/>
        <w:numPr>
          <w:ilvl w:val="0"/>
          <w:numId w:val="43"/>
        </w:numPr>
        <w:spacing w:line="259" w:lineRule="auto"/>
        <w:jc w:val="both"/>
      </w:pPr>
      <w:r>
        <w:t>solide connaissance des études et recherches en matière de santé publique, de collecte de données et d’analyse statistique, ainsi que d’évaluation de projets/programmes ;</w:t>
      </w:r>
    </w:p>
    <w:p w14:paraId="49F01C69" w14:textId="77777777" w:rsidR="002B5F2D" w:rsidRPr="00620C2A" w:rsidRDefault="002B5F2D" w:rsidP="002B5F2D">
      <w:pPr>
        <w:pStyle w:val="ListParagraph"/>
        <w:numPr>
          <w:ilvl w:val="0"/>
          <w:numId w:val="43"/>
        </w:numPr>
        <w:spacing w:line="259" w:lineRule="auto"/>
        <w:jc w:val="both"/>
      </w:pPr>
      <w:r>
        <w:t>excellente connaissance des méthodes, techniques et outils de M&amp;E ;</w:t>
      </w:r>
    </w:p>
    <w:p w14:paraId="1B7ECC8D" w14:textId="77777777" w:rsidR="002B5F2D" w:rsidRPr="00620C2A" w:rsidRDefault="002B5F2D" w:rsidP="002B5F2D">
      <w:pPr>
        <w:pStyle w:val="ListParagraph"/>
        <w:numPr>
          <w:ilvl w:val="0"/>
          <w:numId w:val="43"/>
        </w:numPr>
        <w:spacing w:line="259" w:lineRule="auto"/>
        <w:jc w:val="both"/>
      </w:pPr>
      <w:r>
        <w:t>capacité avérée à développer et à gérer un système de M&amp;E (y compris la stratégie, le plan, les responsabilités, le monitoring continu des activités, le référentiel d’indicateurs, le rapportage et la périodicité, les évaluations intermédiaires et finales, etc.) ;</w:t>
      </w:r>
    </w:p>
    <w:p w14:paraId="6A79FFFB" w14:textId="77777777" w:rsidR="002B5F2D" w:rsidRPr="00620C2A" w:rsidRDefault="002B5F2D" w:rsidP="002B5F2D">
      <w:pPr>
        <w:pStyle w:val="ListParagraph"/>
        <w:numPr>
          <w:ilvl w:val="0"/>
          <w:numId w:val="43"/>
        </w:numPr>
        <w:spacing w:line="259" w:lineRule="auto"/>
        <w:jc w:val="both"/>
      </w:pPr>
      <w:r>
        <w:t>maîtrise des logiciels épidémiologiques / biostatistiques (Epi Info, SPSS, Epi Data, etc.), de la cartographie et des bases de données (Access, SQL Server, Sybase, etc.) ;</w:t>
      </w:r>
    </w:p>
    <w:p w14:paraId="655E3A51" w14:textId="77777777" w:rsidR="002B5F2D" w:rsidRPr="00620C2A" w:rsidRDefault="002B5F2D" w:rsidP="002B5F2D">
      <w:pPr>
        <w:pStyle w:val="ListParagraph"/>
        <w:numPr>
          <w:ilvl w:val="0"/>
          <w:numId w:val="43"/>
        </w:numPr>
        <w:spacing w:line="259" w:lineRule="auto"/>
        <w:jc w:val="both"/>
      </w:pPr>
      <w:r>
        <w:t>grande capacité d’adaptation à des contextes éducatifs et culturels divers ;</w:t>
      </w:r>
    </w:p>
    <w:p w14:paraId="6AF0121C" w14:textId="77777777" w:rsidR="002B5F2D" w:rsidRPr="00620C2A" w:rsidRDefault="002B5F2D" w:rsidP="002B5F2D">
      <w:pPr>
        <w:pStyle w:val="ListParagraph"/>
        <w:numPr>
          <w:ilvl w:val="0"/>
          <w:numId w:val="43"/>
        </w:numPr>
        <w:spacing w:line="259" w:lineRule="auto"/>
        <w:jc w:val="both"/>
      </w:pPr>
      <w:r>
        <w:t>bonne capacité à fixer des priorités, à respecter les délais et à faire preuve d’autonomie ;</w:t>
      </w:r>
    </w:p>
    <w:p w14:paraId="16F3B077" w14:textId="77777777" w:rsidR="002B5F2D" w:rsidRPr="00620C2A" w:rsidRDefault="002B5F2D" w:rsidP="002B5F2D">
      <w:pPr>
        <w:pStyle w:val="ListParagraph"/>
        <w:numPr>
          <w:ilvl w:val="0"/>
          <w:numId w:val="43"/>
        </w:numPr>
        <w:spacing w:line="259" w:lineRule="auto"/>
        <w:jc w:val="both"/>
      </w:pPr>
      <w:r>
        <w:t>solides capacités en termes d’organisation, de gestion de données, d’analyse et de résolution des problèmes ;</w:t>
      </w:r>
    </w:p>
    <w:p w14:paraId="1DC5751D" w14:textId="77777777" w:rsidR="002B5F2D" w:rsidRPr="00426695" w:rsidRDefault="002B5F2D" w:rsidP="002B5F2D">
      <w:pPr>
        <w:pStyle w:val="ListParagraph"/>
        <w:numPr>
          <w:ilvl w:val="0"/>
          <w:numId w:val="43"/>
        </w:numPr>
        <w:spacing w:line="259" w:lineRule="auto"/>
        <w:jc w:val="both"/>
      </w:pPr>
      <w:r>
        <w:t>excellentes aptitudes communicationnelles, interpersonnelles, interculturelles et relationnelles.</w:t>
      </w:r>
    </w:p>
    <w:p w14:paraId="4828D0EB" w14:textId="77777777" w:rsidR="00C70A63" w:rsidRPr="00AD683F" w:rsidRDefault="00C70A63" w:rsidP="00C21B6D">
      <w:pPr>
        <w:rPr>
          <w:lang w:val="fr-BE"/>
        </w:rPr>
      </w:pPr>
    </w:p>
    <w:p w14:paraId="75F765F0" w14:textId="71A25456" w:rsidR="001A1F28" w:rsidRPr="001747A5" w:rsidRDefault="00C21B6D" w:rsidP="001A1F28">
      <w:pPr>
        <w:pStyle w:val="Heading5"/>
      </w:pPr>
      <w:r>
        <w:t>Lot 15 : Soutien managérial, institutionnel et auxiliaire</w:t>
      </w:r>
    </w:p>
    <w:p w14:paraId="47F0A504" w14:textId="77777777" w:rsidR="001A1F28" w:rsidRPr="00AD683F" w:rsidRDefault="001A1F28" w:rsidP="00FE6E38">
      <w:pPr>
        <w:rPr>
          <w:lang w:val="fr-BE"/>
        </w:rPr>
      </w:pPr>
    </w:p>
    <w:p w14:paraId="5EB975B6" w14:textId="77777777" w:rsidR="00C21B6D" w:rsidRPr="001747A5" w:rsidRDefault="00C21B6D" w:rsidP="00C21B6D">
      <w:pPr>
        <w:pStyle w:val="ListParagraph"/>
        <w:numPr>
          <w:ilvl w:val="0"/>
          <w:numId w:val="43"/>
        </w:numPr>
        <w:spacing w:line="259" w:lineRule="auto"/>
        <w:jc w:val="both"/>
      </w:pPr>
      <w:r>
        <w:t>formation complémentaire en finances et/ou en planification ;</w:t>
      </w:r>
    </w:p>
    <w:p w14:paraId="3018C632" w14:textId="534C628E" w:rsidR="001F2A49" w:rsidRDefault="00C21B6D" w:rsidP="00C70A63">
      <w:pPr>
        <w:pStyle w:val="ListParagraph"/>
        <w:numPr>
          <w:ilvl w:val="0"/>
          <w:numId w:val="43"/>
        </w:numPr>
        <w:spacing w:line="259" w:lineRule="auto"/>
        <w:jc w:val="both"/>
      </w:pPr>
      <w:r>
        <w:t>bonne maîtrise d’une ou de plusieurs autres langues de travail de l’UA (français, arabe, portugais…) ;</w:t>
      </w:r>
    </w:p>
    <w:p w14:paraId="34E85CE6" w14:textId="77777777" w:rsidR="002B5F2D" w:rsidRPr="00620C2A" w:rsidRDefault="002B5F2D" w:rsidP="002B5F2D">
      <w:pPr>
        <w:pStyle w:val="ListParagraph"/>
        <w:numPr>
          <w:ilvl w:val="0"/>
          <w:numId w:val="43"/>
        </w:numPr>
        <w:spacing w:line="259" w:lineRule="auto"/>
        <w:jc w:val="both"/>
      </w:pPr>
      <w:r>
        <w:t>solide expérience dans le domaine des affaires, de l’économie, de l’administration et/ou des RH ;</w:t>
      </w:r>
    </w:p>
    <w:p w14:paraId="5140B6A6" w14:textId="77777777" w:rsidR="002B5F2D" w:rsidRPr="00620C2A" w:rsidRDefault="002B5F2D" w:rsidP="002B5F2D">
      <w:pPr>
        <w:pStyle w:val="ListParagraph"/>
        <w:numPr>
          <w:ilvl w:val="0"/>
          <w:numId w:val="43"/>
        </w:numPr>
        <w:spacing w:line="259" w:lineRule="auto"/>
        <w:jc w:val="both"/>
      </w:pPr>
      <w:r>
        <w:t>expertise technique et expérience avérées en gestion de projets ;</w:t>
      </w:r>
    </w:p>
    <w:p w14:paraId="3AABE901" w14:textId="77777777" w:rsidR="002B5F2D" w:rsidRPr="00620C2A" w:rsidRDefault="002B5F2D" w:rsidP="002B5F2D">
      <w:pPr>
        <w:pStyle w:val="ListParagraph"/>
        <w:numPr>
          <w:ilvl w:val="0"/>
          <w:numId w:val="43"/>
        </w:numPr>
        <w:spacing w:line="259" w:lineRule="auto"/>
        <w:jc w:val="both"/>
      </w:pPr>
      <w:r>
        <w:t>connaissance approfondie des différents parties prenantes et acteurs concernés par le développement d’une infrastructure locale de fabrication de médicaments et de vaccins ;</w:t>
      </w:r>
    </w:p>
    <w:p w14:paraId="70169803" w14:textId="77777777" w:rsidR="002B5F2D" w:rsidRDefault="002B5F2D" w:rsidP="002B5F2D">
      <w:pPr>
        <w:pStyle w:val="ListParagraph"/>
        <w:numPr>
          <w:ilvl w:val="0"/>
          <w:numId w:val="43"/>
        </w:numPr>
        <w:spacing w:line="259" w:lineRule="auto"/>
        <w:jc w:val="both"/>
      </w:pPr>
      <w:r>
        <w:t>maîtrise des outils de gestion des ressources humaines ;</w:t>
      </w:r>
    </w:p>
    <w:p w14:paraId="2DD2A453" w14:textId="77777777" w:rsidR="002B5F2D" w:rsidRPr="00620C2A" w:rsidRDefault="002B5F2D" w:rsidP="002B5F2D">
      <w:pPr>
        <w:pStyle w:val="ListParagraph"/>
        <w:numPr>
          <w:ilvl w:val="0"/>
          <w:numId w:val="43"/>
        </w:numPr>
        <w:spacing w:line="259" w:lineRule="auto"/>
        <w:jc w:val="both"/>
      </w:pPr>
      <w:r>
        <w:t>grande capacité d’adaptation à des contextes éducatifs et culturels divers ;</w:t>
      </w:r>
    </w:p>
    <w:p w14:paraId="04F6DA19" w14:textId="77777777" w:rsidR="002B5F2D" w:rsidRPr="00620C2A" w:rsidRDefault="002B5F2D" w:rsidP="002B5F2D">
      <w:pPr>
        <w:pStyle w:val="ListParagraph"/>
        <w:numPr>
          <w:ilvl w:val="0"/>
          <w:numId w:val="43"/>
        </w:numPr>
        <w:spacing w:line="259" w:lineRule="auto"/>
        <w:jc w:val="both"/>
      </w:pPr>
      <w:r>
        <w:t>bonne capacité à fixer des priorités, à respecter les délais et à faire preuve d’autonomie ;</w:t>
      </w:r>
    </w:p>
    <w:p w14:paraId="0D19B1AC" w14:textId="77777777" w:rsidR="002B5F2D" w:rsidRPr="00620C2A" w:rsidRDefault="002B5F2D" w:rsidP="002B5F2D">
      <w:pPr>
        <w:pStyle w:val="ListParagraph"/>
        <w:numPr>
          <w:ilvl w:val="0"/>
          <w:numId w:val="43"/>
        </w:numPr>
        <w:spacing w:line="259" w:lineRule="auto"/>
        <w:jc w:val="both"/>
      </w:pPr>
      <w:r>
        <w:t>solides capacités en termes d’organisation, de gestion de données, d’analyse et de résolution des problèmes ;</w:t>
      </w:r>
    </w:p>
    <w:p w14:paraId="2DC1DCFE" w14:textId="77777777" w:rsidR="002B5F2D" w:rsidRDefault="002B5F2D" w:rsidP="002B5F2D">
      <w:pPr>
        <w:pStyle w:val="ListParagraph"/>
        <w:numPr>
          <w:ilvl w:val="0"/>
          <w:numId w:val="43"/>
        </w:numPr>
        <w:spacing w:line="259" w:lineRule="auto"/>
        <w:jc w:val="both"/>
      </w:pPr>
      <w:r>
        <w:t>excellentes aptitudes communicationnelles, interpersonnelles, interculturelles et relationnelles.</w:t>
      </w:r>
    </w:p>
    <w:p w14:paraId="68844217" w14:textId="77777777" w:rsidR="002B5F2D" w:rsidRDefault="002B5F2D" w:rsidP="002B5F2D">
      <w:pPr>
        <w:pStyle w:val="ListParagraph"/>
        <w:spacing w:line="259" w:lineRule="auto"/>
        <w:jc w:val="both"/>
      </w:pPr>
    </w:p>
    <w:p w14:paraId="721AC67D" w14:textId="77777777" w:rsidR="00C70A63" w:rsidRPr="00C70A63" w:rsidRDefault="00C70A63" w:rsidP="009332B3">
      <w:pPr>
        <w:spacing w:line="259" w:lineRule="auto"/>
        <w:jc w:val="both"/>
      </w:pPr>
    </w:p>
    <w:p w14:paraId="58B7B859" w14:textId="6B5ACB94" w:rsidR="00204189" w:rsidRDefault="00204189" w:rsidP="00204189">
      <w:pPr>
        <w:pStyle w:val="Heading4"/>
      </w:pPr>
      <w:bookmarkStart w:id="73" w:name="_Toc160610187"/>
      <w:r>
        <w:t>Nombre de CV (5 %)</w:t>
      </w:r>
      <w:bookmarkEnd w:id="73"/>
    </w:p>
    <w:p w14:paraId="78AC0BC0" w14:textId="77777777" w:rsidR="00A22675" w:rsidRDefault="00A22675" w:rsidP="00204189"/>
    <w:p w14:paraId="11D58988" w14:textId="316559C7" w:rsidR="001C66A1" w:rsidRPr="00A22675" w:rsidRDefault="00204189" w:rsidP="00204189">
      <w:r>
        <w:t>Le soumissionnaire introduit entre 1 et 5</w:t>
      </w:r>
      <w:r w:rsidR="00B5602D">
        <w:t> </w:t>
      </w:r>
      <w:r>
        <w:t>CV.</w:t>
      </w:r>
    </w:p>
    <w:p w14:paraId="7E7A0F8B" w14:textId="77777777" w:rsidR="00203674" w:rsidRPr="00BA235C" w:rsidRDefault="00203674" w:rsidP="00203674">
      <w:pPr>
        <w:pStyle w:val="BTCtextCTB"/>
        <w:rPr>
          <w:rFonts w:ascii="Georgia" w:hAnsi="Georgia"/>
          <w:color w:val="585756"/>
          <w:sz w:val="21"/>
          <w:szCs w:val="21"/>
        </w:rPr>
      </w:pPr>
      <w:r>
        <w:rPr>
          <w:rFonts w:ascii="Georgia" w:hAnsi="Georgia"/>
          <w:color w:val="585756"/>
          <w:sz w:val="21"/>
        </w:rPr>
        <w:t xml:space="preserve">La formule suivante sera appliquée : </w:t>
      </w:r>
    </w:p>
    <w:p w14:paraId="2BB336B1" w14:textId="1A6139E7" w:rsidR="00203674" w:rsidRDefault="00203674" w:rsidP="00203674">
      <w:pPr>
        <w:pStyle w:val="BTCtextCTB"/>
        <w:rPr>
          <w:rFonts w:ascii="Georgia" w:hAnsi="Georgia"/>
          <w:color w:val="585756"/>
          <w:sz w:val="21"/>
          <w:szCs w:val="21"/>
        </w:rPr>
      </w:pPr>
      <w:r>
        <w:rPr>
          <w:rFonts w:ascii="Georgia" w:hAnsi="Georgia"/>
          <w:color w:val="585756"/>
          <w:sz w:val="21"/>
        </w:rPr>
        <w:t>Points offre X = Nombre de CV de l’offre X * 5  / Offre comportant le nombre le plus élevé de CV</w:t>
      </w:r>
    </w:p>
    <w:p w14:paraId="4124016F" w14:textId="77777777" w:rsidR="00204189" w:rsidRPr="00AD683F" w:rsidRDefault="00204189" w:rsidP="009332B3">
      <w:pPr>
        <w:rPr>
          <w:lang w:val="fr-BE"/>
        </w:rPr>
      </w:pPr>
    </w:p>
    <w:p w14:paraId="6A8E361E" w14:textId="37878F04" w:rsidR="001747A5" w:rsidRDefault="001747A5" w:rsidP="001747A5">
      <w:pPr>
        <w:pStyle w:val="Heading4"/>
      </w:pPr>
      <w:bookmarkStart w:id="74" w:name="_Toc160610188"/>
      <w:r>
        <w:t>Prix (50 %)</w:t>
      </w:r>
      <w:bookmarkEnd w:id="74"/>
    </w:p>
    <w:p w14:paraId="7FE62B2F" w14:textId="77777777" w:rsidR="00EF296F" w:rsidRPr="001747A5" w:rsidRDefault="00EF296F" w:rsidP="001747A5"/>
    <w:p w14:paraId="5ED53D4D" w14:textId="77777777" w:rsidR="001747A5" w:rsidRPr="00BA235C" w:rsidRDefault="001747A5" w:rsidP="001747A5">
      <w:pPr>
        <w:pStyle w:val="BTCtextCTB"/>
        <w:rPr>
          <w:rFonts w:ascii="Georgia" w:hAnsi="Georgia"/>
          <w:color w:val="585756"/>
          <w:sz w:val="21"/>
          <w:szCs w:val="21"/>
        </w:rPr>
      </w:pPr>
      <w:r>
        <w:rPr>
          <w:rFonts w:ascii="Georgia" w:hAnsi="Georgia"/>
          <w:color w:val="585756"/>
          <w:sz w:val="21"/>
        </w:rPr>
        <w:t xml:space="preserve">La formule suivante sera appliquée : </w:t>
      </w:r>
    </w:p>
    <w:p w14:paraId="359D96DA" w14:textId="0FA8A5F1" w:rsidR="001747A5" w:rsidRDefault="001747A5" w:rsidP="001747A5">
      <w:pPr>
        <w:pStyle w:val="BTCtextCTB"/>
        <w:rPr>
          <w:rFonts w:ascii="Georgia" w:hAnsi="Georgia"/>
          <w:color w:val="585756"/>
          <w:sz w:val="21"/>
          <w:szCs w:val="21"/>
        </w:rPr>
      </w:pPr>
      <w:r>
        <w:rPr>
          <w:rFonts w:ascii="Georgia" w:hAnsi="Georgia"/>
          <w:color w:val="585756"/>
          <w:sz w:val="21"/>
        </w:rPr>
        <w:t>Points offre X = Montant offre la plus basse * 50  / Montant de l’offre X</w:t>
      </w:r>
    </w:p>
    <w:p w14:paraId="1A247526" w14:textId="77777777" w:rsidR="000F09F8" w:rsidRDefault="000F09F8" w:rsidP="00C70A63">
      <w:pPr>
        <w:pStyle w:val="BodyText"/>
        <w:rPr>
          <w:rFonts w:ascii="Georgia" w:eastAsia="Calibri" w:hAnsi="Georgia" w:cs="Times New Roman"/>
          <w:color w:val="585756"/>
          <w:kern w:val="0"/>
          <w:sz w:val="21"/>
          <w:szCs w:val="22"/>
        </w:rPr>
      </w:pPr>
    </w:p>
    <w:p w14:paraId="2911A174" w14:textId="77777777" w:rsidR="00203674" w:rsidRDefault="00203674" w:rsidP="00C70A63">
      <w:pPr>
        <w:pStyle w:val="BodyText"/>
        <w:rPr>
          <w:rFonts w:ascii="Georgia" w:eastAsia="Calibri" w:hAnsi="Georgia" w:cs="Times New Roman"/>
          <w:color w:val="585756"/>
          <w:kern w:val="0"/>
          <w:sz w:val="21"/>
          <w:szCs w:val="22"/>
        </w:rPr>
      </w:pPr>
    </w:p>
    <w:p w14:paraId="4CC0DCFE" w14:textId="6EEC6EE7" w:rsidR="00766F8C" w:rsidRDefault="00766F8C" w:rsidP="00766F8C">
      <w:pPr>
        <w:pStyle w:val="Heading4"/>
      </w:pPr>
      <w:bookmarkStart w:id="75" w:name="_Toc160610189"/>
      <w:r>
        <w:t>Cotation finale</w:t>
      </w:r>
      <w:bookmarkEnd w:id="75"/>
    </w:p>
    <w:p w14:paraId="208EE597" w14:textId="77777777" w:rsidR="00766F8C" w:rsidRDefault="00766F8C" w:rsidP="00C70A63">
      <w:pPr>
        <w:pStyle w:val="BodyText"/>
        <w:rPr>
          <w:rFonts w:ascii="Georgia" w:eastAsia="Calibri" w:hAnsi="Georgia" w:cs="Times New Roman"/>
          <w:color w:val="585756"/>
          <w:kern w:val="0"/>
          <w:sz w:val="21"/>
          <w:szCs w:val="22"/>
        </w:rPr>
      </w:pPr>
    </w:p>
    <w:p w14:paraId="7B349E9F" w14:textId="77777777" w:rsidR="00CF7109" w:rsidRDefault="00CF7109" w:rsidP="00CF7109">
      <w:pPr>
        <w:pStyle w:val="BodyText"/>
        <w:rPr>
          <w:rFonts w:ascii="Georgia" w:eastAsia="Calibri" w:hAnsi="Georgia" w:cs="Times New Roman"/>
          <w:color w:val="585756"/>
          <w:kern w:val="0"/>
          <w:sz w:val="21"/>
          <w:szCs w:val="22"/>
        </w:rPr>
      </w:pPr>
      <w:r>
        <w:rPr>
          <w:rFonts w:ascii="Georgia" w:hAnsi="Georgia"/>
          <w:color w:val="585756"/>
          <w:sz w:val="21"/>
        </w:rPr>
        <w:t>Les cotations des critères d’attribution seront additionnées pour constituer une cote finale sur 100.</w:t>
      </w:r>
    </w:p>
    <w:p w14:paraId="2CB62702" w14:textId="77777777" w:rsidR="00CF7109" w:rsidRDefault="00CF7109" w:rsidP="00CF7109">
      <w:pPr>
        <w:pStyle w:val="BodyText"/>
      </w:pPr>
      <w:bookmarkStart w:id="76" w:name="_Hlk99823286"/>
    </w:p>
    <w:p w14:paraId="63034B45" w14:textId="7FB33CA2" w:rsidR="00CF7109" w:rsidRDefault="00CF7109" w:rsidP="00CF7109">
      <w:pPr>
        <w:pStyle w:val="Heading3"/>
      </w:pPr>
      <w:bookmarkStart w:id="77" w:name="_Toc257039853"/>
      <w:bookmarkStart w:id="78" w:name="_Toc122009357"/>
      <w:bookmarkStart w:id="79" w:name="_Toc160610190"/>
      <w:r>
        <w:t>Attribution du marché public</w:t>
      </w:r>
      <w:bookmarkEnd w:id="77"/>
      <w:bookmarkEnd w:id="78"/>
      <w:bookmarkEnd w:id="79"/>
    </w:p>
    <w:p w14:paraId="106B8437" w14:textId="2620AF78" w:rsidR="00CF7109" w:rsidRPr="00C35865" w:rsidRDefault="007C5BDC" w:rsidP="00CF7109">
      <w:pPr>
        <w:pStyle w:val="BodyText"/>
        <w:rPr>
          <w:rFonts w:ascii="Georgia" w:eastAsia="Calibri" w:hAnsi="Georgia" w:cs="Times New Roman"/>
          <w:color w:val="585756"/>
          <w:kern w:val="0"/>
          <w:sz w:val="21"/>
          <w:szCs w:val="22"/>
        </w:rPr>
      </w:pPr>
      <w:bookmarkStart w:id="80" w:name="_Hlk99823333"/>
      <w:r>
        <w:rPr>
          <w:rFonts w:ascii="Georgia" w:hAnsi="Georgia"/>
          <w:color w:val="585756"/>
          <w:sz w:val="21"/>
        </w:rPr>
        <w:t>Pour chaque lot, le</w:t>
      </w:r>
      <w:bookmarkEnd w:id="76"/>
      <w:r>
        <w:rPr>
          <w:rFonts w:ascii="Georgia" w:hAnsi="Georgia"/>
          <w:color w:val="585756"/>
          <w:sz w:val="21"/>
        </w:rPr>
        <w:t xml:space="preserve"> marché sera attribué aux quatre soumissionnaires qui obtiennent la cotation finale la plus élevée, après que le pouvoir adjudicateur aura vérifié, à l’égard de ces soumissionnaires, l’exactitude de la déclaration implicite sur l’honneur et à condition que le contrôle ait démontré que la déclaration implicite sur l’honneur correspond à la réalité.</w:t>
      </w:r>
    </w:p>
    <w:p w14:paraId="07BBE5E9" w14:textId="77777777" w:rsidR="00CF7109" w:rsidRPr="00C35865" w:rsidRDefault="00CF7109" w:rsidP="00C35865">
      <w:pPr>
        <w:pStyle w:val="BodyText"/>
        <w:rPr>
          <w:rFonts w:ascii="Georgia" w:eastAsia="Calibri" w:hAnsi="Georgia" w:cs="Times New Roman"/>
          <w:color w:val="585756"/>
          <w:kern w:val="0"/>
          <w:sz w:val="21"/>
          <w:szCs w:val="22"/>
        </w:rPr>
      </w:pPr>
      <w:r>
        <w:rPr>
          <w:rFonts w:ascii="Georgia" w:hAnsi="Georgia"/>
          <w:color w:val="585756"/>
          <w:sz w:val="21"/>
        </w:rPr>
        <w:t>Il faut néanmoins remarquer que, conformément à l’art. 85 de la Loi du 17 juin 2016, il n’existe aucune obligation pour le pouvoir adjudicateur d’attribuer le marché.</w:t>
      </w:r>
    </w:p>
    <w:p w14:paraId="4E6FCA66" w14:textId="45A5E1EA" w:rsidR="00CF7109" w:rsidRDefault="00CF7109" w:rsidP="00CF7109">
      <w:pPr>
        <w:pStyle w:val="BodyText"/>
        <w:rPr>
          <w:rFonts w:ascii="Georgia" w:eastAsia="Calibri" w:hAnsi="Georgia" w:cs="Times New Roman"/>
          <w:color w:val="585756"/>
          <w:kern w:val="0"/>
          <w:sz w:val="21"/>
          <w:szCs w:val="22"/>
        </w:rPr>
      </w:pPr>
      <w:r>
        <w:rPr>
          <w:rFonts w:ascii="Georgia" w:hAnsi="Georgia"/>
          <w:color w:val="585756"/>
          <w:sz w:val="21"/>
        </w:rPr>
        <w:t>Le pouvoir adjudicateur peut soit renoncer à passer le marché, soit refaire la procédure, au besoin suivant un autre mode.</w:t>
      </w:r>
    </w:p>
    <w:p w14:paraId="447C6EB4" w14:textId="77777777" w:rsidR="00A13636" w:rsidRPr="005B7D75" w:rsidRDefault="00A13636" w:rsidP="00CF7109">
      <w:pPr>
        <w:pStyle w:val="BodyText"/>
        <w:rPr>
          <w:rFonts w:ascii="Georgia" w:eastAsia="Calibri" w:hAnsi="Georgia" w:cs="Times New Roman"/>
          <w:color w:val="585756"/>
          <w:kern w:val="0"/>
          <w:sz w:val="21"/>
          <w:szCs w:val="22"/>
        </w:rPr>
      </w:pPr>
    </w:p>
    <w:p w14:paraId="6D3041FE" w14:textId="605CA3AC" w:rsidR="00EC6BAA" w:rsidRPr="00EC6BAA" w:rsidRDefault="00EC6BAA" w:rsidP="009C1DE5">
      <w:pPr>
        <w:pStyle w:val="Heading2"/>
      </w:pPr>
      <w:bookmarkStart w:id="81" w:name="_Toc160610191"/>
      <w:bookmarkEnd w:id="80"/>
      <w:r>
        <w:t>Conclusion du marché public</w:t>
      </w:r>
      <w:bookmarkEnd w:id="81"/>
    </w:p>
    <w:p w14:paraId="67B9E8AF" w14:textId="34BF489F" w:rsidR="000D2F04" w:rsidRPr="00956943" w:rsidRDefault="000D2F04" w:rsidP="000D2F04">
      <w:pPr>
        <w:pStyle w:val="Heading3"/>
      </w:pPr>
      <w:bookmarkStart w:id="82" w:name="_Toc70082218"/>
      <w:bookmarkStart w:id="83" w:name="_Toc160610192"/>
      <w:r>
        <w:t>Conclusion</w:t>
      </w:r>
      <w:bookmarkEnd w:id="82"/>
      <w:r>
        <w:t xml:space="preserve"> de l’accord-cadre</w:t>
      </w:r>
      <w:bookmarkEnd w:id="83"/>
    </w:p>
    <w:p w14:paraId="7CB74CAC" w14:textId="77777777"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Conformément à l’art. 88 de l’A.R. du 18 avril 2017, le marché a lieu par la notification aux adjudicataires de l’approbation de leur offre. </w:t>
      </w:r>
    </w:p>
    <w:p w14:paraId="1F055F3E" w14:textId="5E9FE751"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La notification du marché est effectuée par les plateformes électroniques, par courrier électronique et, le même jour, par envoi recommandé.  </w:t>
      </w:r>
    </w:p>
    <w:p w14:paraId="2C2391A3" w14:textId="77777777" w:rsidR="00217ACE" w:rsidRPr="00217ACE" w:rsidRDefault="00217ACE" w:rsidP="00217ACE">
      <w:pPr>
        <w:pStyle w:val="BodyText"/>
        <w:rPr>
          <w:rFonts w:ascii="Georgia" w:eastAsia="Calibri" w:hAnsi="Georgia" w:cs="Times New Roman"/>
          <w:color w:val="585756"/>
          <w:kern w:val="0"/>
          <w:sz w:val="21"/>
          <w:szCs w:val="22"/>
        </w:rPr>
      </w:pPr>
      <w:r>
        <w:rPr>
          <w:rFonts w:ascii="Georgia" w:hAnsi="Georgia"/>
          <w:color w:val="585756"/>
          <w:sz w:val="21"/>
        </w:rPr>
        <w:t xml:space="preserve">Le contrat intégral consiste dès lors en un marché attribué par </w:t>
      </w:r>
      <w:proofErr w:type="spellStart"/>
      <w:r>
        <w:rPr>
          <w:rFonts w:ascii="Georgia" w:hAnsi="Georgia"/>
          <w:color w:val="585756"/>
          <w:sz w:val="21"/>
        </w:rPr>
        <w:t>Enabel</w:t>
      </w:r>
      <w:proofErr w:type="spellEnd"/>
      <w:r>
        <w:rPr>
          <w:rFonts w:ascii="Georgia" w:hAnsi="Georgia"/>
          <w:color w:val="585756"/>
          <w:sz w:val="21"/>
        </w:rPr>
        <w:t xml:space="preserve"> au soumissionnaire choisi conformément au :</w:t>
      </w:r>
    </w:p>
    <w:p w14:paraId="6B96D1F6"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au présent CSC et ses annexes ;</w:t>
      </w:r>
    </w:p>
    <w:p w14:paraId="1401A99B"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lastRenderedPageBreak/>
        <w:t>à l’offre approuvée de l’adjudicataire et toutes ses annexes ;</w:t>
      </w:r>
    </w:p>
    <w:p w14:paraId="1ED44DB1"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à la lettre recommandée portant notification de la décision d’attribution ;</w:t>
      </w:r>
    </w:p>
    <w:p w14:paraId="51B5437C" w14:textId="77777777" w:rsidR="00217ACE" w:rsidRPr="00217ACE" w:rsidRDefault="00217ACE">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aux soumissions retenues dans le cadre des marchés subséquents et les courriels d’attribution des marchés subséquents ;</w:t>
      </w:r>
    </w:p>
    <w:p w14:paraId="2DB02769" w14:textId="35756E59" w:rsidR="008F0245" w:rsidRPr="00C70A63" w:rsidRDefault="00217ACE" w:rsidP="00C70A63">
      <w:pPr>
        <w:pStyle w:val="BodyText"/>
        <w:numPr>
          <w:ilvl w:val="0"/>
          <w:numId w:val="19"/>
        </w:numPr>
        <w:rPr>
          <w:rFonts w:ascii="Georgia" w:eastAsia="Calibri" w:hAnsi="Georgia" w:cs="Times New Roman"/>
          <w:color w:val="585756"/>
          <w:kern w:val="0"/>
          <w:sz w:val="21"/>
          <w:szCs w:val="22"/>
        </w:rPr>
      </w:pPr>
      <w:r>
        <w:rPr>
          <w:rFonts w:ascii="Georgia" w:hAnsi="Georgia"/>
          <w:color w:val="585756"/>
          <w:sz w:val="21"/>
        </w:rPr>
        <w:t>le cas échéant, aux documents éventuels ultérieurs, acceptés par les deux parties.</w:t>
      </w:r>
    </w:p>
    <w:p w14:paraId="0C93C740" w14:textId="77777777" w:rsidR="000D2F04" w:rsidRPr="00217ACE" w:rsidRDefault="000D2F04" w:rsidP="000D2F04">
      <w:pPr>
        <w:pStyle w:val="BodyText"/>
        <w:ind w:left="720"/>
        <w:rPr>
          <w:rFonts w:ascii="Georgia" w:eastAsia="Calibri" w:hAnsi="Georgia" w:cs="Times New Roman"/>
          <w:color w:val="585756"/>
          <w:kern w:val="0"/>
          <w:sz w:val="21"/>
          <w:szCs w:val="22"/>
        </w:rPr>
      </w:pPr>
    </w:p>
    <w:p w14:paraId="5CCFAC63" w14:textId="77777777" w:rsidR="000D2F04" w:rsidRPr="009332B3" w:rsidRDefault="000D2F04" w:rsidP="000D2F04">
      <w:pPr>
        <w:pStyle w:val="Heading3"/>
      </w:pPr>
      <w:bookmarkStart w:id="84" w:name="_Toc160610193"/>
      <w:r>
        <w:t>Conclusion</w:t>
      </w:r>
      <w:bookmarkStart w:id="85" w:name="_Hlk157608200"/>
      <w:r>
        <w:t xml:space="preserve"> du marché public</w:t>
      </w:r>
      <w:bookmarkEnd w:id="84"/>
      <w:bookmarkEnd w:id="85"/>
    </w:p>
    <w:p w14:paraId="760DDB5E" w14:textId="77777777" w:rsidR="000D2F04" w:rsidRDefault="000D2F04">
      <w:pPr>
        <w:spacing w:line="259" w:lineRule="auto"/>
      </w:pPr>
    </w:p>
    <w:p w14:paraId="26AFB919" w14:textId="77777777" w:rsidR="00A83215" w:rsidRPr="00C70A63" w:rsidRDefault="00A83215" w:rsidP="00A83215">
      <w:bookmarkStart w:id="86" w:name="_Hlk157603662"/>
      <w:r>
        <w:t>Les marchés fondés sur l’accord-cadre sont attribués par remise en concurrence des opérateurs économiques (OE) parties à l’accord-cadre.</w:t>
      </w:r>
    </w:p>
    <w:p w14:paraId="3E5CCB13" w14:textId="412082E4" w:rsidR="00A83215" w:rsidRPr="00897968" w:rsidRDefault="00A83215" w:rsidP="00A83215">
      <w:pPr>
        <w:spacing w:after="0"/>
      </w:pPr>
      <w:bookmarkStart w:id="87" w:name="_Hlk157765244"/>
      <w:r>
        <w:t>Pour chaque commande (marché public subséquent), les termes de référence seront publiés et envoyés par courriel simultanément à tous les OE parties au lot concerné de l’accord-cadre (jour X) par le fonctionnaire dirigeant (FD) ​du contrat-cadre.</w:t>
      </w:r>
    </w:p>
    <w:p w14:paraId="08E76D53" w14:textId="31D5CEC7" w:rsidR="00A83215" w:rsidRPr="00897968" w:rsidRDefault="00A83215" w:rsidP="00A83215">
      <w:pPr>
        <w:spacing w:after="0"/>
      </w:pPr>
      <w:r>
        <w:t>Le prestataire de services doit remettre offre au plus tard 7</w:t>
      </w:r>
      <w:r w:rsidR="00B5602D">
        <w:t> </w:t>
      </w:r>
      <w:r>
        <w:t>jours après le premier jour de calendrier suivant l’invitation (jour X+7) et la mission doit commencer (briefing initial / réunion de lancement) au plus tard 30</w:t>
      </w:r>
      <w:r w:rsidR="00B5602D">
        <w:t> </w:t>
      </w:r>
      <w:r>
        <w:t>jours après le premier jour de calendrier suivant l’invitation (jour X+30). Ces délais peuvent être raccourcis si nécessaire pour des missions urgentes.</w:t>
      </w:r>
    </w:p>
    <w:bookmarkEnd w:id="87"/>
    <w:p w14:paraId="3159BF54" w14:textId="77777777" w:rsidR="00A83215" w:rsidRPr="00897968" w:rsidRDefault="00A83215" w:rsidP="00A83215"/>
    <w:p w14:paraId="5B0DB981" w14:textId="77777777" w:rsidR="00A83215" w:rsidRPr="00897968" w:rsidRDefault="00A83215" w:rsidP="00A83215">
      <w:bookmarkStart w:id="88" w:name="_Hlk157772596"/>
      <w:r>
        <w:t>Les termes de référence préciseront ou incluront les informations suivantes :</w:t>
      </w:r>
    </w:p>
    <w:p w14:paraId="38926859" w14:textId="77777777" w:rsidR="00A83215" w:rsidRPr="00897968" w:rsidRDefault="00A83215" w:rsidP="00A83215">
      <w:pPr>
        <w:pStyle w:val="ListParagraph"/>
        <w:numPr>
          <w:ilvl w:val="0"/>
          <w:numId w:val="51"/>
        </w:numPr>
        <w:spacing w:line="259" w:lineRule="auto"/>
        <w:jc w:val="both"/>
      </w:pPr>
      <w:r>
        <w:t>Intitulé de la demande</w:t>
      </w:r>
    </w:p>
    <w:p w14:paraId="63B9FA0B" w14:textId="77777777" w:rsidR="00A83215" w:rsidRPr="00897968" w:rsidRDefault="00A83215" w:rsidP="00A83215">
      <w:pPr>
        <w:pStyle w:val="ListParagraph"/>
        <w:numPr>
          <w:ilvl w:val="0"/>
          <w:numId w:val="51"/>
        </w:numPr>
        <w:spacing w:line="259" w:lineRule="auto"/>
        <w:jc w:val="both"/>
      </w:pPr>
      <w:r>
        <w:t>Personne de contact pour la demande</w:t>
      </w:r>
    </w:p>
    <w:p w14:paraId="70BA5E6C" w14:textId="77777777" w:rsidR="00A83215" w:rsidRPr="00897968" w:rsidRDefault="00A83215" w:rsidP="00A83215">
      <w:pPr>
        <w:pStyle w:val="ListParagraph"/>
        <w:numPr>
          <w:ilvl w:val="0"/>
          <w:numId w:val="51"/>
        </w:numPr>
        <w:spacing w:line="259" w:lineRule="auto"/>
        <w:jc w:val="both"/>
      </w:pPr>
      <w:r>
        <w:t>Contexte et raison d’être de la demande d’expertise</w:t>
      </w:r>
    </w:p>
    <w:p w14:paraId="38C53AB0" w14:textId="77777777" w:rsidR="00A83215" w:rsidRPr="00897968" w:rsidRDefault="00A83215" w:rsidP="00A83215">
      <w:pPr>
        <w:pStyle w:val="ListParagraph"/>
        <w:numPr>
          <w:ilvl w:val="0"/>
          <w:numId w:val="51"/>
        </w:numPr>
        <w:spacing w:line="259" w:lineRule="auto"/>
        <w:jc w:val="both"/>
      </w:pPr>
      <w:r>
        <w:t>Objectifs et résultats escomptés de la demande</w:t>
      </w:r>
    </w:p>
    <w:p w14:paraId="027DBDB7" w14:textId="61F86911" w:rsidR="00213A63" w:rsidRPr="009332B3" w:rsidRDefault="00213A63" w:rsidP="00A83215">
      <w:pPr>
        <w:pStyle w:val="ListParagraph"/>
        <w:numPr>
          <w:ilvl w:val="0"/>
          <w:numId w:val="51"/>
        </w:numPr>
        <w:spacing w:line="259" w:lineRule="auto"/>
        <w:jc w:val="both"/>
      </w:pPr>
      <w:r>
        <w:t xml:space="preserve">Profil de(s) </w:t>
      </w:r>
      <w:proofErr w:type="spellStart"/>
      <w:r>
        <w:t>expert·e</w:t>
      </w:r>
      <w:proofErr w:type="spellEnd"/>
      <w:r>
        <w:t>(s) (qualifications, expérience professionnelle, connaissance et compétences)</w:t>
      </w:r>
    </w:p>
    <w:p w14:paraId="6E802DAA" w14:textId="2600B61D" w:rsidR="00213A63" w:rsidRPr="0073266B" w:rsidRDefault="00213A63" w:rsidP="00213A63">
      <w:pPr>
        <w:pStyle w:val="ListParagraph"/>
        <w:spacing w:line="259" w:lineRule="auto"/>
        <w:jc w:val="both"/>
      </w:pPr>
      <w:r w:rsidRPr="0073266B">
        <w:t>L’</w:t>
      </w:r>
      <w:proofErr w:type="spellStart"/>
      <w:r w:rsidRPr="0073266B">
        <w:t>expert·e</w:t>
      </w:r>
      <w:proofErr w:type="spellEnd"/>
      <w:r w:rsidRPr="0073266B">
        <w:t xml:space="preserve"> </w:t>
      </w:r>
      <w:proofErr w:type="spellStart"/>
      <w:r w:rsidRPr="0073266B">
        <w:t>proposé·e</w:t>
      </w:r>
      <w:proofErr w:type="spellEnd"/>
      <w:r w:rsidRPr="0073266B">
        <w:t xml:space="preserve"> doit être </w:t>
      </w:r>
      <w:proofErr w:type="spellStart"/>
      <w:r w:rsidRPr="0073266B">
        <w:t>celui·celle</w:t>
      </w:r>
      <w:proofErr w:type="spellEnd"/>
      <w:r w:rsidRPr="0073266B">
        <w:t>/</w:t>
      </w:r>
      <w:proofErr w:type="spellStart"/>
      <w:r w:rsidRPr="0073266B">
        <w:t>un·e</w:t>
      </w:r>
      <w:proofErr w:type="spellEnd"/>
      <w:r w:rsidRPr="0073266B">
        <w:t xml:space="preserve"> des </w:t>
      </w:r>
      <w:proofErr w:type="spellStart"/>
      <w:r w:rsidRPr="0073266B">
        <w:t>expert·es</w:t>
      </w:r>
      <w:proofErr w:type="spellEnd"/>
      <w:r w:rsidRPr="0073266B">
        <w:t xml:space="preserve"> faisant partie de l’offre initiale. </w:t>
      </w:r>
    </w:p>
    <w:p w14:paraId="40F22EF8" w14:textId="4E794792" w:rsidR="00213A63" w:rsidRPr="000504DA" w:rsidRDefault="00830BD8" w:rsidP="000504DA">
      <w:pPr>
        <w:pStyle w:val="ListParagraph"/>
        <w:spacing w:line="259" w:lineRule="auto"/>
        <w:jc w:val="both"/>
      </w:pPr>
      <w:r w:rsidRPr="0073266B">
        <w:t>En cas de remplacement d’</w:t>
      </w:r>
      <w:proofErr w:type="spellStart"/>
      <w:r w:rsidRPr="0073266B">
        <w:t>un·e</w:t>
      </w:r>
      <w:proofErr w:type="spellEnd"/>
      <w:r w:rsidRPr="0073266B">
        <w:t xml:space="preserve"> ou de plusieurs </w:t>
      </w:r>
      <w:proofErr w:type="spellStart"/>
      <w:r w:rsidRPr="0073266B">
        <w:t>expert·es</w:t>
      </w:r>
      <w:proofErr w:type="spellEnd"/>
      <w:r w:rsidRPr="0073266B">
        <w:t>, il y a lieu de se référer aux dispositions de 4.9.2.</w:t>
      </w:r>
    </w:p>
    <w:p w14:paraId="016949AF" w14:textId="77777777" w:rsidR="00A83215" w:rsidRPr="008B1D65" w:rsidRDefault="00A83215" w:rsidP="00A83215">
      <w:pPr>
        <w:pStyle w:val="ListParagraph"/>
        <w:numPr>
          <w:ilvl w:val="0"/>
          <w:numId w:val="51"/>
        </w:numPr>
        <w:spacing w:line="259" w:lineRule="auto"/>
        <w:jc w:val="both"/>
      </w:pPr>
      <w:r>
        <w:t>Livrables</w:t>
      </w:r>
    </w:p>
    <w:p w14:paraId="3F3C6696" w14:textId="77777777" w:rsidR="00A83215" w:rsidRPr="008B1D65" w:rsidRDefault="00A83215" w:rsidP="00A83215">
      <w:pPr>
        <w:pStyle w:val="ListParagraph"/>
        <w:numPr>
          <w:ilvl w:val="0"/>
          <w:numId w:val="51"/>
        </w:numPr>
        <w:spacing w:line="259" w:lineRule="auto"/>
        <w:jc w:val="both"/>
      </w:pPr>
      <w:r>
        <w:t>Planification</w:t>
      </w:r>
    </w:p>
    <w:p w14:paraId="0B386230" w14:textId="77777777" w:rsidR="00A83215" w:rsidRPr="008B1D65" w:rsidRDefault="00A83215" w:rsidP="00A83215">
      <w:pPr>
        <w:pStyle w:val="ListParagraph"/>
        <w:numPr>
          <w:ilvl w:val="1"/>
          <w:numId w:val="51"/>
        </w:numPr>
        <w:spacing w:line="259" w:lineRule="auto"/>
        <w:jc w:val="both"/>
      </w:pPr>
      <w:r>
        <w:t>Localisation</w:t>
      </w:r>
    </w:p>
    <w:p w14:paraId="0D1B7447" w14:textId="77777777" w:rsidR="00A83215" w:rsidRPr="008B1D65" w:rsidRDefault="00A83215" w:rsidP="00A83215">
      <w:pPr>
        <w:pStyle w:val="ListParagraph"/>
        <w:numPr>
          <w:ilvl w:val="1"/>
          <w:numId w:val="51"/>
        </w:numPr>
        <w:spacing w:line="259" w:lineRule="auto"/>
        <w:jc w:val="both"/>
      </w:pPr>
      <w:r>
        <w:t>Chronogramme et délai à partir du début de la mission (= briefing initial / réunion de lancement)</w:t>
      </w:r>
    </w:p>
    <w:p w14:paraId="71487B0B" w14:textId="7EC3F82A" w:rsidR="00A83215" w:rsidRPr="008B1D65" w:rsidRDefault="0027193C" w:rsidP="00A83215">
      <w:pPr>
        <w:pStyle w:val="ListParagraph"/>
        <w:numPr>
          <w:ilvl w:val="1"/>
          <w:numId w:val="51"/>
        </w:numPr>
        <w:spacing w:line="259" w:lineRule="auto"/>
        <w:jc w:val="both"/>
      </w:pPr>
      <w:r>
        <w:t>Personnes-jours de travail</w:t>
      </w:r>
    </w:p>
    <w:p w14:paraId="3C4D98C3" w14:textId="557CD3A2" w:rsidR="00A83215" w:rsidRDefault="00A83215" w:rsidP="00A83215">
      <w:pPr>
        <w:pStyle w:val="ListParagraph"/>
        <w:numPr>
          <w:ilvl w:val="1"/>
          <w:numId w:val="51"/>
        </w:numPr>
        <w:spacing w:line="259" w:lineRule="auto"/>
        <w:jc w:val="both"/>
      </w:pPr>
      <w:r>
        <w:t>Infos logistiques</w:t>
      </w:r>
    </w:p>
    <w:p w14:paraId="2C06B4D2" w14:textId="34347CF7" w:rsidR="0027193C" w:rsidRPr="008B1D65" w:rsidRDefault="0027193C" w:rsidP="009332B3">
      <w:pPr>
        <w:pStyle w:val="ListParagraph"/>
        <w:numPr>
          <w:ilvl w:val="0"/>
          <w:numId w:val="51"/>
        </w:numPr>
        <w:spacing w:line="259" w:lineRule="auto"/>
        <w:jc w:val="both"/>
      </w:pPr>
      <w:r>
        <w:t>Nombre max. de pages pour la méthodologie</w:t>
      </w:r>
    </w:p>
    <w:p w14:paraId="31B61A3C" w14:textId="77777777" w:rsidR="00A83215" w:rsidRPr="008B1D65" w:rsidRDefault="00A83215" w:rsidP="00A83215">
      <w:pPr>
        <w:pStyle w:val="ListParagraph"/>
        <w:spacing w:line="259" w:lineRule="auto"/>
        <w:ind w:left="1440"/>
        <w:jc w:val="both"/>
      </w:pPr>
    </w:p>
    <w:p w14:paraId="07EA3B19" w14:textId="77777777" w:rsidR="00A83215" w:rsidRPr="008B1D65" w:rsidRDefault="00A83215" w:rsidP="00A83215">
      <w:pPr>
        <w:spacing w:line="259" w:lineRule="auto"/>
        <w:jc w:val="both"/>
      </w:pPr>
      <w:r>
        <w:t>L’offre doit porter sur les thèmes suivants :</w:t>
      </w:r>
    </w:p>
    <w:p w14:paraId="3FE9E1C8" w14:textId="77777777" w:rsidR="00A83215" w:rsidRPr="008B1D65" w:rsidRDefault="00A83215" w:rsidP="00A83215">
      <w:pPr>
        <w:pStyle w:val="ListParagraph"/>
        <w:numPr>
          <w:ilvl w:val="0"/>
          <w:numId w:val="36"/>
        </w:numPr>
        <w:spacing w:line="259" w:lineRule="auto"/>
        <w:jc w:val="both"/>
      </w:pPr>
      <w:r>
        <w:t xml:space="preserve">la liste reprenant la composition de l’équipe / le(s) nom(s) des </w:t>
      </w:r>
      <w:proofErr w:type="spellStart"/>
      <w:r>
        <w:t>expert·e</w:t>
      </w:r>
      <w:proofErr w:type="spellEnd"/>
      <w:r>
        <w:t xml:space="preserve">(s) qui effectueront la mission parmi ceux et celles </w:t>
      </w:r>
      <w:proofErr w:type="spellStart"/>
      <w:r>
        <w:t>proposé·es</w:t>
      </w:r>
      <w:proofErr w:type="spellEnd"/>
      <w:r>
        <w:t xml:space="preserve"> dans l’offre initiale du soumissionnaire.</w:t>
      </w:r>
    </w:p>
    <w:p w14:paraId="0A879C3D" w14:textId="77777777" w:rsidR="00A83215" w:rsidRPr="008B1D65" w:rsidRDefault="00A83215" w:rsidP="00A83215">
      <w:pPr>
        <w:pStyle w:val="ListParagraph"/>
        <w:spacing w:line="259" w:lineRule="auto"/>
        <w:jc w:val="both"/>
      </w:pPr>
      <w:r>
        <w:t>Le pouvoir adjudicateur (</w:t>
      </w:r>
      <w:proofErr w:type="spellStart"/>
      <w:r>
        <w:t>Enabel</w:t>
      </w:r>
      <w:proofErr w:type="spellEnd"/>
      <w:r>
        <w:t>) vérifiera si les noms correspondent à ceux mentionnés dans l’offre initiale.</w:t>
      </w:r>
    </w:p>
    <w:p w14:paraId="0F8176D4" w14:textId="3A11483B" w:rsidR="00A83215" w:rsidRPr="0073266B" w:rsidRDefault="00A83215" w:rsidP="00A83215">
      <w:pPr>
        <w:pStyle w:val="ListParagraph"/>
        <w:spacing w:line="259" w:lineRule="auto"/>
        <w:jc w:val="both"/>
      </w:pPr>
      <w:r w:rsidRPr="0073266B">
        <w:lastRenderedPageBreak/>
        <w:t>En cas de remplacement d’</w:t>
      </w:r>
      <w:proofErr w:type="spellStart"/>
      <w:r w:rsidRPr="0073266B">
        <w:t>un·e</w:t>
      </w:r>
      <w:proofErr w:type="spellEnd"/>
      <w:r w:rsidRPr="0073266B">
        <w:t xml:space="preserve"> ou de plusieurs </w:t>
      </w:r>
      <w:proofErr w:type="spellStart"/>
      <w:r w:rsidRPr="0073266B">
        <w:t>expert·es</w:t>
      </w:r>
      <w:proofErr w:type="spellEnd"/>
      <w:r w:rsidRPr="0073266B">
        <w:t>, il y a lieu de se référer aux dispositions du 4.9.2. ;</w:t>
      </w:r>
    </w:p>
    <w:p w14:paraId="5D48838D" w14:textId="77777777" w:rsidR="00A83215" w:rsidRPr="00897968" w:rsidRDefault="00A83215" w:rsidP="00A83215">
      <w:pPr>
        <w:pStyle w:val="ListParagraph"/>
        <w:spacing w:line="259" w:lineRule="auto"/>
        <w:jc w:val="both"/>
        <w:rPr>
          <w:highlight w:val="green"/>
          <w:lang w:val="fr-BE"/>
        </w:rPr>
      </w:pPr>
    </w:p>
    <w:p w14:paraId="41EB9343" w14:textId="7FDA2CE0" w:rsidR="00A83215" w:rsidRDefault="00A83215" w:rsidP="00A83215">
      <w:pPr>
        <w:pStyle w:val="ListParagraph"/>
        <w:numPr>
          <w:ilvl w:val="0"/>
          <w:numId w:val="36"/>
        </w:numPr>
        <w:spacing w:line="259" w:lineRule="auto"/>
        <w:jc w:val="both"/>
      </w:pPr>
      <w:bookmarkStart w:id="89" w:name="_Hlk158717790"/>
      <w:r>
        <w:t xml:space="preserve">la méthodologie proposée pour l’intervention et le planning. </w:t>
      </w:r>
    </w:p>
    <w:p w14:paraId="533023C2" w14:textId="13D8A95C" w:rsidR="0027193C" w:rsidRDefault="0027193C" w:rsidP="0027193C">
      <w:pPr>
        <w:pStyle w:val="ListParagraph"/>
        <w:spacing w:line="259" w:lineRule="auto"/>
        <w:jc w:val="both"/>
      </w:pPr>
      <w:r>
        <w:t>À travers la méthodologie, le soumissionnaire devra démontrer sa compréhension des termes de référence.</w:t>
      </w:r>
    </w:p>
    <w:p w14:paraId="22489426" w14:textId="77777777" w:rsidR="00275661" w:rsidRPr="009332B3" w:rsidRDefault="00275661" w:rsidP="009332B3">
      <w:pPr>
        <w:pStyle w:val="ListParagraph"/>
        <w:spacing w:line="259" w:lineRule="auto"/>
        <w:jc w:val="both"/>
        <w:rPr>
          <w:lang w:val="fr-BE"/>
        </w:rPr>
      </w:pPr>
    </w:p>
    <w:bookmarkEnd w:id="89"/>
    <w:p w14:paraId="057D3F6B" w14:textId="77777777" w:rsidR="00A83215" w:rsidRPr="009332B3" w:rsidRDefault="00A83215" w:rsidP="00A83215">
      <w:pPr>
        <w:pStyle w:val="ListParagraph"/>
        <w:spacing w:line="259" w:lineRule="auto"/>
        <w:jc w:val="both"/>
        <w:rPr>
          <w:lang w:val="fr-BE"/>
        </w:rPr>
      </w:pPr>
    </w:p>
    <w:p w14:paraId="30F6A9B0" w14:textId="3F144EC8" w:rsidR="00A83215" w:rsidRPr="008B1D65" w:rsidRDefault="00A83215" w:rsidP="00A83215">
      <w:pPr>
        <w:pStyle w:val="ListParagraph"/>
        <w:numPr>
          <w:ilvl w:val="0"/>
          <w:numId w:val="36"/>
        </w:numPr>
        <w:spacing w:line="259" w:lineRule="auto"/>
        <w:jc w:val="both"/>
      </w:pPr>
      <w:r>
        <w:t>Le prix</w:t>
      </w:r>
    </w:p>
    <w:p w14:paraId="30FF3B92" w14:textId="6BA21A64" w:rsidR="00C31E9F" w:rsidRPr="008B1D65" w:rsidRDefault="00A83215" w:rsidP="00A83215">
      <w:pPr>
        <w:jc w:val="both"/>
        <w:rPr>
          <w:szCs w:val="21"/>
        </w:rPr>
      </w:pPr>
      <w:r>
        <w:t xml:space="preserve">Le prix est basé sur les prix unitaires de l’offre initiale. Les prix unitaires proposés ne peuvent être supérieurs aux prix unitaires de l’offre initiale. </w:t>
      </w:r>
    </w:p>
    <w:p w14:paraId="40FA1C53" w14:textId="4C7E7F55" w:rsidR="00A83215" w:rsidRPr="008B1D65" w:rsidRDefault="00A83215" w:rsidP="009332B3">
      <w:pPr>
        <w:jc w:val="both"/>
      </w:pPr>
      <w:r>
        <w:t>Le marché est attribué sur base d’une évaluation des propositions reçues. L’évaluation est réalisée en tenant des critères d’attribution suivants :</w:t>
      </w:r>
    </w:p>
    <w:p w14:paraId="561D655B" w14:textId="396179E4" w:rsidR="00A83215" w:rsidRPr="008B1D65" w:rsidRDefault="00A83215" w:rsidP="00A83215">
      <w:pPr>
        <w:pStyle w:val="ListParagraph"/>
        <w:numPr>
          <w:ilvl w:val="0"/>
          <w:numId w:val="37"/>
        </w:numPr>
      </w:pPr>
      <w:bookmarkStart w:id="90" w:name="_Hlk158805300"/>
      <w:r>
        <w:t>Méthodologie (y compris le planning) : 35 %</w:t>
      </w:r>
    </w:p>
    <w:p w14:paraId="40C63FA8" w14:textId="38CAD398" w:rsidR="00A83215" w:rsidRPr="008B1D65" w:rsidRDefault="00A83215" w:rsidP="00A83215">
      <w:pPr>
        <w:pStyle w:val="ListParagraph"/>
        <w:numPr>
          <w:ilvl w:val="0"/>
          <w:numId w:val="37"/>
        </w:numPr>
      </w:pPr>
      <w:r>
        <w:t>Prix : 40 %</w:t>
      </w:r>
    </w:p>
    <w:p w14:paraId="1084E394" w14:textId="44DB6670" w:rsidR="00A83215" w:rsidRPr="008B1D65" w:rsidRDefault="001B3BA6" w:rsidP="009332B3">
      <w:pPr>
        <w:pStyle w:val="ListParagraph"/>
        <w:numPr>
          <w:ilvl w:val="0"/>
          <w:numId w:val="37"/>
        </w:numPr>
      </w:pPr>
      <w:r>
        <w:t>Qualité des CV : 25 %</w:t>
      </w:r>
      <w:bookmarkEnd w:id="90"/>
    </w:p>
    <w:p w14:paraId="551B6C8C" w14:textId="77777777" w:rsidR="00A83215" w:rsidRPr="008B1D65" w:rsidRDefault="00A83215" w:rsidP="00A83215">
      <w:r>
        <w:t>La notification du marché est réalisée par courrier électronique sur la base d’une décision motivée.</w:t>
      </w:r>
    </w:p>
    <w:p w14:paraId="18201127" w14:textId="77777777" w:rsidR="00A83215" w:rsidRDefault="00A83215" w:rsidP="00A83215">
      <w:r>
        <w:t>Tous les autres OE sont informés par courriel du résultat de la procédure.</w:t>
      </w:r>
      <w:bookmarkEnd w:id="88"/>
    </w:p>
    <w:bookmarkEnd w:id="86"/>
    <w:p w14:paraId="5B6D5463" w14:textId="55D20B71" w:rsidR="00382114" w:rsidRDefault="00382114">
      <w:pPr>
        <w:spacing w:line="259" w:lineRule="auto"/>
      </w:pPr>
      <w:r>
        <w:br w:type="page"/>
      </w:r>
    </w:p>
    <w:p w14:paraId="6D304227" w14:textId="77777777" w:rsidR="00EC6BAA" w:rsidRDefault="00EC6BAA" w:rsidP="00B7382D">
      <w:pPr>
        <w:pStyle w:val="Heading1"/>
      </w:pPr>
      <w:bookmarkStart w:id="91" w:name="_Toc160610194"/>
      <w:r>
        <w:lastRenderedPageBreak/>
        <w:t>Conditions contractuelles et administratives particulières</w:t>
      </w:r>
      <w:bookmarkEnd w:id="91"/>
    </w:p>
    <w:p w14:paraId="1836D5F6" w14:textId="77777777" w:rsidR="00A22675" w:rsidRDefault="00A22675" w:rsidP="0012117F">
      <w:pPr>
        <w:pStyle w:val="BodyText"/>
        <w:rPr>
          <w:rFonts w:ascii="Georgia" w:hAnsi="Georgia"/>
          <w:color w:val="585756"/>
          <w:sz w:val="21"/>
        </w:rPr>
      </w:pPr>
    </w:p>
    <w:p w14:paraId="6D304228" w14:textId="204D2A97" w:rsidR="00EC6BAA" w:rsidRPr="00F23676" w:rsidRDefault="00EC6BAA" w:rsidP="0012117F">
      <w:pPr>
        <w:pStyle w:val="BodyText"/>
        <w:rPr>
          <w:rFonts w:ascii="Georgia" w:hAnsi="Georgia"/>
          <w:color w:val="585756"/>
          <w:sz w:val="21"/>
        </w:rPr>
      </w:pPr>
      <w:r>
        <w:rPr>
          <w:rFonts w:ascii="Georgia" w:hAnsi="Georgia"/>
          <w:color w:val="585756"/>
          <w:sz w:val="21"/>
        </w:rPr>
        <w:t>Le présent chapitre de ce CSC contient les clauses particulières applicables au présent marché public par dérogation aux «</w:t>
      </w:r>
      <w:r w:rsidR="00AD683F">
        <w:rPr>
          <w:rFonts w:ascii="Times New Roman" w:hAnsi="Times New Roman" w:cs="Times New Roman"/>
          <w:color w:val="585756"/>
          <w:sz w:val="21"/>
        </w:rPr>
        <w:t> </w:t>
      </w:r>
      <w:r>
        <w:rPr>
          <w:rFonts w:ascii="Georgia" w:hAnsi="Georgia"/>
          <w:color w:val="585756"/>
          <w:sz w:val="21"/>
        </w:rPr>
        <w:t>Règles générales d’exécution des marchés publics et des concessions de travaux publics » de l’A.R. du 14 janvier 2013, ci-après « RGE » ou qui complètent ou précisent celui-ci. Les articles indiqués ci-dessous (entre parenthèses) renvoient aux articles des RGE. En l’absence d’indication, les dispositions pertinentes des RGE sont intégralement d’application.</w:t>
      </w:r>
    </w:p>
    <w:p w14:paraId="0DC708A8" w14:textId="595EEBE3" w:rsidR="00AA6315" w:rsidRPr="00F23676" w:rsidRDefault="00AA6315" w:rsidP="0012117F">
      <w:pPr>
        <w:pStyle w:val="BodyText"/>
        <w:rPr>
          <w:rFonts w:ascii="Georgia" w:hAnsi="Georgia"/>
          <w:color w:val="585756"/>
          <w:sz w:val="21"/>
        </w:rPr>
      </w:pPr>
      <w:r>
        <w:rPr>
          <w:rFonts w:ascii="Georgia" w:hAnsi="Georgia"/>
          <w:color w:val="585756"/>
          <w:sz w:val="21"/>
        </w:rPr>
        <w:t>Les dérogations sont mentionnées au point 1.1 Dérogations aux règles générales d’exécution.</w:t>
      </w:r>
    </w:p>
    <w:p w14:paraId="3BDC4EC7" w14:textId="77777777" w:rsidR="00AA6315" w:rsidRPr="005B7D75" w:rsidRDefault="00AA6315" w:rsidP="005E62B1">
      <w:pPr>
        <w:jc w:val="both"/>
        <w:rPr>
          <w:sz w:val="20"/>
          <w:szCs w:val="20"/>
        </w:rPr>
      </w:pPr>
    </w:p>
    <w:p w14:paraId="6D304231" w14:textId="77777777" w:rsidR="00EC6BAA" w:rsidRPr="00A72E34" w:rsidRDefault="00EC6BAA" w:rsidP="00B7382D">
      <w:pPr>
        <w:pStyle w:val="Heading2"/>
      </w:pPr>
      <w:bookmarkStart w:id="92" w:name="_Toc160610195"/>
      <w:r>
        <w:t>Correspondance avec le prestataire de services (art. 10)</w:t>
      </w:r>
      <w:bookmarkEnd w:id="92"/>
    </w:p>
    <w:p w14:paraId="73F62650" w14:textId="77777777" w:rsidR="00867938" w:rsidRPr="0012117F" w:rsidRDefault="00867938" w:rsidP="0012117F">
      <w:pPr>
        <w:pStyle w:val="BodyText"/>
        <w:rPr>
          <w:rFonts w:ascii="Georgia" w:eastAsia="Calibri" w:hAnsi="Georgia" w:cs="Times New Roman"/>
          <w:color w:val="585756"/>
          <w:kern w:val="0"/>
          <w:sz w:val="21"/>
          <w:szCs w:val="22"/>
        </w:rPr>
      </w:pPr>
      <w:r>
        <w:rPr>
          <w:rFonts w:ascii="Georgia" w:hAnsi="Georgia"/>
          <w:color w:val="585756"/>
          <w:sz w:val="21"/>
        </w:rPr>
        <w:t>L’adjudicateur impose l’utilisation des moyens électroniques pour l’échange des pièces écrites.</w:t>
      </w:r>
    </w:p>
    <w:p w14:paraId="4528CCC3" w14:textId="1BC652FA" w:rsidR="00867938" w:rsidRPr="0012117F" w:rsidRDefault="00867938"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Que des moyens électroniques soient utilisés ou non, les communications, les échanges et le stockage d’informations se déroulent de manière à assurer que l’intégrité et la confidentialité des données soient préservées. </w:t>
      </w:r>
    </w:p>
    <w:p w14:paraId="740BFE57" w14:textId="77777777" w:rsidR="00D51B42" w:rsidRDefault="00D51B42" w:rsidP="00867938">
      <w:pPr>
        <w:pStyle w:val="BTCtextCTB"/>
        <w:rPr>
          <w:rFonts w:ascii="Georgia" w:eastAsia="DejaVu Sans" w:hAnsi="Georgia" w:cs="Tahoma"/>
          <w:color w:val="404040"/>
          <w:kern w:val="18"/>
          <w:sz w:val="21"/>
          <w:szCs w:val="21"/>
        </w:rPr>
      </w:pPr>
    </w:p>
    <w:p w14:paraId="6D304233" w14:textId="77777777" w:rsidR="00EC6BAA" w:rsidRPr="00A72E34" w:rsidRDefault="00EC6BAA" w:rsidP="00B7382D">
      <w:pPr>
        <w:pStyle w:val="Heading2"/>
      </w:pPr>
      <w:bookmarkStart w:id="93" w:name="_Toc160610196"/>
      <w:r>
        <w:t>Fonctionnaire dirigeant (art. 11)</w:t>
      </w:r>
      <w:bookmarkEnd w:id="93"/>
    </w:p>
    <w:p w14:paraId="13436E97" w14:textId="1851C39E" w:rsidR="006600F6" w:rsidRPr="006600F6" w:rsidRDefault="007B6339" w:rsidP="006600F6">
      <w:pPr>
        <w:pStyle w:val="BodyText"/>
        <w:rPr>
          <w:rFonts w:ascii="Georgia" w:hAnsi="Georgia"/>
          <w:color w:val="585756"/>
          <w:sz w:val="21"/>
        </w:rPr>
      </w:pPr>
      <w:r>
        <w:rPr>
          <w:rFonts w:ascii="Georgia" w:hAnsi="Georgia"/>
          <w:color w:val="585756"/>
          <w:sz w:val="21"/>
        </w:rPr>
        <w:t xml:space="preserve">La direction et le contrôle de l’exécution du marché public sont confiés à </w:t>
      </w:r>
      <w:proofErr w:type="spellStart"/>
      <w:r>
        <w:rPr>
          <w:rFonts w:ascii="Georgia" w:hAnsi="Georgia"/>
          <w:color w:val="585756"/>
          <w:sz w:val="21"/>
        </w:rPr>
        <w:t>Zaïha</w:t>
      </w:r>
      <w:proofErr w:type="spellEnd"/>
      <w:r>
        <w:rPr>
          <w:rFonts w:ascii="Georgia" w:hAnsi="Georgia"/>
          <w:color w:val="585756"/>
          <w:sz w:val="21"/>
        </w:rPr>
        <w:t xml:space="preserve"> AREZKI, Intervention Manager Structure d’appui Team Europe à l’initiative pour la fabrication et l’accès aux vaccins, aux médicaments et aux technologies de la santé en Afrique (TESS MAV+) :</w:t>
      </w:r>
    </w:p>
    <w:p w14:paraId="69DD94E2" w14:textId="77777777" w:rsidR="007B6339" w:rsidRPr="005B7D75" w:rsidRDefault="007B6339" w:rsidP="007B6339">
      <w:pPr>
        <w:pStyle w:val="BodyText"/>
        <w:rPr>
          <w:rFonts w:ascii="Georgia" w:eastAsia="Calibri" w:hAnsi="Georgia" w:cs="Times New Roman"/>
          <w:color w:val="585756"/>
          <w:kern w:val="0"/>
          <w:sz w:val="21"/>
          <w:szCs w:val="22"/>
        </w:rPr>
      </w:pPr>
      <w:proofErr w:type="spellStart"/>
      <w:r>
        <w:rPr>
          <w:rFonts w:ascii="Georgia" w:hAnsi="Georgia"/>
          <w:color w:val="585756"/>
          <w:sz w:val="21"/>
        </w:rPr>
        <w:t>Enabel</w:t>
      </w:r>
      <w:proofErr w:type="spellEnd"/>
    </w:p>
    <w:p w14:paraId="74A59DBB" w14:textId="77777777" w:rsidR="007B6339" w:rsidRPr="005B7D75" w:rsidRDefault="007B6339" w:rsidP="007B6339">
      <w:pPr>
        <w:pStyle w:val="BodyText"/>
        <w:rPr>
          <w:rFonts w:ascii="Georgia" w:eastAsia="Calibri" w:hAnsi="Georgia" w:cs="Times New Roman"/>
          <w:color w:val="585756"/>
          <w:kern w:val="0"/>
          <w:sz w:val="21"/>
          <w:szCs w:val="22"/>
        </w:rPr>
      </w:pPr>
      <w:r>
        <w:rPr>
          <w:rFonts w:ascii="Georgia" w:hAnsi="Georgia"/>
          <w:color w:val="585756"/>
          <w:sz w:val="21"/>
        </w:rPr>
        <w:t xml:space="preserve">Rue Haute 147, </w:t>
      </w:r>
    </w:p>
    <w:p w14:paraId="10A10F5D" w14:textId="77777777" w:rsidR="007B6339" w:rsidRPr="005B7D75" w:rsidRDefault="007B6339" w:rsidP="007B6339">
      <w:pPr>
        <w:pStyle w:val="BodyText"/>
        <w:rPr>
          <w:rFonts w:ascii="Georgia" w:eastAsia="Calibri" w:hAnsi="Georgia" w:cs="Times New Roman"/>
          <w:color w:val="585756"/>
          <w:kern w:val="0"/>
          <w:sz w:val="21"/>
          <w:szCs w:val="22"/>
        </w:rPr>
      </w:pPr>
      <w:r>
        <w:rPr>
          <w:rFonts w:ascii="Georgia" w:hAnsi="Georgia"/>
          <w:color w:val="585756"/>
          <w:sz w:val="21"/>
        </w:rPr>
        <w:t>1000 Bruxelles</w:t>
      </w:r>
    </w:p>
    <w:p w14:paraId="6DA07DC7" w14:textId="3FA48C4B" w:rsidR="006600F6" w:rsidRDefault="007B6339" w:rsidP="007B6339">
      <w:pPr>
        <w:pStyle w:val="BodyText"/>
        <w:rPr>
          <w:rFonts w:ascii="Georgia" w:hAnsi="Georgia"/>
          <w:color w:val="585756"/>
          <w:sz w:val="21"/>
        </w:rPr>
      </w:pPr>
      <w:r>
        <w:rPr>
          <w:rFonts w:ascii="Georgia" w:hAnsi="Georgia"/>
          <w:color w:val="585756"/>
          <w:sz w:val="21"/>
        </w:rPr>
        <w:t xml:space="preserve">Courriel : </w:t>
      </w:r>
      <w:hyperlink r:id="rId24" w:history="1">
        <w:r>
          <w:rPr>
            <w:rStyle w:val="Hyperlink"/>
            <w:rFonts w:ascii="Georgia" w:hAnsi="Georgia"/>
            <w:sz w:val="21"/>
          </w:rPr>
          <w:t>zaiha.arezki@enabel.be</w:t>
        </w:r>
      </w:hyperlink>
    </w:p>
    <w:p w14:paraId="16810287" w14:textId="77777777" w:rsidR="00A22675" w:rsidRDefault="00A22675" w:rsidP="0012117F">
      <w:pPr>
        <w:pStyle w:val="BodyText"/>
        <w:rPr>
          <w:rFonts w:ascii="Georgia" w:hAnsi="Georgia"/>
          <w:color w:val="585756"/>
          <w:sz w:val="21"/>
          <w:lang w:val="fr-BE"/>
        </w:rPr>
      </w:pPr>
    </w:p>
    <w:p w14:paraId="5943E5C9" w14:textId="388F8C13"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Une fois le marché conclu, le fonctionnaire dirigeant est l’interlocuteur principal du prestataire de services. Toute la correspondance et toutes les questions concernant l’exécution du marché lui seront adressées, sauf mention contraire expresse dans ce CSC.</w:t>
      </w:r>
    </w:p>
    <w:p w14:paraId="1CD323DE" w14:textId="77777777"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Le fonctionnaire dirigeant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6B13C467" w14:textId="77777777" w:rsidR="007B6339" w:rsidRPr="0012117F" w:rsidRDefault="007B6339"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Ne font toutefois pas partie de sa compétence : la signature d’avenants ainsi que toute autre décision ou accord impliquant une dérogation aux clauses et conditions essentielles du marché. Pour de telles décisions, le pouvoir adjudicateur est représenté comme stipulé au point 1.2 Pouvoir adjudicateur. </w:t>
      </w:r>
    </w:p>
    <w:p w14:paraId="7B2DBE7E" w14:textId="3CB84A19" w:rsidR="008F2864" w:rsidRPr="0012117F" w:rsidRDefault="008F2864" w:rsidP="0012117F">
      <w:pPr>
        <w:pStyle w:val="BodyText"/>
        <w:rPr>
          <w:rFonts w:ascii="Georgia" w:eastAsia="Calibri" w:hAnsi="Georgia" w:cs="Times New Roman"/>
          <w:color w:val="585756"/>
          <w:kern w:val="0"/>
          <w:sz w:val="21"/>
          <w:szCs w:val="22"/>
        </w:rPr>
      </w:pPr>
      <w:r>
        <w:rPr>
          <w:rFonts w:ascii="Georgia" w:hAnsi="Georgia"/>
          <w:color w:val="585756"/>
          <w:sz w:val="21"/>
        </w:rPr>
        <w:lastRenderedPageBreak/>
        <w:t>Le fonctionnaire dirigeant n’est en aucun cas habilité à modifier les modalités (p. ex., délais d’exécution) du contrat, même si l’impact financier devait être nul ou négatif. Tout engagement, modification ou accord dérogeant aux conditions stipulées dans le CSC et qui n’a pas été notifié par le pouvoir adjudicateur doit être considéré comme nul.</w:t>
      </w:r>
    </w:p>
    <w:p w14:paraId="04FF6EB6" w14:textId="77777777" w:rsidR="007B6339" w:rsidRPr="007B6339" w:rsidRDefault="007B6339" w:rsidP="008F2864">
      <w:pPr>
        <w:pStyle w:val="BTCtextCTB"/>
        <w:rPr>
          <w:rFonts w:ascii="Georgia" w:eastAsia="DejaVu Sans" w:hAnsi="Georgia" w:cs="Tahoma"/>
          <w:color w:val="404040"/>
          <w:kern w:val="18"/>
          <w:sz w:val="21"/>
          <w:szCs w:val="21"/>
        </w:rPr>
      </w:pPr>
    </w:p>
    <w:p w14:paraId="6D30423C" w14:textId="77777777" w:rsidR="00EC6BAA" w:rsidRPr="00A72E34" w:rsidRDefault="00EC6BAA" w:rsidP="00B7382D">
      <w:pPr>
        <w:pStyle w:val="Heading2"/>
      </w:pPr>
      <w:bookmarkStart w:id="94" w:name="_Toc160610197"/>
      <w:r>
        <w:t>Sous-traitants (art. 12 à 15)</w:t>
      </w:r>
      <w:bookmarkEnd w:id="94"/>
    </w:p>
    <w:p w14:paraId="6D30423D" w14:textId="77777777" w:rsidR="00EC6BAA" w:rsidRPr="0012117F" w:rsidRDefault="00EC6BAA" w:rsidP="00130211">
      <w:pPr>
        <w:pStyle w:val="BodyText"/>
        <w:rPr>
          <w:rFonts w:ascii="Georgia" w:eastAsia="Calibri" w:hAnsi="Georgia" w:cs="Times New Roman"/>
          <w:color w:val="585756"/>
          <w:kern w:val="0"/>
          <w:sz w:val="21"/>
          <w:szCs w:val="22"/>
        </w:rPr>
      </w:pPr>
      <w:r>
        <w:rPr>
          <w:rFonts w:ascii="Georgia" w:hAnsi="Georgia"/>
          <w:color w:val="585756"/>
          <w:sz w:val="21"/>
        </w:rPr>
        <w:t>Le fait que l’adjudicataire confie tout ou partie de ses engagements à des sous-traitants ne dégage pas sa responsabilité envers le pouvoir adjudicateur. Celui-ci ne se reconnaît aucun lien contractuel avec des tiers.</w:t>
      </w:r>
    </w:p>
    <w:p w14:paraId="6D30423E" w14:textId="77777777" w:rsidR="00EC6BAA" w:rsidRPr="0012117F" w:rsidRDefault="00EC6BAA" w:rsidP="00130211">
      <w:pPr>
        <w:pStyle w:val="BodyText"/>
        <w:rPr>
          <w:rFonts w:ascii="Georgia" w:eastAsia="Calibri" w:hAnsi="Georgia" w:cs="Times New Roman"/>
          <w:color w:val="585756"/>
          <w:kern w:val="0"/>
          <w:sz w:val="21"/>
          <w:szCs w:val="22"/>
        </w:rPr>
      </w:pPr>
      <w:r>
        <w:rPr>
          <w:rFonts w:ascii="Georgia" w:hAnsi="Georgia"/>
          <w:color w:val="585756"/>
          <w:sz w:val="21"/>
        </w:rPr>
        <w:t>L’adjudicataire reste, dans tous les cas, seul responsable vis-à-vis du pouvoir adjudicateur.</w:t>
      </w:r>
    </w:p>
    <w:p w14:paraId="5E49FF35" w14:textId="77777777"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Le prestataire de services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57D06FAA" w14:textId="77777777"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Lorsque l’adjudicataire recrute un sous-traitant pour mener des activités de traitement spécifiques pour le compte du pouvoir adjudicateur, les mêmes obligations en matière de protection des données que celles à charge de l’adjudicataire sont imposées à ce sous-traitant par contrat ou tout autre acte juridique.</w:t>
      </w:r>
    </w:p>
    <w:p w14:paraId="7258BDAC" w14:textId="0141721A" w:rsidR="008F2864" w:rsidRPr="0012117F" w:rsidRDefault="008F2864" w:rsidP="008F2864">
      <w:pPr>
        <w:pStyle w:val="BodyText"/>
        <w:rPr>
          <w:rFonts w:ascii="Georgia" w:eastAsia="Calibri" w:hAnsi="Georgia" w:cs="Times New Roman"/>
          <w:color w:val="585756"/>
          <w:kern w:val="0"/>
          <w:sz w:val="21"/>
          <w:szCs w:val="22"/>
        </w:rPr>
      </w:pPr>
      <w:r>
        <w:rPr>
          <w:rFonts w:ascii="Georgia" w:hAnsi="Georgia"/>
          <w:color w:val="585756"/>
          <w:sz w:val="21"/>
        </w:rPr>
        <w:t>De la même manière, l’adjudicataire respectera et fera respecter par ses sous-traitants, les dispositions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relatif à la Protection des données, ci-après RGPD). Un audit éventuel des traitements opérés pourrait être réalisé par le pouvoir adjudicateur en vue de valider sa conformité à cette législation.</w:t>
      </w:r>
    </w:p>
    <w:p w14:paraId="46C31175" w14:textId="77777777" w:rsidR="00130211" w:rsidRDefault="00130211" w:rsidP="008F2864">
      <w:pPr>
        <w:pStyle w:val="BodyText"/>
        <w:rPr>
          <w:rFonts w:ascii="Georgia" w:hAnsi="Georgia"/>
          <w:color w:val="404040"/>
          <w:sz w:val="21"/>
          <w:szCs w:val="21"/>
        </w:rPr>
      </w:pPr>
    </w:p>
    <w:p w14:paraId="6D304240" w14:textId="487628FF" w:rsidR="00EC6BAA" w:rsidRPr="00A72E34" w:rsidRDefault="00EC6BAA" w:rsidP="00B7382D">
      <w:pPr>
        <w:pStyle w:val="Heading2"/>
      </w:pPr>
      <w:bookmarkStart w:id="95" w:name="_Toc160610198"/>
      <w:r>
        <w:t>Confidentialité (art. 18)</w:t>
      </w:r>
      <w:bookmarkEnd w:id="95"/>
    </w:p>
    <w:p w14:paraId="6D304241" w14:textId="16ECF7D0" w:rsidR="00EC6BAA" w:rsidRPr="0012117F" w:rsidRDefault="00EC6BAA" w:rsidP="00792329">
      <w:pPr>
        <w:pStyle w:val="BodyText"/>
        <w:rPr>
          <w:rFonts w:ascii="Georgia" w:eastAsia="Calibri" w:hAnsi="Georgia" w:cs="Times New Roman"/>
          <w:color w:val="585756"/>
          <w:kern w:val="0"/>
          <w:sz w:val="21"/>
          <w:szCs w:val="22"/>
        </w:rPr>
      </w:pPr>
      <w:r>
        <w:rPr>
          <w:rFonts w:ascii="Georgia" w:hAnsi="Georgia"/>
          <w:color w:val="585756"/>
          <w:sz w:val="21"/>
        </w:rPr>
        <w:t xml:space="preserve">Le prestataire de services et ses </w:t>
      </w:r>
      <w:proofErr w:type="spellStart"/>
      <w:r>
        <w:rPr>
          <w:rFonts w:ascii="Georgia" w:hAnsi="Georgia"/>
          <w:color w:val="585756"/>
          <w:sz w:val="21"/>
        </w:rPr>
        <w:t>collaborateur·rices</w:t>
      </w:r>
      <w:proofErr w:type="spellEnd"/>
      <w:r>
        <w:rPr>
          <w:rFonts w:ascii="Georgia" w:hAnsi="Georgia"/>
          <w:color w:val="585756"/>
          <w:sz w:val="21"/>
        </w:rPr>
        <w:t xml:space="preserve"> sont </w:t>
      </w:r>
      <w:proofErr w:type="spellStart"/>
      <w:r>
        <w:rPr>
          <w:rFonts w:ascii="Georgia" w:hAnsi="Georgia"/>
          <w:color w:val="585756"/>
          <w:sz w:val="21"/>
        </w:rPr>
        <w:t>lié·es</w:t>
      </w:r>
      <w:proofErr w:type="spellEnd"/>
      <w:r>
        <w:rPr>
          <w:rFonts w:ascii="Georgia" w:hAnsi="Georgia"/>
          <w:color w:val="585756"/>
          <w:sz w:val="21"/>
        </w:rPr>
        <w:t xml:space="preserve"> par un devoir de réserve concernant les informations dont ils ou elles ont connaissance lors de l’exécution de ce marché. Ces informations ne peuvent en aucun cas être communiquées à des tiers sans l’autorisation écrite du pouvoir adjudicateur. </w:t>
      </w:r>
      <w:r>
        <w:rPr>
          <w:color w:val="585756"/>
          <w:sz w:val="21"/>
        </w:rPr>
        <w:t>Le prestataire de services peut toutefois faire mention de ce marché en tant que référence, à condition qu’il en indique l’état avec véracité (p. ex. « en exécution »), et pour autant que le pouvoir adjudicateur n’ait pas retiré cette autorisation pour cause de mauvaise exécution du marché.</w:t>
      </w:r>
    </w:p>
    <w:p w14:paraId="1BEB91CC" w14:textId="77777777" w:rsidR="00792329" w:rsidRPr="00D67A9E" w:rsidRDefault="00792329" w:rsidP="005E62B1">
      <w:pPr>
        <w:jc w:val="both"/>
        <w:rPr>
          <w:sz w:val="20"/>
          <w:szCs w:val="20"/>
        </w:rPr>
      </w:pPr>
    </w:p>
    <w:p w14:paraId="5C4F4745" w14:textId="77777777" w:rsidR="0012117F" w:rsidRPr="001478F6" w:rsidRDefault="0012117F" w:rsidP="0012117F">
      <w:pPr>
        <w:pStyle w:val="Heading2"/>
      </w:pPr>
      <w:bookmarkStart w:id="96" w:name="_Toc160610199"/>
      <w:r>
        <w:t>Protection des données personnelles</w:t>
      </w:r>
      <w:bookmarkEnd w:id="96"/>
    </w:p>
    <w:p w14:paraId="686DFEC0" w14:textId="0A28B88F" w:rsidR="0012117F" w:rsidRPr="0012117F" w:rsidRDefault="0012117F" w:rsidP="0012117F">
      <w:pPr>
        <w:pStyle w:val="Heading3"/>
      </w:pPr>
      <w:bookmarkStart w:id="97" w:name="_Toc160610200"/>
      <w:r>
        <w:t>Traitement des données à caractère personnel par le pouvoir adjudicateur</w:t>
      </w:r>
      <w:bookmarkEnd w:id="97"/>
    </w:p>
    <w:p w14:paraId="5ED3000A" w14:textId="07565538"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L’adjudicateur s’engage à traiter les données à caractère personnel qui lui seront communiquées dans le cadre de la présente procédure de marché public avec le plus grand soin, conformément à la législation sur la protection des données à caractère personnel (le Règlement général sur la protection des données, RGPD). Dans les cas où la loi belge du 30 juillet 2018 relative à la protection des personnes physiques à l’égard des traitements de </w:t>
      </w:r>
      <w:r>
        <w:rPr>
          <w:rFonts w:ascii="Georgia" w:hAnsi="Georgia"/>
          <w:color w:val="585756"/>
          <w:sz w:val="21"/>
        </w:rPr>
        <w:lastRenderedPageBreak/>
        <w:t>données à caractère personnel contient des exigences plus strictes, l’adjudicateur agira conformément à cette législation.</w:t>
      </w:r>
    </w:p>
    <w:p w14:paraId="160FF560" w14:textId="77777777" w:rsidR="0012117F" w:rsidRDefault="0012117F" w:rsidP="0012117F"/>
    <w:p w14:paraId="4FC2DE90" w14:textId="77777777" w:rsidR="006600F6" w:rsidRPr="005B7D75" w:rsidRDefault="006600F6" w:rsidP="0012117F"/>
    <w:p w14:paraId="5FB555E0" w14:textId="7B8FF605" w:rsidR="0012117F" w:rsidRPr="0012117F" w:rsidRDefault="0012117F" w:rsidP="0012117F">
      <w:pPr>
        <w:pStyle w:val="Heading3"/>
      </w:pPr>
      <w:bookmarkStart w:id="98" w:name="_Toc160610201"/>
      <w:r>
        <w:t>Traitement des données à caractère personnel par l’adjudicataire</w:t>
      </w:r>
      <w:bookmarkEnd w:id="98"/>
      <w:r>
        <w:t xml:space="preserve"> </w:t>
      </w:r>
    </w:p>
    <w:p w14:paraId="4F594720"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Si durant l’exécution du marché, l’adjudicataire traite des données à caractère personnel du pouvoir adjudicateur exclusivement au nom et pour le compte du pouvoir adjudicateur, dans le seul but d’effectuer les prestations conformément aux dispositions du cahier des charges ou en exécution d’une obligation légale, les dispositions suivantes sont d’application. </w:t>
      </w:r>
    </w:p>
    <w:p w14:paraId="2F0A793B"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Pour tout traitement de données à caractère personnel effectué en relation avec ce marché, l’adjudicataire est tenu de se conformer au Règlement (UE) 2016/679 du Parlement européen et du Conseil du 27 avril 2016, relatif à la protection des personnes physiques à l’égard du traitement des données à caractère personnel et à la libre circulation de ces données (RGPD) ainsi qu’à la loi belge du 30 juillet 2018 relative à la protection des personnes physiques à l’égard des traitements de données à caractère personnel.</w:t>
      </w:r>
    </w:p>
    <w:p w14:paraId="3FD9A7C6"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Par le seul fait de participer à la procédure de passation du marché, le soumissionnaire atteste qu’il se conformera strictement aux obligations du RGPD pour tout traitement de données à caractère personnel effectué en lien avec ce marché. </w:t>
      </w:r>
    </w:p>
    <w:p w14:paraId="1C061A84"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Les données à caractère personnel qui seront traitées sont confidentielles. L’adjudicataire limitera dès lors l’accès aux données au personnel strictement nécessaires à l’exécution, à la gestion et au suivi du marché.</w:t>
      </w:r>
    </w:p>
    <w:p w14:paraId="31340DA6" w14:textId="77777777" w:rsidR="0012117F" w:rsidRP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Dans le cadre de l’exécution du marché, le pouvoir adjudicateur déterminera les finalités et les moyens du traitement des données à caractère personnel. Dans ce cas, le pouvoir adjudicateur sera responsable du traitement et l’adjudicataire sera son sous-traitant, au sens de l’article 28 du RGPD. </w:t>
      </w:r>
    </w:p>
    <w:p w14:paraId="34FC6F06" w14:textId="14C2EAA8" w:rsidR="0012117F" w:rsidRDefault="0012117F" w:rsidP="0012117F">
      <w:pPr>
        <w:pStyle w:val="BodyText"/>
        <w:rPr>
          <w:rFonts w:ascii="Georgia" w:eastAsia="Calibri" w:hAnsi="Georgia" w:cs="Times New Roman"/>
          <w:color w:val="585756"/>
          <w:kern w:val="0"/>
          <w:sz w:val="21"/>
          <w:szCs w:val="22"/>
        </w:rPr>
      </w:pPr>
      <w:r>
        <w:rPr>
          <w:rFonts w:ascii="Georgia" w:hAnsi="Georgia"/>
          <w:color w:val="585756"/>
          <w:sz w:val="21"/>
        </w:rPr>
        <w:t xml:space="preserve">L’exécution de traitements en sous-traitance doit être régie par un contrat ou un acte juridique qui lie le sous-traitant au responsable du traitement et qui prévoit notamment que le sous-traitant n’agit que sur instruction du responsable du traitement et que les obligations de confidentialité et de sécurité concernant le traitement des données à caractère personnel incombent également au sous-traitant (Article 28 § 3 du RGPD). </w:t>
      </w:r>
    </w:p>
    <w:p w14:paraId="14B0FDA2" w14:textId="77777777" w:rsidR="0012117F" w:rsidRPr="005B7D75" w:rsidRDefault="0012117F" w:rsidP="0012117F">
      <w:pPr>
        <w:pStyle w:val="BodyText"/>
        <w:rPr>
          <w:rFonts w:ascii="Georgia" w:eastAsia="Calibri" w:hAnsi="Georgia" w:cs="Times New Roman"/>
          <w:color w:val="585756"/>
          <w:kern w:val="0"/>
          <w:sz w:val="21"/>
          <w:szCs w:val="22"/>
        </w:rPr>
      </w:pPr>
    </w:p>
    <w:p w14:paraId="6D304245" w14:textId="77777777" w:rsidR="00EC6BAA" w:rsidRPr="00A72E34" w:rsidRDefault="00EC6BAA" w:rsidP="00B7382D">
      <w:pPr>
        <w:pStyle w:val="Heading2"/>
      </w:pPr>
      <w:bookmarkStart w:id="99" w:name="_Toc160610202"/>
      <w:r>
        <w:t>Droits intellectuels (art. 19 à 23)</w:t>
      </w:r>
      <w:bookmarkEnd w:id="99"/>
    </w:p>
    <w:p w14:paraId="68E7400F"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Le pouvoir adjudicateur n’acquiert pas les droits de propriété intellectuelle nés, mis au point ou utilisés à l’occasion de l’exécution du marché.</w:t>
      </w:r>
    </w:p>
    <w:p w14:paraId="0A9177A3"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Sans préjudice de l’alinéa 1</w:t>
      </w:r>
      <w:r>
        <w:rPr>
          <w:rFonts w:ascii="Georgia" w:hAnsi="Georgia"/>
          <w:color w:val="585756"/>
          <w:sz w:val="21"/>
          <w:vertAlign w:val="superscript"/>
        </w:rPr>
        <w:t xml:space="preserve">er </w:t>
      </w:r>
      <w:r>
        <w:rPr>
          <w:rFonts w:ascii="Georgia" w:hAnsi="Georgia"/>
          <w:color w:val="585756"/>
          <w:sz w:val="21"/>
        </w:rPr>
        <w:t>et sauf disposition contraire dans les documents du marché, lorsque l’objet de celui-ci consiste en la création, la fabrication ou le développement de dessins ou de logos, le pouvoir adjudicateur en acquiert la propriété intellectuelle, ainsi que le droit de les déposer, de les faire enregistrer et de les faire protéger.</w:t>
      </w:r>
    </w:p>
    <w:p w14:paraId="09A7692E"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En ce qui concerne les noms de domaine créés à l’occasion d’un marché, le pouvoir adjudicateur acquiert également le droit de les enregistrer et de les protéger, sauf disposition contraire dans les documents du marché.</w:t>
      </w:r>
    </w:p>
    <w:p w14:paraId="767ACFB1" w14:textId="77777777" w:rsidR="00B64DDA" w:rsidRPr="00B64DDA" w:rsidRDefault="00B64DDA" w:rsidP="00B64DDA">
      <w:pPr>
        <w:pStyle w:val="BodyText"/>
        <w:rPr>
          <w:rFonts w:ascii="Georgia" w:eastAsia="Calibri" w:hAnsi="Georgia" w:cs="Times New Roman"/>
          <w:color w:val="585756"/>
          <w:kern w:val="0"/>
          <w:sz w:val="21"/>
          <w:szCs w:val="22"/>
        </w:rPr>
      </w:pPr>
      <w:r>
        <w:rPr>
          <w:rFonts w:ascii="Georgia" w:hAnsi="Georgia"/>
          <w:color w:val="585756"/>
          <w:sz w:val="21"/>
        </w:rPr>
        <w:t xml:space="preserve">Lorsque le pouvoir adjudicateur n’acquiert pas les droits de propriété intellectuelle, il obtient </w:t>
      </w:r>
      <w:r>
        <w:rPr>
          <w:rFonts w:ascii="Georgia" w:hAnsi="Georgia"/>
          <w:color w:val="585756"/>
          <w:sz w:val="21"/>
        </w:rPr>
        <w:lastRenderedPageBreak/>
        <w:t>une licence d’exploitation des résultats protégés par le droit de la propriété intellectuelle pour les modes d’exploitation mentionnés dans les documents du marché.</w:t>
      </w:r>
    </w:p>
    <w:p w14:paraId="24801B5E" w14:textId="77777777" w:rsidR="0012117F" w:rsidRPr="005B7D75" w:rsidRDefault="0012117F" w:rsidP="005E62B1">
      <w:pPr>
        <w:jc w:val="both"/>
        <w:rPr>
          <w:sz w:val="20"/>
          <w:szCs w:val="20"/>
        </w:rPr>
      </w:pPr>
    </w:p>
    <w:p w14:paraId="6D304247" w14:textId="77777777" w:rsidR="00EC6BAA" w:rsidRPr="00A72E34" w:rsidRDefault="00EC6BAA" w:rsidP="00B7382D">
      <w:pPr>
        <w:pStyle w:val="Heading2"/>
      </w:pPr>
      <w:bookmarkStart w:id="100" w:name="_Hlk158805491"/>
      <w:bookmarkStart w:id="101" w:name="_Toc160610203"/>
      <w:r>
        <w:t>Cautionnement</w:t>
      </w:r>
      <w:bookmarkEnd w:id="100"/>
      <w:r>
        <w:t xml:space="preserve"> (art. 25 à 33)</w:t>
      </w:r>
      <w:bookmarkEnd w:id="101"/>
    </w:p>
    <w:p w14:paraId="6ACBAB1A" w14:textId="77777777" w:rsidR="00CA7A94" w:rsidRPr="00DD59C6" w:rsidRDefault="00CA7A94" w:rsidP="00CA7A94">
      <w:pPr>
        <w:pStyle w:val="BodyText"/>
        <w:rPr>
          <w:rFonts w:ascii="Georgia" w:hAnsi="Georgia"/>
          <w:color w:val="585756"/>
          <w:sz w:val="21"/>
        </w:rPr>
      </w:pPr>
      <w:r>
        <w:rPr>
          <w:rFonts w:ascii="Georgia" w:hAnsi="Georgia"/>
          <w:color w:val="585756"/>
          <w:sz w:val="21"/>
        </w:rPr>
        <w:t>Le cautionnement est constitué par marché subséquent conclu selon les modalités ci-dessous.</w:t>
      </w:r>
    </w:p>
    <w:p w14:paraId="22700540" w14:textId="77777777" w:rsidR="00CA7A94" w:rsidRPr="00DD59C6" w:rsidRDefault="00CA7A94" w:rsidP="00CA7A94">
      <w:pPr>
        <w:pStyle w:val="BodyText"/>
        <w:rPr>
          <w:rFonts w:ascii="Georgia" w:hAnsi="Georgia"/>
          <w:color w:val="585756"/>
          <w:sz w:val="21"/>
        </w:rPr>
      </w:pPr>
      <w:r>
        <w:rPr>
          <w:rFonts w:ascii="Georgia" w:hAnsi="Georgia"/>
          <w:color w:val="585756"/>
          <w:sz w:val="21"/>
        </w:rPr>
        <w:t>Le cautionnement est fixé à 5 % de la valeur totale, hors TVA, du marché subséquent. Le montant ainsi obtenu est arrondi à la dizaine d’euros supérieure.</w:t>
      </w:r>
    </w:p>
    <w:p w14:paraId="1B21194F" w14:textId="7823C5A5" w:rsidR="00CA7A94" w:rsidRDefault="00CA7A94" w:rsidP="00CA7A94">
      <w:pPr>
        <w:pStyle w:val="BodyText"/>
        <w:rPr>
          <w:rFonts w:ascii="Georgia" w:hAnsi="Georgia"/>
          <w:color w:val="585756"/>
          <w:sz w:val="21"/>
        </w:rPr>
      </w:pPr>
      <w:r>
        <w:rPr>
          <w:rFonts w:ascii="Georgia" w:hAnsi="Georgia"/>
          <w:color w:val="585756"/>
          <w:sz w:val="21"/>
        </w:rPr>
        <w:t>Aucun cautionnement ne sera demandé, si le délai d’exécution du marché conclu ne dépasse pas 45</w:t>
      </w:r>
      <w:r w:rsidR="00B5602D">
        <w:rPr>
          <w:rFonts w:ascii="Georgia" w:hAnsi="Georgia"/>
          <w:color w:val="585756"/>
          <w:sz w:val="21"/>
        </w:rPr>
        <w:t> </w:t>
      </w:r>
      <w:r>
        <w:rPr>
          <w:rFonts w:ascii="Georgia" w:hAnsi="Georgia"/>
          <w:color w:val="585756"/>
          <w:sz w:val="21"/>
        </w:rPr>
        <w:t>jours de calendrier ou si le montant du marché conclu est inférieur à 50.000 € HTVA.</w:t>
      </w:r>
    </w:p>
    <w:p w14:paraId="1965D283"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Le cautionnement peut être constitué conformément aux dispositions légales et réglementaires en la matière, soit en numéraire ou en fonds publics, soit sous forme de cautionnement collectif.</w:t>
      </w:r>
    </w:p>
    <w:p w14:paraId="7249A030"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Le cautionnement peut également être constitué par une garantie accordée par un établissement de crédit satisfaisant au prescrit de la législation relative au statut et au contrôle des établissements de crédit ou par une entreprise d’assurances satisfaisant au prescrit de la législation relative au contrôle des entreprises d’assurances et agréée pour la branche 15 (caution).</w:t>
      </w:r>
    </w:p>
    <w:p w14:paraId="0D933EE9" w14:textId="5CBE1230"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Par dérogation à l’article 26, le cautionnement peut être établi via un établissement dont le siège social se situe dans un des pays de destination des services. Le pouvoir adjudicateur se réserve le droit d’accepter ou non la constitution du cautionnement via cet établissement. L’adjudicataire mentionnera le nom et l’adresse de cet établissement dans l’offre.</w:t>
      </w:r>
    </w:p>
    <w:p w14:paraId="64E132A8" w14:textId="5D77ECA3"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La dérogation est motivée pour laisser l’opportunité aux éventuels soumissionnaires locaux de remettre offre. Cette mesure est rendue indispensable par les exigences particulières du marché.</w:t>
      </w:r>
    </w:p>
    <w:p w14:paraId="2E6131D9"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L’adjudicataire doit, dans les trente jours de calendrier suivant le jour de la conclusion du marché, justifier la constitution du cautionnement par lui-même ou par un tiers, de l’une des façons suivantes :</w:t>
      </w:r>
    </w:p>
    <w:p w14:paraId="61C20B00" w14:textId="6419A3AC" w:rsidR="00616ED1" w:rsidRPr="00514647" w:rsidRDefault="00616ED1" w:rsidP="00616ED1">
      <w:pPr>
        <w:ind w:left="284" w:hanging="284"/>
        <w:jc w:val="both"/>
        <w:rPr>
          <w:rFonts w:cs="Arial"/>
          <w:kern w:val="18"/>
          <w:sz w:val="20"/>
        </w:rPr>
      </w:pPr>
      <w:r>
        <w:t xml:space="preserve">1° </w:t>
      </w:r>
      <w:r>
        <w:tab/>
        <w:t xml:space="preserve">lorsqu’il s’agit de numéraire, par le virement du montant au numéro de compte </w:t>
      </w:r>
      <w:proofErr w:type="spellStart"/>
      <w:r>
        <w:t>bpost</w:t>
      </w:r>
      <w:proofErr w:type="spellEnd"/>
      <w:r>
        <w:t xml:space="preserve"> banque de la Caisse des Dépôts et Consignations. Complétez le plus précisément possible le formulaire suivant : </w:t>
      </w:r>
      <w:hyperlink r:id="rId25" w:history="1">
        <w:r>
          <w:rPr>
            <w:rStyle w:val="Hyperlink"/>
          </w:rPr>
          <w:t>https://finances.belgium.be/sites/default/files/01_marche_public.pdf</w:t>
        </w:r>
      </w:hyperlink>
      <w:r>
        <w:rPr>
          <w:color w:val="404040"/>
        </w:rPr>
        <w:t xml:space="preserve"> </w:t>
      </w:r>
      <w:r>
        <w:t xml:space="preserve">(PDF, 1,34 Mo), et renvoyez-le à l’adresse courriel </w:t>
      </w:r>
      <w:hyperlink r:id="rId26" w:history="1">
        <w:r>
          <w:rPr>
            <w:rStyle w:val="Hyperlink"/>
          </w:rPr>
          <w:t>info.cdcdck@minfin.fed.be</w:t>
        </w:r>
      </w:hyperlink>
      <w:r>
        <w:rPr>
          <w:color w:val="404040"/>
        </w:rPr>
        <w:t xml:space="preserve">  </w:t>
      </w:r>
    </w:p>
    <w:p w14:paraId="6C2CEF8A" w14:textId="77777777" w:rsidR="00616ED1" w:rsidRPr="00616ED1" w:rsidRDefault="00616ED1" w:rsidP="00616ED1">
      <w:pPr>
        <w:ind w:left="284" w:hanging="284"/>
        <w:jc w:val="both"/>
        <w:rPr>
          <w:rFonts w:eastAsia="Calibri" w:cs="Times New Roman"/>
        </w:rPr>
      </w:pPr>
      <w:r>
        <w:t>2° lorsqu’il s’agit de fonds publics, par le dépôt de ceux-ci entre les mains du caissier de l’État au siège de la Banque Nationale à Bruxelles ou dans l’une de ses agences en province, pour compte de la Caisse des Dépôts et Consignations, ou d’un organisme public remplissant une fonction similaire ;</w:t>
      </w:r>
    </w:p>
    <w:p w14:paraId="12EE7A98" w14:textId="77777777" w:rsidR="00616ED1" w:rsidRPr="00616ED1" w:rsidRDefault="00616ED1" w:rsidP="00616ED1">
      <w:pPr>
        <w:ind w:left="284" w:hanging="284"/>
        <w:jc w:val="both"/>
        <w:rPr>
          <w:rFonts w:eastAsia="Calibri" w:cs="Times New Roman"/>
        </w:rPr>
      </w:pPr>
      <w:r>
        <w:t>3°</w:t>
      </w:r>
      <w:r>
        <w:tab/>
        <w:t>lorsqu’il s’agit d’un cautionnement collectif, par le dépôt par une société exerçant légalement cette activité, d’un acte de caution solidaire auprès de la Caisse des Dépôts et Consignations ou d’un organisme public remplissant une fonction similaire</w:t>
      </w:r>
    </w:p>
    <w:p w14:paraId="61E1DDA0" w14:textId="77777777" w:rsidR="00616ED1" w:rsidRPr="00616ED1" w:rsidRDefault="00616ED1" w:rsidP="00616ED1">
      <w:pPr>
        <w:ind w:left="284" w:hanging="284"/>
        <w:jc w:val="both"/>
        <w:rPr>
          <w:rFonts w:eastAsia="Calibri" w:cs="Times New Roman"/>
        </w:rPr>
      </w:pPr>
      <w:r>
        <w:t>4° lorsqu’il s’agit d’une garantie, par l’acte d’engagement de l’établissement de crédit ou de l’entreprise d’assurances.</w:t>
      </w:r>
    </w:p>
    <w:p w14:paraId="31003D1C"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lastRenderedPageBreak/>
        <w:t>La justification se donne selon le cas par la production au pouvoir adjudicateur :</w:t>
      </w:r>
    </w:p>
    <w:p w14:paraId="713529EB" w14:textId="77777777" w:rsidR="00616ED1" w:rsidRPr="00616ED1" w:rsidRDefault="00616ED1" w:rsidP="00616ED1">
      <w:pPr>
        <w:ind w:left="567" w:hanging="567"/>
        <w:jc w:val="both"/>
        <w:rPr>
          <w:rFonts w:eastAsia="Calibri" w:cs="Times New Roman"/>
        </w:rPr>
      </w:pPr>
      <w:r>
        <w:t>1° soit du récépissé de dépôt de la Caisse des Dépôts et Consignations ou d’un organisme public remplissant une fonction similaire ;</w:t>
      </w:r>
    </w:p>
    <w:p w14:paraId="1F9618E7" w14:textId="77777777" w:rsidR="00616ED1" w:rsidRPr="00616ED1" w:rsidRDefault="00616ED1" w:rsidP="00616ED1">
      <w:pPr>
        <w:ind w:left="567" w:hanging="567"/>
        <w:jc w:val="both"/>
        <w:rPr>
          <w:rFonts w:eastAsia="Calibri" w:cs="Times New Roman"/>
        </w:rPr>
      </w:pPr>
      <w:r>
        <w:t>2° soit d’un avis de débit remis par l’établissement de crédit ou l’entreprise d’assurances ;</w:t>
      </w:r>
    </w:p>
    <w:p w14:paraId="5C462B8F" w14:textId="77777777" w:rsidR="00616ED1" w:rsidRPr="00616ED1" w:rsidRDefault="00616ED1" w:rsidP="00616ED1">
      <w:pPr>
        <w:ind w:left="567" w:hanging="567"/>
        <w:jc w:val="both"/>
        <w:rPr>
          <w:rFonts w:eastAsia="Calibri" w:cs="Times New Roman"/>
        </w:rPr>
      </w:pPr>
      <w:r>
        <w:t>3° soit de l’attestation de dépôt délivrée par le caissier de l’État ou par un organisme public remplissant une fonction similaire ;</w:t>
      </w:r>
    </w:p>
    <w:p w14:paraId="0B01FE65" w14:textId="77777777" w:rsidR="00616ED1" w:rsidRPr="00616ED1" w:rsidRDefault="00616ED1" w:rsidP="00616ED1">
      <w:pPr>
        <w:ind w:left="567" w:hanging="567"/>
        <w:jc w:val="both"/>
        <w:rPr>
          <w:rFonts w:eastAsia="Calibri" w:cs="Times New Roman"/>
        </w:rPr>
      </w:pPr>
      <w:r>
        <w:t>4° soit de l’original de l’acte de caution solidaire visé par la Caisse des Dépôts et Consignations ou par un organisme public remplissant une fonction similaire ;</w:t>
      </w:r>
    </w:p>
    <w:p w14:paraId="66891C51" w14:textId="77777777" w:rsidR="00616ED1" w:rsidRPr="00616ED1" w:rsidRDefault="00616ED1" w:rsidP="00616ED1">
      <w:pPr>
        <w:ind w:left="567" w:hanging="567"/>
        <w:jc w:val="both"/>
        <w:rPr>
          <w:rFonts w:eastAsia="Calibri" w:cs="Times New Roman"/>
        </w:rPr>
      </w:pPr>
      <w:r>
        <w:t>5° soit de l’original de l’acte d’engagement établi par l’établissement de crédit ou l’entreprise d’assurances accordant une garantie.</w:t>
      </w:r>
    </w:p>
    <w:p w14:paraId="35102F09" w14:textId="7F97D4C3"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Ces documents, signés par le déposant, indiquent au profit de qui le cautionnement est constitué, son affectation précise par l’indication sommaire de l’objet du marché et de la référence des documents du marché, ainsi que le nom, les prénoms et l’adresse complète de l’adjudicataire et éventuellement, du tiers qui a effectué le dépôt pour compte, avec la mention «</w:t>
      </w:r>
      <w:r w:rsidR="00AD683F">
        <w:rPr>
          <w:rFonts w:ascii="Times New Roman" w:hAnsi="Times New Roman" w:cs="Times New Roman"/>
          <w:color w:val="585756"/>
          <w:sz w:val="21"/>
        </w:rPr>
        <w:t> </w:t>
      </w:r>
      <w:r>
        <w:rPr>
          <w:rFonts w:ascii="Georgia" w:hAnsi="Georgia"/>
          <w:color w:val="585756"/>
          <w:sz w:val="21"/>
        </w:rPr>
        <w:t>bailleur de fonds</w:t>
      </w:r>
      <w:r w:rsidR="00AD683F">
        <w:rPr>
          <w:rFonts w:ascii="Times New Roman" w:hAnsi="Times New Roman" w:cs="Times New Roman"/>
          <w:color w:val="585756"/>
          <w:sz w:val="21"/>
        </w:rPr>
        <w:t> </w:t>
      </w:r>
      <w:r>
        <w:rPr>
          <w:rFonts w:ascii="Georgia" w:hAnsi="Georgia"/>
          <w:color w:val="585756"/>
          <w:sz w:val="21"/>
        </w:rPr>
        <w:t>» ou «</w:t>
      </w:r>
      <w:r w:rsidR="00AD683F">
        <w:rPr>
          <w:rFonts w:ascii="Times New Roman" w:hAnsi="Times New Roman" w:cs="Times New Roman"/>
          <w:color w:val="585756"/>
          <w:sz w:val="21"/>
        </w:rPr>
        <w:t> </w:t>
      </w:r>
      <w:r>
        <w:rPr>
          <w:rFonts w:ascii="Georgia" w:hAnsi="Georgia"/>
          <w:color w:val="585756"/>
          <w:sz w:val="21"/>
        </w:rPr>
        <w:t>mandataire</w:t>
      </w:r>
      <w:r w:rsidR="00AD683F">
        <w:rPr>
          <w:rFonts w:ascii="Times New Roman" w:hAnsi="Times New Roman" w:cs="Times New Roman"/>
          <w:color w:val="585756"/>
          <w:sz w:val="21"/>
        </w:rPr>
        <w:t> </w:t>
      </w:r>
      <w:r>
        <w:rPr>
          <w:rFonts w:ascii="Georgia" w:hAnsi="Georgia"/>
          <w:color w:val="585756"/>
          <w:sz w:val="21"/>
        </w:rPr>
        <w:t>», suivant le cas.</w:t>
      </w:r>
    </w:p>
    <w:p w14:paraId="48E93D6B"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Le délai de trente jours de calendrier visé ci-avant est suspendu pendant la période de fermeture de l’entreprise de l’adjudicataire pour les jours de vacances annuelles payés et les jours de repos compensatoires prévus par voie réglementaire ou dans une convention collective de travail rendue obligatoire.</w:t>
      </w:r>
    </w:p>
    <w:p w14:paraId="36E600D9" w14:textId="77777777" w:rsidR="00616ED1" w:rsidRPr="00616ED1" w:rsidRDefault="00616ED1" w:rsidP="00616ED1">
      <w:pPr>
        <w:pStyle w:val="BodyText"/>
        <w:rPr>
          <w:rFonts w:ascii="Georgia" w:eastAsia="Calibri" w:hAnsi="Georgia" w:cs="Times New Roman"/>
          <w:color w:val="585756"/>
          <w:kern w:val="0"/>
          <w:sz w:val="21"/>
          <w:szCs w:val="22"/>
        </w:rPr>
      </w:pPr>
      <w:r>
        <w:rPr>
          <w:rFonts w:ascii="Georgia" w:hAnsi="Georgia"/>
          <w:color w:val="585756"/>
          <w:sz w:val="21"/>
        </w:rPr>
        <w:t>La preuve de la constitution du cautionnement doit être envoyée à l’adresse qui sera mentionnée dans la notification de la conclusion du marché.</w:t>
      </w:r>
    </w:p>
    <w:p w14:paraId="6D30425E" w14:textId="3C34CEE2" w:rsidR="00EC6BAA" w:rsidRPr="009332B3" w:rsidRDefault="00EC6BAA" w:rsidP="00616ED1">
      <w:pPr>
        <w:pStyle w:val="BodyText"/>
        <w:rPr>
          <w:rFonts w:ascii="Georgia" w:hAnsi="Georgia"/>
          <w:color w:val="585756"/>
          <w:sz w:val="21"/>
        </w:rPr>
      </w:pPr>
      <w:r>
        <w:rPr>
          <w:rFonts w:ascii="Georgia" w:hAnsi="Georgia"/>
          <w:color w:val="585756"/>
          <w:sz w:val="21"/>
        </w:rPr>
        <w:t>La demande de l’adjudicataire de procéder à la réception définitive d’un marché subséquent tient lieu de demande de libération de la totalité de celui-ci.</w:t>
      </w:r>
    </w:p>
    <w:p w14:paraId="2EBFD82F" w14:textId="77777777" w:rsidR="00382114" w:rsidRPr="009332B3" w:rsidRDefault="00382114" w:rsidP="00616ED1">
      <w:pPr>
        <w:pStyle w:val="BodyText"/>
        <w:rPr>
          <w:rFonts w:ascii="Georgia" w:eastAsia="Calibri" w:hAnsi="Georgia" w:cs="Times New Roman"/>
          <w:color w:val="585756"/>
          <w:kern w:val="0"/>
          <w:sz w:val="21"/>
          <w:szCs w:val="22"/>
        </w:rPr>
      </w:pPr>
    </w:p>
    <w:p w14:paraId="6D30425F" w14:textId="77777777" w:rsidR="00EC6BAA" w:rsidRPr="00A72E34" w:rsidRDefault="00EC6BAA" w:rsidP="00B7382D">
      <w:pPr>
        <w:pStyle w:val="Heading2"/>
      </w:pPr>
      <w:bookmarkStart w:id="102" w:name="_Toc160610204"/>
      <w:r>
        <w:t>Conformité de l’exécution (art. 34)</w:t>
      </w:r>
      <w:bookmarkEnd w:id="102"/>
    </w:p>
    <w:p w14:paraId="6D304260" w14:textId="557BC811" w:rsidR="00EC6BAA" w:rsidRDefault="00EC6BAA" w:rsidP="008F5FCF">
      <w:pPr>
        <w:pStyle w:val="BodyText"/>
        <w:rPr>
          <w:rFonts w:ascii="Georgia" w:eastAsia="Calibri" w:hAnsi="Georgia" w:cs="Times New Roman"/>
          <w:color w:val="585756"/>
          <w:kern w:val="0"/>
          <w:sz w:val="21"/>
          <w:szCs w:val="22"/>
        </w:rPr>
      </w:pPr>
      <w:r>
        <w:rPr>
          <w:rFonts w:ascii="Georgia" w:hAnsi="Georgia"/>
          <w:color w:val="585756"/>
          <w:sz w:val="21"/>
        </w:rPr>
        <w:t>Les travaux, fournitures et services doivent être conformes sous tous les rapports aux documents du marché. Même en l’absence de spécifications techniques mentionnées dans les documents du marché, ils répondent en tous points aux règles de l’art.</w:t>
      </w:r>
    </w:p>
    <w:p w14:paraId="655BA95C" w14:textId="77777777" w:rsidR="00313844" w:rsidRPr="00941BDE" w:rsidRDefault="00313844" w:rsidP="00313844">
      <w:pPr>
        <w:pStyle w:val="BodyText"/>
        <w:rPr>
          <w:rFonts w:ascii="Georgia" w:eastAsia="Calibri" w:hAnsi="Georgia" w:cs="Times New Roman"/>
          <w:color w:val="585756"/>
          <w:kern w:val="0"/>
          <w:sz w:val="21"/>
          <w:szCs w:val="21"/>
        </w:rPr>
      </w:pPr>
      <w:r>
        <w:rPr>
          <w:rFonts w:ascii="Georgia" w:hAnsi="Georgia"/>
          <w:color w:val="585756"/>
          <w:sz w:val="21"/>
        </w:rPr>
        <w:t>L’adjudicataire du marché s’engage à fournir au pouvoir adjudicateur, à sa demande, toutes les pièces justificatives relatives aux conditions d’exécution du contrat. Le pouvoir adjudicateur pourra procéder à tout contrôle, sur pièces et sur place, qu’il estimerait nécessaire pour réunir des éléments de preuve sur une présomption de frais commerciaux inhabituels. L’adjudicataire ayant payé des dépenses commerciales inhabituelles est susceptible, selon la gravité des faits observés, de voir son contrat résilié ou d’être exclu de manière permanente.</w:t>
      </w:r>
    </w:p>
    <w:p w14:paraId="6294231D" w14:textId="77777777" w:rsidR="00382114" w:rsidRPr="005B7D75" w:rsidRDefault="00382114" w:rsidP="008F5FCF">
      <w:pPr>
        <w:pStyle w:val="BodyText"/>
        <w:rPr>
          <w:rFonts w:ascii="Georgia" w:eastAsia="Calibri" w:hAnsi="Georgia" w:cs="Times New Roman"/>
          <w:color w:val="585756"/>
          <w:kern w:val="0"/>
          <w:sz w:val="21"/>
          <w:szCs w:val="22"/>
        </w:rPr>
      </w:pPr>
    </w:p>
    <w:p w14:paraId="6D304261" w14:textId="77777777" w:rsidR="00EC6BAA" w:rsidRPr="00A72E34" w:rsidRDefault="00EC6BAA" w:rsidP="00B7382D">
      <w:pPr>
        <w:pStyle w:val="Heading2"/>
      </w:pPr>
      <w:bookmarkStart w:id="103" w:name="_Toc160610205"/>
      <w:r>
        <w:t>Modifications du marché (art. 37 à 38/19)</w:t>
      </w:r>
      <w:bookmarkEnd w:id="103"/>
    </w:p>
    <w:p w14:paraId="6D304262" w14:textId="77777777" w:rsidR="00EC6BAA" w:rsidRPr="00D67A9E" w:rsidRDefault="00EC6BAA" w:rsidP="00D5063A">
      <w:pPr>
        <w:pStyle w:val="Heading3"/>
      </w:pPr>
      <w:bookmarkStart w:id="104" w:name="_Hlk156406752"/>
      <w:bookmarkStart w:id="105" w:name="_Toc160610206"/>
      <w:r>
        <w:t>Remplacement de l’adjudicataire</w:t>
      </w:r>
      <w:bookmarkEnd w:id="104"/>
      <w:r>
        <w:t xml:space="preserve"> (art. 38/3)</w:t>
      </w:r>
      <w:bookmarkEnd w:id="105"/>
    </w:p>
    <w:p w14:paraId="6D304263" w14:textId="77777777" w:rsidR="00EC6BAA" w:rsidRPr="00CD6CD6" w:rsidRDefault="00EC6BAA" w:rsidP="00CD6CD6">
      <w:pPr>
        <w:pStyle w:val="BodyText"/>
        <w:rPr>
          <w:rFonts w:ascii="Georgia" w:eastAsia="Calibri" w:hAnsi="Georgia" w:cs="Times New Roman"/>
          <w:color w:val="585756"/>
          <w:kern w:val="0"/>
          <w:sz w:val="21"/>
          <w:szCs w:val="21"/>
        </w:rPr>
      </w:pPr>
      <w:r>
        <w:rPr>
          <w:rFonts w:ascii="Georgia" w:hAnsi="Georgia"/>
          <w:color w:val="585756"/>
          <w:sz w:val="21"/>
        </w:rPr>
        <w:t xml:space="preserve">Pour autant qu’il remplisse les critères de sélection ainsi que les critères d’exclusions repris dans le présent document, un nouvel adjudicataire peut remplacer l’adjudicataire avec qui le marché initial a été conclu dans les cas autres que ceux prévus à l’art. 38/3 des RGE. </w:t>
      </w:r>
    </w:p>
    <w:p w14:paraId="6D304264" w14:textId="77777777" w:rsidR="00EC6BAA" w:rsidRPr="00CD6CD6" w:rsidRDefault="00EC6BAA" w:rsidP="00CD6CD6">
      <w:pPr>
        <w:pStyle w:val="BodyText"/>
        <w:rPr>
          <w:rFonts w:ascii="Georgia" w:eastAsia="Calibri" w:hAnsi="Georgia" w:cs="Times New Roman"/>
          <w:color w:val="585756"/>
          <w:kern w:val="0"/>
          <w:sz w:val="21"/>
          <w:szCs w:val="21"/>
        </w:rPr>
      </w:pPr>
      <w:r>
        <w:rPr>
          <w:rFonts w:ascii="Georgia" w:hAnsi="Georgia"/>
          <w:color w:val="585756"/>
          <w:sz w:val="21"/>
        </w:rPr>
        <w:lastRenderedPageBreak/>
        <w:t>L’adjudicataire introduit sa demande le plus rapidement possible par envoi recommandé, en précisant les raisons de ce remplacement, et en fournissant un inventaire détaillé de l’état des services déjà faits, les coordonnées relatives au nouvel adjudicataire, ainsi que les documents et certificats auxquels le pouvoir adjudicateur n’a pas accès gratuitement.</w:t>
      </w:r>
    </w:p>
    <w:p w14:paraId="6D304265" w14:textId="1B987920" w:rsidR="00EC6BAA" w:rsidRDefault="00EC6BAA" w:rsidP="00CD6CD6">
      <w:pPr>
        <w:pStyle w:val="BodyText"/>
        <w:rPr>
          <w:rFonts w:ascii="Georgia" w:hAnsi="Georgia"/>
          <w:color w:val="585756"/>
          <w:sz w:val="21"/>
        </w:rPr>
      </w:pPr>
      <w:r>
        <w:rPr>
          <w:rFonts w:ascii="Georgia" w:hAnsi="Georgia"/>
          <w:color w:val="585756"/>
          <w:sz w:val="21"/>
        </w:rPr>
        <w:t>Le remplacement fera l’objet d’un avenant daté et signé par les trois parties. L’adjudicataire initial reste responsable vis-à-vis du pouvoir adjudicateur pour l’exécution de la partie restante du marché.</w:t>
      </w:r>
    </w:p>
    <w:p w14:paraId="264B6E6F" w14:textId="77777777" w:rsidR="00CD4DA8" w:rsidRPr="00CD4DA8" w:rsidRDefault="00CD4DA8" w:rsidP="00CD6CD6">
      <w:pPr>
        <w:pStyle w:val="BodyText"/>
        <w:rPr>
          <w:rFonts w:asciiTheme="minorHAnsi" w:hAnsiTheme="minorHAnsi" w:cstheme="minorHAnsi"/>
          <w:b/>
          <w:bCs/>
          <w:color w:val="585756"/>
          <w:sz w:val="24"/>
        </w:rPr>
      </w:pPr>
    </w:p>
    <w:p w14:paraId="2851A006" w14:textId="28A3D751" w:rsidR="00CD4DA8" w:rsidRPr="00A22675" w:rsidRDefault="00CD4DA8" w:rsidP="009332B3">
      <w:pPr>
        <w:pStyle w:val="Heading3"/>
      </w:pPr>
      <w:bookmarkStart w:id="106" w:name="_Hlk158805669"/>
      <w:bookmarkStart w:id="107" w:name="_Hlk157773062"/>
      <w:bookmarkStart w:id="108" w:name="_Toc160610207"/>
      <w:r>
        <w:t xml:space="preserve">Remplacement des </w:t>
      </w:r>
      <w:proofErr w:type="spellStart"/>
      <w:r>
        <w:t>expert·es</w:t>
      </w:r>
      <w:bookmarkEnd w:id="108"/>
      <w:proofErr w:type="spellEnd"/>
    </w:p>
    <w:bookmarkEnd w:id="106"/>
    <w:bookmarkEnd w:id="107"/>
    <w:p w14:paraId="323CF15C" w14:textId="77777777" w:rsidR="00DF16CE" w:rsidRDefault="00DF16CE" w:rsidP="00CD4DA8">
      <w:pPr>
        <w:pStyle w:val="paragraph"/>
        <w:spacing w:before="0" w:beforeAutospacing="0" w:after="0" w:afterAutospacing="0"/>
        <w:jc w:val="both"/>
        <w:textAlignment w:val="baseline"/>
        <w:rPr>
          <w:rStyle w:val="eop"/>
          <w:rFonts w:ascii="Georgia" w:hAnsi="Georgia" w:cs="Calibri"/>
          <w:sz w:val="21"/>
          <w:szCs w:val="21"/>
          <w:highlight w:val="yellow"/>
          <w:lang w:val="fr-BE"/>
        </w:rPr>
      </w:pPr>
    </w:p>
    <w:p w14:paraId="07B60F55" w14:textId="248EA6B2"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Un opérateur économique partie à l’accord-cadre peut proposer le remplacement de 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pendant en respectant les conditions et modalités suivantes.</w:t>
      </w:r>
    </w:p>
    <w:p w14:paraId="6E76EC1E" w14:textId="77777777"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L’OE introduira auprès du fonctionnaire dirigeant de l’accord-cadre le CV de 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et l’accord de 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de prester pour le compte de l’OE concerné.</w:t>
      </w:r>
    </w:p>
    <w:p w14:paraId="634D3C99" w14:textId="77777777"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w:t>
      </w:r>
      <w:proofErr w:type="spellStart"/>
      <w:r w:rsidRPr="0073266B">
        <w:rPr>
          <w:rFonts w:ascii="Georgia" w:hAnsi="Georgia"/>
          <w:color w:val="585756"/>
          <w:sz w:val="21"/>
        </w:rPr>
        <w:t>proposé·e</w:t>
      </w:r>
      <w:proofErr w:type="spellEnd"/>
      <w:r w:rsidRPr="0073266B">
        <w:rPr>
          <w:rFonts w:ascii="Georgia" w:hAnsi="Georgia"/>
          <w:color w:val="585756"/>
          <w:sz w:val="21"/>
        </w:rPr>
        <w:t> :</w:t>
      </w:r>
    </w:p>
    <w:p w14:paraId="251AA39C" w14:textId="696BB908"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w:t>
      </w:r>
      <w:r w:rsidRPr="0073266B">
        <w:rPr>
          <w:rFonts w:ascii="Georgia" w:hAnsi="Georgia"/>
          <w:color w:val="585756"/>
          <w:sz w:val="21"/>
        </w:rPr>
        <w:tab/>
        <w:t>doit disposer des compétences similaires et conformes aux spécifications reprises aux points 5.2</w:t>
      </w:r>
    </w:p>
    <w:p w14:paraId="0A034BFA" w14:textId="77777777"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w:t>
      </w:r>
      <w:r w:rsidRPr="0073266B">
        <w:rPr>
          <w:rFonts w:ascii="Georgia" w:hAnsi="Georgia"/>
          <w:color w:val="585756"/>
          <w:sz w:val="21"/>
        </w:rPr>
        <w:tab/>
        <w:t>ne peut pas être 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w:t>
      </w:r>
      <w:proofErr w:type="spellStart"/>
      <w:r w:rsidRPr="0073266B">
        <w:rPr>
          <w:rFonts w:ascii="Georgia" w:hAnsi="Georgia"/>
          <w:color w:val="585756"/>
          <w:sz w:val="21"/>
        </w:rPr>
        <w:t>proposé·e</w:t>
      </w:r>
      <w:proofErr w:type="spellEnd"/>
      <w:r w:rsidRPr="0073266B">
        <w:rPr>
          <w:rFonts w:ascii="Georgia" w:hAnsi="Georgia"/>
          <w:color w:val="585756"/>
          <w:sz w:val="21"/>
        </w:rPr>
        <w:t xml:space="preserve"> par un des autres OE parties à l’accord-cadre du lot concerné.</w:t>
      </w:r>
    </w:p>
    <w:p w14:paraId="3B86610E" w14:textId="77777777"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 xml:space="preserve">Pour que le changement puisse être accepté, le ou la </w:t>
      </w:r>
      <w:proofErr w:type="spellStart"/>
      <w:r w:rsidRPr="0073266B">
        <w:rPr>
          <w:rFonts w:ascii="Georgia" w:hAnsi="Georgia"/>
          <w:color w:val="585756"/>
          <w:sz w:val="21"/>
        </w:rPr>
        <w:t>nouvel·le</w:t>
      </w:r>
      <w:proofErr w:type="spellEnd"/>
      <w:r w:rsidRPr="0073266B">
        <w:rPr>
          <w:rFonts w:ascii="Georgia" w:hAnsi="Georgia"/>
          <w:color w:val="585756"/>
          <w:sz w:val="21"/>
        </w:rPr>
        <w:t xml:space="preserve"> </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devra obligatoirement rencontrer les deux conditions ci-dessus.</w:t>
      </w:r>
    </w:p>
    <w:p w14:paraId="2D462882" w14:textId="4876A15C"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 xml:space="preserve">Le pouvoir adjudicateur se réserve le droit d’accepter ou de refuser le ou la </w:t>
      </w:r>
      <w:proofErr w:type="spellStart"/>
      <w:r w:rsidRPr="0073266B">
        <w:rPr>
          <w:rFonts w:ascii="Georgia" w:hAnsi="Georgia"/>
          <w:color w:val="585756"/>
          <w:sz w:val="21"/>
        </w:rPr>
        <w:t>nouvel·le</w:t>
      </w:r>
      <w:proofErr w:type="spellEnd"/>
      <w:r w:rsidRPr="0073266B">
        <w:rPr>
          <w:rFonts w:ascii="Georgia" w:hAnsi="Georgia"/>
          <w:color w:val="585756"/>
          <w:sz w:val="21"/>
        </w:rPr>
        <w:t xml:space="preserve"> </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w:t>
      </w:r>
      <w:proofErr w:type="spellStart"/>
      <w:r w:rsidRPr="0073266B">
        <w:rPr>
          <w:rFonts w:ascii="Georgia" w:hAnsi="Georgia"/>
          <w:color w:val="585756"/>
          <w:sz w:val="21"/>
        </w:rPr>
        <w:t>proposé·e</w:t>
      </w:r>
      <w:proofErr w:type="spellEnd"/>
      <w:r w:rsidRPr="0073266B">
        <w:rPr>
          <w:rFonts w:ascii="Georgia" w:hAnsi="Georgia"/>
          <w:color w:val="585756"/>
          <w:sz w:val="21"/>
        </w:rPr>
        <w:t xml:space="preserve"> même si celui ou celle-ci rencontre les 2</w:t>
      </w:r>
      <w:r w:rsidR="00B5602D" w:rsidRPr="0073266B">
        <w:rPr>
          <w:rFonts w:ascii="Georgia" w:hAnsi="Georgia"/>
          <w:color w:val="585756"/>
          <w:sz w:val="21"/>
        </w:rPr>
        <w:t> </w:t>
      </w:r>
      <w:r w:rsidRPr="0073266B">
        <w:rPr>
          <w:rFonts w:ascii="Georgia" w:hAnsi="Georgia"/>
          <w:color w:val="585756"/>
          <w:sz w:val="21"/>
        </w:rPr>
        <w:t>conditions ci-dessus.</w:t>
      </w:r>
    </w:p>
    <w:p w14:paraId="778CD592" w14:textId="03A67D1B" w:rsidR="00FB3E90" w:rsidRPr="0073266B" w:rsidRDefault="00FB3E90" w:rsidP="00FB3E90">
      <w:pPr>
        <w:pStyle w:val="BodyText"/>
        <w:rPr>
          <w:rFonts w:ascii="Georgia" w:eastAsia="Calibri" w:hAnsi="Georgia" w:cs="Times New Roman"/>
          <w:color w:val="585756"/>
          <w:kern w:val="0"/>
          <w:sz w:val="21"/>
          <w:szCs w:val="21"/>
        </w:rPr>
      </w:pPr>
      <w:r w:rsidRPr="0073266B">
        <w:rPr>
          <w:rFonts w:ascii="Georgia" w:hAnsi="Georgia"/>
          <w:color w:val="585756"/>
          <w:sz w:val="21"/>
        </w:rPr>
        <w:t xml:space="preserve">Si le ou la </w:t>
      </w:r>
      <w:proofErr w:type="spellStart"/>
      <w:r w:rsidRPr="0073266B">
        <w:rPr>
          <w:rFonts w:ascii="Georgia" w:hAnsi="Georgia"/>
          <w:color w:val="585756"/>
          <w:sz w:val="21"/>
        </w:rPr>
        <w:t>nouvel·le</w:t>
      </w:r>
      <w:proofErr w:type="spellEnd"/>
      <w:r w:rsidRPr="0073266B">
        <w:rPr>
          <w:rFonts w:ascii="Georgia" w:hAnsi="Georgia"/>
          <w:color w:val="585756"/>
          <w:sz w:val="21"/>
        </w:rPr>
        <w:t xml:space="preserve"> </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n’est pas </w:t>
      </w:r>
      <w:proofErr w:type="spellStart"/>
      <w:r w:rsidRPr="0073266B">
        <w:rPr>
          <w:rFonts w:ascii="Georgia" w:hAnsi="Georgia"/>
          <w:color w:val="585756"/>
          <w:sz w:val="21"/>
        </w:rPr>
        <w:t>accepté·e</w:t>
      </w:r>
      <w:proofErr w:type="spellEnd"/>
      <w:r w:rsidRPr="0073266B">
        <w:rPr>
          <w:rFonts w:ascii="Georgia" w:hAnsi="Georgia"/>
          <w:color w:val="585756"/>
          <w:sz w:val="21"/>
        </w:rPr>
        <w:t>, l’OE partie à l’accord-cadre pourra soit maintenir l’</w:t>
      </w:r>
      <w:proofErr w:type="spellStart"/>
      <w:r w:rsidRPr="0073266B">
        <w:rPr>
          <w:rFonts w:ascii="Georgia" w:hAnsi="Georgia"/>
          <w:color w:val="585756"/>
          <w:sz w:val="21"/>
        </w:rPr>
        <w:t>expert·e</w:t>
      </w:r>
      <w:proofErr w:type="spellEnd"/>
      <w:r w:rsidRPr="0073266B">
        <w:rPr>
          <w:rFonts w:ascii="Georgia" w:hAnsi="Georgia"/>
          <w:color w:val="585756"/>
          <w:sz w:val="21"/>
        </w:rPr>
        <w:t xml:space="preserve"> </w:t>
      </w:r>
      <w:proofErr w:type="spellStart"/>
      <w:r w:rsidRPr="0073266B">
        <w:rPr>
          <w:rFonts w:ascii="Georgia" w:hAnsi="Georgia"/>
          <w:color w:val="585756"/>
          <w:sz w:val="21"/>
        </w:rPr>
        <w:t>initial·e</w:t>
      </w:r>
      <w:proofErr w:type="spellEnd"/>
      <w:r w:rsidRPr="0073266B">
        <w:rPr>
          <w:rFonts w:ascii="Georgia" w:hAnsi="Georgia"/>
          <w:color w:val="585756"/>
          <w:sz w:val="21"/>
        </w:rPr>
        <w:t xml:space="preserve"> soit l’OE sera supprimé en tant que participant à l’accord-cadre pour le lot concerné. Dans le cadre d’une demande, l’OE peut proposer maximum 2</w:t>
      </w:r>
      <w:r w:rsidR="00B5602D" w:rsidRPr="0073266B">
        <w:rPr>
          <w:rFonts w:ascii="Georgia" w:hAnsi="Georgia"/>
          <w:color w:val="585756"/>
          <w:sz w:val="21"/>
        </w:rPr>
        <w:t> </w:t>
      </w:r>
      <w:proofErr w:type="spellStart"/>
      <w:r w:rsidRPr="0073266B">
        <w:rPr>
          <w:rFonts w:ascii="Georgia" w:hAnsi="Georgia"/>
          <w:color w:val="585756"/>
          <w:sz w:val="21"/>
        </w:rPr>
        <w:t>expert·es</w:t>
      </w:r>
      <w:proofErr w:type="spellEnd"/>
      <w:r w:rsidRPr="0073266B">
        <w:rPr>
          <w:rFonts w:ascii="Georgia" w:hAnsi="Georgia"/>
          <w:color w:val="585756"/>
          <w:sz w:val="21"/>
        </w:rPr>
        <w:t xml:space="preserve"> </w:t>
      </w:r>
      <w:proofErr w:type="spellStart"/>
      <w:r w:rsidRPr="0073266B">
        <w:rPr>
          <w:rFonts w:ascii="Georgia" w:hAnsi="Georgia"/>
          <w:color w:val="585756"/>
          <w:sz w:val="21"/>
        </w:rPr>
        <w:t>différent·es</w:t>
      </w:r>
      <w:proofErr w:type="spellEnd"/>
      <w:r w:rsidRPr="0073266B">
        <w:rPr>
          <w:rFonts w:ascii="Georgia" w:hAnsi="Georgia"/>
          <w:color w:val="585756"/>
          <w:sz w:val="21"/>
        </w:rPr>
        <w:t>.</w:t>
      </w:r>
    </w:p>
    <w:p w14:paraId="1BEE2A58" w14:textId="77777777" w:rsidR="00DD59C6" w:rsidRPr="00C552B8" w:rsidRDefault="00DD59C6" w:rsidP="00FB3E90">
      <w:pPr>
        <w:pStyle w:val="BodyText"/>
        <w:rPr>
          <w:rFonts w:ascii="Georgia" w:eastAsia="Calibri" w:hAnsi="Georgia" w:cs="Times New Roman"/>
          <w:color w:val="585756"/>
          <w:kern w:val="0"/>
          <w:sz w:val="21"/>
          <w:szCs w:val="21"/>
          <w:lang w:val="fr-BE"/>
        </w:rPr>
      </w:pPr>
    </w:p>
    <w:p w14:paraId="6D304266" w14:textId="77777777" w:rsidR="00EC6BAA" w:rsidRDefault="00EC6BAA" w:rsidP="007C5BDC">
      <w:pPr>
        <w:pStyle w:val="Heading3"/>
      </w:pPr>
      <w:bookmarkStart w:id="109" w:name="_Toc160610208"/>
      <w:r>
        <w:t>Révision des prix (art. 38/7)</w:t>
      </w:r>
      <w:bookmarkEnd w:id="109"/>
    </w:p>
    <w:p w14:paraId="7BD6F7FE" w14:textId="5E7D57C8" w:rsidR="00EC640F" w:rsidRDefault="00EC640F" w:rsidP="000C5768">
      <w:pPr>
        <w:pStyle w:val="BTCtextCTB"/>
        <w:rPr>
          <w:rFonts w:ascii="Georgia" w:eastAsia="Calibri" w:hAnsi="Georgia"/>
          <w:color w:val="585756"/>
          <w:sz w:val="21"/>
          <w:szCs w:val="21"/>
        </w:rPr>
      </w:pPr>
      <w:r>
        <w:rPr>
          <w:rFonts w:ascii="Georgia" w:hAnsi="Georgia"/>
          <w:color w:val="585756"/>
          <w:sz w:val="21"/>
        </w:rPr>
        <w:t>Les prix sont indexés annuellement à la date anniversaire de la conclusion du marché sur base de l’indice santé.</w:t>
      </w:r>
    </w:p>
    <w:p w14:paraId="1DE990F6" w14:textId="43BB19BB"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La révision des prix se calcule suivant la formule :</w:t>
      </w:r>
    </w:p>
    <w:p w14:paraId="246AEB43" w14:textId="77777777" w:rsidR="000C5768" w:rsidRPr="005B7D75" w:rsidRDefault="000C5768" w:rsidP="000C5768">
      <w:pPr>
        <w:pStyle w:val="BTCtextCTB"/>
        <w:rPr>
          <w:rFonts w:ascii="Georgia" w:eastAsia="Calibri" w:hAnsi="Georgia"/>
          <w:color w:val="585756"/>
          <w:sz w:val="21"/>
          <w:szCs w:val="21"/>
        </w:rPr>
      </w:pPr>
    </w:p>
    <w:p w14:paraId="34D0352B" w14:textId="77777777"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Révision des prix = (coefficient de révision (k) - 1) * partie révisable</w:t>
      </w:r>
    </w:p>
    <w:p w14:paraId="32948591" w14:textId="77777777" w:rsidR="000C5768" w:rsidRPr="005B7D75" w:rsidRDefault="000C5768" w:rsidP="000C5768">
      <w:pPr>
        <w:pStyle w:val="BTCtextCTB"/>
        <w:rPr>
          <w:rFonts w:ascii="Georgia" w:eastAsia="Calibri" w:hAnsi="Georgia"/>
          <w:color w:val="585756"/>
          <w:sz w:val="21"/>
          <w:szCs w:val="21"/>
        </w:rPr>
      </w:pPr>
    </w:p>
    <w:p w14:paraId="06D4E871" w14:textId="77777777"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 xml:space="preserve">k = 1 * </w:t>
      </w:r>
      <w:proofErr w:type="spellStart"/>
      <w:r>
        <w:rPr>
          <w:rFonts w:ascii="Georgia" w:hAnsi="Georgia"/>
          <w:color w:val="585756"/>
          <w:sz w:val="21"/>
        </w:rPr>
        <w:t>is</w:t>
      </w:r>
      <w:proofErr w:type="spellEnd"/>
      <w:r>
        <w:rPr>
          <w:rFonts w:ascii="Georgia" w:hAnsi="Georgia"/>
          <w:color w:val="585756"/>
          <w:sz w:val="21"/>
        </w:rPr>
        <w:t>\gi/IS\GI</w:t>
      </w:r>
    </w:p>
    <w:p w14:paraId="30E5E595" w14:textId="77777777" w:rsidR="000C5768" w:rsidRPr="005B7D75" w:rsidRDefault="000C5768" w:rsidP="000C5768">
      <w:pPr>
        <w:pStyle w:val="BTCtextCTB"/>
        <w:rPr>
          <w:rFonts w:ascii="Georgia" w:eastAsia="Calibri" w:hAnsi="Georgia"/>
          <w:color w:val="585756"/>
          <w:sz w:val="21"/>
          <w:szCs w:val="21"/>
        </w:rPr>
      </w:pPr>
    </w:p>
    <w:p w14:paraId="7EA5573F" w14:textId="794F1092" w:rsidR="000C5768" w:rsidRPr="000C5768" w:rsidRDefault="000C5768" w:rsidP="000C5768">
      <w:pPr>
        <w:pStyle w:val="BTCtextCTB"/>
        <w:rPr>
          <w:rFonts w:ascii="Georgia" w:eastAsia="Calibri" w:hAnsi="Georgia"/>
          <w:color w:val="585756"/>
          <w:sz w:val="21"/>
          <w:szCs w:val="21"/>
        </w:rPr>
      </w:pPr>
      <w:r>
        <w:rPr>
          <w:rFonts w:ascii="Georgia" w:hAnsi="Georgia"/>
          <w:color w:val="585756"/>
          <w:sz w:val="21"/>
        </w:rPr>
        <w:t>IS = indice santé au jour de l’ouverture des offres.</w:t>
      </w:r>
    </w:p>
    <w:p w14:paraId="4D898EE0" w14:textId="79C63AE6" w:rsidR="007E40C8" w:rsidRDefault="000C5768" w:rsidP="000C5768">
      <w:pPr>
        <w:pStyle w:val="BTCtextCTB"/>
        <w:rPr>
          <w:rFonts w:ascii="Georgia" w:eastAsia="Calibri" w:hAnsi="Georgia"/>
          <w:color w:val="585756"/>
          <w:sz w:val="21"/>
          <w:szCs w:val="21"/>
        </w:rPr>
      </w:pPr>
      <w:proofErr w:type="spellStart"/>
      <w:r>
        <w:rPr>
          <w:rFonts w:ascii="Georgia" w:hAnsi="Georgia"/>
          <w:color w:val="585756"/>
          <w:sz w:val="21"/>
        </w:rPr>
        <w:t>is</w:t>
      </w:r>
      <w:proofErr w:type="spellEnd"/>
      <w:r>
        <w:rPr>
          <w:rFonts w:ascii="Georgia" w:hAnsi="Georgia"/>
          <w:color w:val="585756"/>
          <w:sz w:val="21"/>
        </w:rPr>
        <w:t xml:space="preserve"> = même indice, à la date de la facture.</w:t>
      </w:r>
    </w:p>
    <w:p w14:paraId="44CE70F5" w14:textId="77777777" w:rsidR="00264308" w:rsidRPr="005B7D75" w:rsidRDefault="00264308" w:rsidP="000C5768">
      <w:pPr>
        <w:pStyle w:val="BTCtextCTB"/>
        <w:rPr>
          <w:rFonts w:ascii="Georgia" w:eastAsia="Calibri" w:hAnsi="Georgia"/>
          <w:color w:val="585756"/>
          <w:sz w:val="21"/>
          <w:szCs w:val="21"/>
        </w:rPr>
      </w:pPr>
    </w:p>
    <w:p w14:paraId="1450716F" w14:textId="3371680F" w:rsidR="000C5768" w:rsidRDefault="00264308" w:rsidP="000C5768">
      <w:pPr>
        <w:pStyle w:val="BTCtextCTB"/>
        <w:rPr>
          <w:rFonts w:ascii="Georgia" w:hAnsi="Georgia"/>
          <w:color w:val="585756"/>
          <w:sz w:val="21"/>
        </w:rPr>
      </w:pPr>
      <w:r>
        <w:rPr>
          <w:rFonts w:ascii="Georgia" w:hAnsi="Georgia"/>
          <w:color w:val="585756"/>
          <w:sz w:val="21"/>
        </w:rPr>
        <w:lastRenderedPageBreak/>
        <w:t>À partir de la deuxième année, l’adjudicataire peut remettre une nouvelle offre de prix en début d’année</w:t>
      </w:r>
      <w:r w:rsidR="00AD683F">
        <w:rPr>
          <w:rFonts w:ascii="Georgia" w:hAnsi="Georgia"/>
          <w:color w:val="585756"/>
          <w:sz w:val="21"/>
        </w:rPr>
        <w:t>.</w:t>
      </w:r>
      <w:r>
        <w:rPr>
          <w:rFonts w:ascii="Georgia" w:hAnsi="Georgia"/>
          <w:color w:val="585756"/>
          <w:sz w:val="21"/>
        </w:rPr>
        <w:t xml:space="preserve"> Les prix révisés ne seront mis en œuvre que lorsqu’ils auront été acceptés par le pouvoir adjudicateur.</w:t>
      </w:r>
    </w:p>
    <w:p w14:paraId="536712D8" w14:textId="77777777" w:rsidR="00A22675" w:rsidRDefault="00A22675" w:rsidP="000C5768">
      <w:pPr>
        <w:pStyle w:val="BTCtextCTB"/>
        <w:rPr>
          <w:rFonts w:ascii="Georgia" w:eastAsia="Calibri" w:hAnsi="Georgia"/>
          <w:color w:val="585756"/>
          <w:sz w:val="21"/>
          <w:szCs w:val="21"/>
        </w:rPr>
      </w:pPr>
    </w:p>
    <w:p w14:paraId="0EE72FA8" w14:textId="77777777" w:rsidR="000C5768" w:rsidRPr="00D67A9E" w:rsidRDefault="000C5768" w:rsidP="000C5768">
      <w:pPr>
        <w:pStyle w:val="BTCtextCTB"/>
        <w:rPr>
          <w:rFonts w:ascii="Georgia" w:eastAsia="Calibri" w:hAnsi="Georgia" w:cs="Arial"/>
          <w:color w:val="585756"/>
          <w:kern w:val="18"/>
          <w:sz w:val="20"/>
        </w:rPr>
      </w:pPr>
    </w:p>
    <w:p w14:paraId="6D30426D" w14:textId="77777777" w:rsidR="00EC6BAA" w:rsidRPr="00957318" w:rsidRDefault="00EC6BAA" w:rsidP="00D5063A">
      <w:pPr>
        <w:pStyle w:val="Heading3"/>
      </w:pPr>
      <w:bookmarkStart w:id="110" w:name="_Toc160610209"/>
      <w:r>
        <w:t>Indemnités suite aux suspensions ordonnées par l’adjudicateur durant l’exécution (art. 38/12)</w:t>
      </w:r>
      <w:bookmarkEnd w:id="110"/>
    </w:p>
    <w:p w14:paraId="6D30426E" w14:textId="77777777" w:rsidR="00EC6BAA" w:rsidRPr="00E258F1" w:rsidRDefault="00EC6BAA" w:rsidP="00E258F1">
      <w:pPr>
        <w:pStyle w:val="BTCtextCTB"/>
        <w:rPr>
          <w:rFonts w:ascii="Georgia" w:eastAsia="Calibri" w:hAnsi="Georgia"/>
          <w:color w:val="585756"/>
          <w:sz w:val="21"/>
          <w:szCs w:val="21"/>
        </w:rPr>
      </w:pPr>
      <w:r>
        <w:rPr>
          <w:rFonts w:ascii="Georgia" w:hAnsi="Georgia"/>
          <w:b/>
          <w:color w:val="585756"/>
          <w:sz w:val="21"/>
        </w:rPr>
        <w:t>L’adjudicateur</w:t>
      </w:r>
      <w:r>
        <w:rPr>
          <w:rFonts w:ascii="Georgia" w:hAnsi="Georgia"/>
          <w:color w:val="585756"/>
          <w:sz w:val="21"/>
        </w:rPr>
        <w:t xml:space="preserve"> se réserve le droit de suspendre l’exécution du marché pendant une période donnée, notamment lorsqu’il estime que le marché ne peut pas être exécuté sans inconvénient à ce moment-là.</w:t>
      </w:r>
    </w:p>
    <w:p w14:paraId="6D30426F" w14:textId="350C06F0"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Le délai d’exécution est prolongé à concurrence du retard occasionné par cette suspension, pour autant que le délai contractuel ne soit pas expiré. Lorsque ce délai est expiré, une remise d’amende pour retard d’exécution sera consentie.</w:t>
      </w:r>
    </w:p>
    <w:p w14:paraId="6D304270" w14:textId="1CE77758" w:rsidR="00EC6BAA" w:rsidRPr="00E258F1" w:rsidRDefault="00EC6BAA" w:rsidP="00E258F1">
      <w:pPr>
        <w:pStyle w:val="BTCtextCTB"/>
        <w:rPr>
          <w:rFonts w:ascii="Georgia" w:eastAsia="Calibri" w:hAnsi="Georgia"/>
          <w:color w:val="585756"/>
          <w:sz w:val="21"/>
          <w:szCs w:val="21"/>
        </w:rPr>
      </w:pPr>
      <w:r>
        <w:rPr>
          <w:rFonts w:ascii="Georgia" w:hAnsi="Georgia"/>
          <w:color w:val="585756"/>
          <w:sz w:val="21"/>
        </w:rPr>
        <w:t>Lorsque les prestations sont suspendues, sur la base de la présente clause, l’adjudicataire est tenu de prendre, à ses frais, toutes les précautions nécessaires pour préserver les prestations déjà exécutées et les matériaux, des dégradations pouvant provenir de conditions météorologiques défavorables, de vol ou d’autres actes de malveillance.</w:t>
      </w:r>
    </w:p>
    <w:p w14:paraId="6D304271" w14:textId="12C254D2" w:rsidR="00EC6BAA" w:rsidRPr="00E258F1" w:rsidRDefault="00EC6BAA" w:rsidP="00E258F1">
      <w:pPr>
        <w:pStyle w:val="BTCtextCTB"/>
        <w:rPr>
          <w:rFonts w:ascii="Georgia" w:eastAsia="Calibri" w:hAnsi="Georgia"/>
          <w:color w:val="585756"/>
          <w:sz w:val="21"/>
          <w:szCs w:val="21"/>
        </w:rPr>
      </w:pPr>
      <w:r>
        <w:rPr>
          <w:rFonts w:ascii="Georgia" w:hAnsi="Georgia"/>
          <w:b/>
          <w:color w:val="585756"/>
          <w:sz w:val="21"/>
        </w:rPr>
        <w:t>L’adjudicataire</w:t>
      </w:r>
      <w:r>
        <w:rPr>
          <w:rFonts w:ascii="Georgia" w:hAnsi="Georgia"/>
          <w:color w:val="585756"/>
          <w:sz w:val="21"/>
        </w:rPr>
        <w:t xml:space="preserve"> a droit à des dommages et intérêts pour les suspensions ordonnées par l’adjudicateur lorsque :</w:t>
      </w:r>
    </w:p>
    <w:p w14:paraId="7EA462AE" w14:textId="77777777" w:rsidR="00E258F1" w:rsidRPr="005B7D75"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la suspension dépasse au total un vingtième du délai d’exécution et au moins dix jours ouvrables ou quinze jours de calendrier, selon que le délai d’exécution est exprimé en jours ouvrables ou en jours de calendrier ;</w:t>
      </w:r>
    </w:p>
    <w:p w14:paraId="60F12861" w14:textId="77777777" w:rsidR="00E258F1" w:rsidRPr="005B7D75"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 xml:space="preserve">la suspension n’est pas due à des conditions météorologiques défavorables ; </w:t>
      </w:r>
    </w:p>
    <w:p w14:paraId="6D304274" w14:textId="36A4878E" w:rsidR="00EC6BAA" w:rsidRPr="00E258F1" w:rsidRDefault="00EC6BAA">
      <w:pPr>
        <w:pStyle w:val="BTCtextCTB"/>
        <w:numPr>
          <w:ilvl w:val="2"/>
          <w:numId w:val="17"/>
        </w:numPr>
        <w:rPr>
          <w:rFonts w:ascii="Georgia" w:eastAsia="Calibri" w:hAnsi="Georgia"/>
          <w:color w:val="585756"/>
          <w:sz w:val="21"/>
          <w:szCs w:val="21"/>
        </w:rPr>
      </w:pPr>
      <w:r>
        <w:rPr>
          <w:rFonts w:ascii="Georgia" w:hAnsi="Georgia"/>
          <w:color w:val="585756"/>
          <w:sz w:val="21"/>
        </w:rPr>
        <w:t>la suspension a lieu endéans le délai d’exécution du marché.</w:t>
      </w:r>
    </w:p>
    <w:p w14:paraId="6D304275" w14:textId="0475915D" w:rsidR="00EC6BAA" w:rsidRDefault="00EC6BAA" w:rsidP="00E258F1">
      <w:pPr>
        <w:pStyle w:val="BTCtextCTB"/>
        <w:rPr>
          <w:rFonts w:ascii="Georgia" w:eastAsia="Calibri" w:hAnsi="Georgia"/>
          <w:color w:val="585756"/>
          <w:sz w:val="21"/>
          <w:szCs w:val="21"/>
        </w:rPr>
      </w:pPr>
      <w:r>
        <w:rPr>
          <w:rFonts w:ascii="Georgia" w:hAnsi="Georgia"/>
          <w:color w:val="585756"/>
          <w:sz w:val="21"/>
        </w:rPr>
        <w:t>Dans les trente jours de leur survenance ou de la date à laquelle l’adjudicataire ou le pouvoir adjudicateur aurait normalement dû en avoir connaissance, l’adjudicataire dénonce les faits ou les circonstances de manière succincte au pouvoir adjudicateur et décrit de manière précise leur impact sur le déroulement et le coût du marché.</w:t>
      </w:r>
    </w:p>
    <w:p w14:paraId="2D5656C8" w14:textId="77777777" w:rsidR="00E258F1" w:rsidRPr="005B7D75" w:rsidRDefault="00E258F1" w:rsidP="00E258F1">
      <w:pPr>
        <w:pStyle w:val="BTCtextCTB"/>
        <w:rPr>
          <w:rFonts w:ascii="Georgia" w:eastAsia="Calibri" w:hAnsi="Georgia"/>
          <w:color w:val="585756"/>
          <w:sz w:val="21"/>
          <w:szCs w:val="21"/>
        </w:rPr>
      </w:pPr>
    </w:p>
    <w:p w14:paraId="6A179554" w14:textId="77777777" w:rsidR="00ED3334" w:rsidRPr="00DA6C69" w:rsidRDefault="00ED3334" w:rsidP="00DA6C69">
      <w:pPr>
        <w:pStyle w:val="Heading3"/>
      </w:pPr>
      <w:bookmarkStart w:id="111" w:name="_Toc160610210"/>
      <w:r>
        <w:t xml:space="preserve">Cas éventuel d’ajout d’un pays où </w:t>
      </w:r>
      <w:proofErr w:type="spellStart"/>
      <w:r>
        <w:t>Enabel</w:t>
      </w:r>
      <w:proofErr w:type="spellEnd"/>
      <w:r>
        <w:t xml:space="preserve"> sera actif</w:t>
      </w:r>
      <w:bookmarkEnd w:id="111"/>
      <w:r>
        <w:t xml:space="preserve"> </w:t>
      </w:r>
    </w:p>
    <w:p w14:paraId="25C8A643" w14:textId="77777777" w:rsidR="00ED3334" w:rsidRDefault="00ED3334" w:rsidP="00ED3334">
      <w:r>
        <w:t xml:space="preserve">Le présent marché prévoit que l’adjudicataire pourra se voir confier l’exécution de nouveaux services dans la mesure où il s’agit de prestations similaires à celles exécutées dans le cadre du présent marché, à effectuer dans un nouveau pays où </w:t>
      </w:r>
      <w:proofErr w:type="spellStart"/>
      <w:r>
        <w:t>Enabel</w:t>
      </w:r>
      <w:proofErr w:type="spellEnd"/>
      <w:r>
        <w:t xml:space="preserve"> sera active (tant quand il s’agit d’un nouveau pays partenaire de la Coopération belge, que dans le cas d’un nouveau pays dans le cadre de l’exécution pour tiers). </w:t>
      </w:r>
    </w:p>
    <w:p w14:paraId="39085217" w14:textId="23693EAE" w:rsidR="00DF0DAA" w:rsidRDefault="00ED3334" w:rsidP="00ED3334">
      <w:r>
        <w:t xml:space="preserve">Il sera donc possible pour le pouvoir adjudicateur d’acquérir ces prestations similaires. </w:t>
      </w:r>
    </w:p>
    <w:p w14:paraId="17966232" w14:textId="77777777" w:rsidR="00BD5E08" w:rsidRDefault="00BD5E08" w:rsidP="00ED3334"/>
    <w:p w14:paraId="1D09D56F" w14:textId="77777777" w:rsidR="00BD5E08" w:rsidRPr="000534B9" w:rsidRDefault="00BD5E08" w:rsidP="00BD5E08">
      <w:pPr>
        <w:pStyle w:val="Heading3"/>
      </w:pPr>
      <w:bookmarkStart w:id="112" w:name="_Toc122009370"/>
      <w:bookmarkStart w:id="113" w:name="_Toc160610211"/>
      <w:r>
        <w:t>Circonstances imprévisibles (art. 38/11)</w:t>
      </w:r>
      <w:bookmarkEnd w:id="112"/>
      <w:bookmarkEnd w:id="113"/>
    </w:p>
    <w:p w14:paraId="1D4DBF32" w14:textId="77777777" w:rsidR="00BD5E08" w:rsidRPr="00941BDE" w:rsidRDefault="00BD5E08" w:rsidP="00BD5E08">
      <w:pPr>
        <w:jc w:val="both"/>
        <w:rPr>
          <w:kern w:val="18"/>
          <w:szCs w:val="21"/>
        </w:rPr>
      </w:pPr>
      <w:r>
        <w:t xml:space="preserve">L’adjudicataire n’a droit en principe à aucune modification des conditions contractuelles pour des circonstances quelconques auxquelles le pouvoir adjudicateur est resté étranger. </w:t>
      </w:r>
    </w:p>
    <w:p w14:paraId="4AAC99A9" w14:textId="7F41C87D" w:rsidR="00BD5E08" w:rsidRDefault="00BD5E08" w:rsidP="00BD5E08">
      <w:pPr>
        <w:jc w:val="both"/>
        <w:rPr>
          <w:kern w:val="18"/>
        </w:rPr>
      </w:pPr>
      <w:r>
        <w:t xml:space="preserve">Une décision de l’État belge de suspendre la coopération avec le pays partenaire est considérée comme des circonstances imprévisibles au sens du présent article. En cas de rupture ou de cessation des activités par l’État belge qui implique donc le financement de ce marché, </w:t>
      </w:r>
      <w:proofErr w:type="spellStart"/>
      <w:r>
        <w:t>Enabel</w:t>
      </w:r>
      <w:proofErr w:type="spellEnd"/>
      <w:r>
        <w:t xml:space="preserve"> mettra en œuvre les moyens raisonnables pour convenir d’un montant maximum d’indemnisation.</w:t>
      </w:r>
    </w:p>
    <w:p w14:paraId="19B569AF" w14:textId="6CA1FB9A" w:rsidR="00BD5E08" w:rsidRDefault="00BD5E08" w:rsidP="00BD5E08">
      <w:pPr>
        <w:jc w:val="both"/>
      </w:pPr>
    </w:p>
    <w:p w14:paraId="2C906E4E" w14:textId="77777777" w:rsidR="00664293" w:rsidRPr="00957318" w:rsidRDefault="00664293" w:rsidP="00664293">
      <w:pPr>
        <w:pStyle w:val="Heading3"/>
      </w:pPr>
      <w:bookmarkStart w:id="114" w:name="_Toc77259243"/>
      <w:bookmarkStart w:id="115" w:name="_Toc160610212"/>
      <w:r>
        <w:t>Impositions ayant une incidence sur le montant du marché</w:t>
      </w:r>
      <w:bookmarkEnd w:id="114"/>
      <w:bookmarkEnd w:id="115"/>
    </w:p>
    <w:p w14:paraId="3BE47EE7" w14:textId="77777777" w:rsidR="00664293" w:rsidRDefault="00664293" w:rsidP="00664293">
      <w:r>
        <w:t xml:space="preserve">Pour le présent marché, une révision des prix telle que prévue à l’article 38/8 des RGE, résultant d’une modification des impositions est possible si le cas se présente en Belgique ou dans le pays d’exécution concerné par le présent marché, et ayant une incidence sur le montant du marché. </w:t>
      </w:r>
    </w:p>
    <w:p w14:paraId="47E53238" w14:textId="77777777" w:rsidR="00664293" w:rsidRDefault="00664293" w:rsidP="00664293">
      <w:r>
        <w:t xml:space="preserve">Une telle révision des prix n’est possible qu’à la double condition suivante : </w:t>
      </w:r>
    </w:p>
    <w:p w14:paraId="3EC46111" w14:textId="77777777" w:rsidR="00664293" w:rsidRDefault="00664293" w:rsidP="00664293">
      <w:pPr>
        <w:ind w:left="705" w:hanging="705"/>
      </w:pPr>
      <w:r>
        <w:t>1. la modification est entrée en vigueur après le dixième jour précédant la date ultime fixée pour la réception des offres ; et</w:t>
      </w:r>
    </w:p>
    <w:p w14:paraId="0ECC9109" w14:textId="77777777" w:rsidR="00664293" w:rsidRDefault="00664293" w:rsidP="00664293">
      <w:pPr>
        <w:ind w:left="705" w:hanging="705"/>
      </w:pPr>
      <w:r>
        <w:t>2. soit directement, soit indirectement par l’intermédiaire d’un indice, ces impositions ne sont pas incorporées dans la formule de révision prévue dans les documents du marché en application de l’article 38/7.</w:t>
      </w:r>
    </w:p>
    <w:p w14:paraId="58E4C129" w14:textId="77777777" w:rsidR="00664293" w:rsidRDefault="00664293" w:rsidP="00664293">
      <w:r>
        <w:t>En cas de hausse des impositions, l’adjudicataire doit établir qu’il a effectivement supporté les charges supplémentaires réclamées et que celles-ci sont relatives à des prestations inhérentes à l’exécution du marché.</w:t>
      </w:r>
    </w:p>
    <w:p w14:paraId="5AD33941" w14:textId="77777777" w:rsidR="00664293" w:rsidRDefault="00664293" w:rsidP="00664293">
      <w:r>
        <w:t>En cas de baisse, il n’y a pas de révision si l’adjudicataire prouve qu’il a payé les impositions à l’ancien taux.</w:t>
      </w:r>
    </w:p>
    <w:p w14:paraId="74485A03" w14:textId="77777777" w:rsidR="00664293" w:rsidRPr="008B329B" w:rsidRDefault="00664293" w:rsidP="00664293">
      <w:r>
        <w:t>Si les documents du marché ne contiennent pas une clause de réexamen telle que prévue à l’alinéa 1</w:t>
      </w:r>
      <w:r>
        <w:rPr>
          <w:vertAlign w:val="superscript"/>
        </w:rPr>
        <w:t>er</w:t>
      </w:r>
      <w:r>
        <w:t>, les règles prévues aux alinéas 2 à 4 sont réputées être applicables de plein droit.</w:t>
      </w:r>
    </w:p>
    <w:p w14:paraId="1D3E4672" w14:textId="77777777" w:rsidR="00664293" w:rsidRPr="00941BDE" w:rsidRDefault="00664293" w:rsidP="00BD5E08">
      <w:pPr>
        <w:jc w:val="both"/>
      </w:pPr>
    </w:p>
    <w:p w14:paraId="5A8FC095" w14:textId="77777777" w:rsidR="00BD5E08" w:rsidRPr="00BD5E08" w:rsidRDefault="00BD5E08" w:rsidP="00BD5E08">
      <w:pPr>
        <w:pStyle w:val="Heading3"/>
        <w:tabs>
          <w:tab w:val="num" w:pos="810"/>
        </w:tabs>
      </w:pPr>
      <w:bookmarkStart w:id="116" w:name="_Toc122009371"/>
      <w:bookmarkStart w:id="117" w:name="_Toc160610213"/>
      <w:r>
        <w:t>Conditions d’introduction (art. 38/14)</w:t>
      </w:r>
      <w:bookmarkEnd w:id="116"/>
      <w:bookmarkEnd w:id="117"/>
    </w:p>
    <w:p w14:paraId="57DC0C50" w14:textId="7957155E" w:rsidR="00BD5E08" w:rsidRDefault="00BD5E08" w:rsidP="00BD5E08">
      <w:pPr>
        <w:jc w:val="both"/>
      </w:pPr>
      <w:r>
        <w:t>Le pouvoir adjudicateur ou l’adjudicataire qui veut se baser sur une des clauses de réexamen, telles que visées aux articles 38/09 à 38/12, doit dénoncer les faits ou les circonstances sur lesquels il se base, par écrit dans les 30</w:t>
      </w:r>
      <w:r w:rsidR="00B5602D">
        <w:t> </w:t>
      </w:r>
      <w:r>
        <w:t xml:space="preserve">jours de leur survenance ou de la date à laquelle l’adjudicataire ou le pouvoir adjudicateur aurait normalement dû en avoir connaissance. </w:t>
      </w:r>
      <w:bookmarkStart w:id="118" w:name="_Toc361393826"/>
      <w:bookmarkStart w:id="119" w:name="_Toc361408328"/>
    </w:p>
    <w:bookmarkEnd w:id="118"/>
    <w:bookmarkEnd w:id="119"/>
    <w:p w14:paraId="49B9152D" w14:textId="11C5B817" w:rsidR="00DA6C69" w:rsidRDefault="00DA6C69" w:rsidP="00ED3334"/>
    <w:p w14:paraId="0C8C0FCF" w14:textId="77777777" w:rsidR="00AC076B" w:rsidRDefault="00AC076B" w:rsidP="00AC076B">
      <w:pPr>
        <w:pStyle w:val="Heading2"/>
        <w:keepLines w:val="0"/>
        <w:widowControl w:val="0"/>
        <w:tabs>
          <w:tab w:val="num" w:pos="576"/>
        </w:tabs>
        <w:suppressAutoHyphens/>
        <w:spacing w:after="240"/>
      </w:pPr>
      <w:bookmarkStart w:id="120" w:name="_Toc122009373"/>
      <w:bookmarkStart w:id="121" w:name="_Toc160610214"/>
      <w:r>
        <w:t>Suivi des prestations</w:t>
      </w:r>
      <w:bookmarkEnd w:id="120"/>
      <w:bookmarkEnd w:id="121"/>
    </w:p>
    <w:p w14:paraId="74473F4E" w14:textId="77777777" w:rsidR="00AC076B" w:rsidRPr="00AC076B" w:rsidRDefault="00AC076B" w:rsidP="00AC076B">
      <w:pPr>
        <w:jc w:val="both"/>
      </w:pPr>
      <w:r>
        <w:t xml:space="preserve">Le pouvoir adjudicateur se réserve le droit, à n’importe quel moment de la mission, de demander au prestataire de services un rapport d’activité (problèmes rencontrés et problèmes résolus, déviation par rapport au planning et déviations par rapport aux </w:t>
      </w:r>
      <w:proofErr w:type="spellStart"/>
      <w:r>
        <w:t>TdR</w:t>
      </w:r>
      <w:proofErr w:type="spellEnd"/>
      <w:r>
        <w:t>…).</w:t>
      </w:r>
    </w:p>
    <w:p w14:paraId="6C547BA2" w14:textId="77777777" w:rsidR="00AC076B" w:rsidRPr="00AC076B" w:rsidRDefault="00AC076B" w:rsidP="00AC076B">
      <w:pPr>
        <w:jc w:val="both"/>
      </w:pPr>
      <w:r>
        <w:t>Le pouvoir adjudicateur pourra réaliser des évaluations annuelles des prestations réalisées et/ou de la qualité de la relation avec l’adjudicataire.</w:t>
      </w:r>
    </w:p>
    <w:p w14:paraId="69340AB7" w14:textId="77777777" w:rsidR="00AC076B" w:rsidRDefault="00AC076B" w:rsidP="00ED3334"/>
    <w:p w14:paraId="6D304282" w14:textId="5041C305" w:rsidR="00EC6BAA" w:rsidRPr="00A72E34" w:rsidRDefault="00EC6BAA" w:rsidP="00B7382D">
      <w:pPr>
        <w:pStyle w:val="Heading2"/>
      </w:pPr>
      <w:bookmarkStart w:id="122" w:name="_Toc160610215"/>
      <w:r>
        <w:t>Modalités d’exécution (art. 146 et suivants)</w:t>
      </w:r>
      <w:bookmarkEnd w:id="122"/>
    </w:p>
    <w:p w14:paraId="19AAB136" w14:textId="77777777" w:rsidR="00092939" w:rsidRPr="00B319BD" w:rsidRDefault="00092939" w:rsidP="00092939"/>
    <w:p w14:paraId="68574AD0" w14:textId="41354B22" w:rsidR="00927AB4" w:rsidRDefault="00092939" w:rsidP="009332B3">
      <w:pPr>
        <w:pStyle w:val="Heading3"/>
      </w:pPr>
      <w:bookmarkStart w:id="123" w:name="_Toc122009378"/>
      <w:bookmarkStart w:id="124" w:name="_Toc160610216"/>
      <w:r>
        <w:t>Délais et clauses (art. 147)</w:t>
      </w:r>
      <w:bookmarkStart w:id="125" w:name="_Toc35953187"/>
      <w:bookmarkEnd w:id="123"/>
      <w:bookmarkEnd w:id="124"/>
    </w:p>
    <w:p w14:paraId="0DD42397" w14:textId="7B6128EF" w:rsidR="00927AB4" w:rsidRPr="00723D49" w:rsidRDefault="00927AB4" w:rsidP="00927AB4">
      <w:pPr>
        <w:jc w:val="both"/>
      </w:pPr>
      <w:r>
        <w:t>Pour chaque commande (marché public subséquent), la mission doit commencer (briefing initial / réunion de lancement) au plus tard 30 jours après le premier jour de calendrier suivant l’invitation (jour X+30).</w:t>
      </w:r>
    </w:p>
    <w:p w14:paraId="438389AA" w14:textId="349041AE" w:rsidR="00927AB4" w:rsidRPr="00723D49" w:rsidRDefault="00927AB4" w:rsidP="00927AB4">
      <w:r>
        <w:lastRenderedPageBreak/>
        <w:t>Les termes de référence préciseront ou incluront les personnes-jours de travail.</w:t>
      </w:r>
    </w:p>
    <w:p w14:paraId="2F868595" w14:textId="760E2102" w:rsidR="00A22675" w:rsidRPr="009332B3" w:rsidRDefault="00D90DB5">
      <w:pPr>
        <w:pStyle w:val="BodyText"/>
        <w:rPr>
          <w:rFonts w:ascii="Georgia" w:hAnsi="Georgia"/>
          <w:color w:val="585756"/>
          <w:sz w:val="21"/>
        </w:rPr>
      </w:pPr>
      <w:r>
        <w:rPr>
          <w:rFonts w:ascii="Georgia" w:hAnsi="Georgia"/>
          <w:color w:val="585756"/>
          <w:sz w:val="21"/>
        </w:rPr>
        <w:t>Les services doivent être exécutés dans un délai qui sera précisé dans la proposition de marché subséquent (voir 3.7.2).</w:t>
      </w:r>
    </w:p>
    <w:p w14:paraId="56E5844D" w14:textId="4E50BE8A" w:rsidR="007869BE" w:rsidRPr="00D51B42" w:rsidRDefault="007869BE" w:rsidP="009332B3">
      <w:pPr>
        <w:pStyle w:val="BodyText"/>
        <w:rPr>
          <w:highlight w:val="yellow"/>
        </w:rPr>
      </w:pPr>
    </w:p>
    <w:p w14:paraId="48153D1A" w14:textId="77777777" w:rsidR="00405B8B" w:rsidRPr="007B2D80" w:rsidRDefault="00405B8B" w:rsidP="00405B8B">
      <w:pPr>
        <w:pStyle w:val="Heading3"/>
      </w:pPr>
      <w:bookmarkStart w:id="126" w:name="_Toc77259247"/>
      <w:bookmarkStart w:id="127" w:name="_Toc160610217"/>
      <w:r>
        <w:t>Lieu où les services doivent être exécutés et modalités de prestation (art. 149)</w:t>
      </w:r>
      <w:bookmarkEnd w:id="126"/>
      <w:bookmarkEnd w:id="127"/>
    </w:p>
    <w:p w14:paraId="71D5E8F5" w14:textId="77777777" w:rsidR="00405B8B" w:rsidRDefault="00405B8B" w:rsidP="00405B8B">
      <w:r>
        <w:t>Les services seront exécutés à l’adresse suivante :</w:t>
      </w:r>
    </w:p>
    <w:p w14:paraId="36570008" w14:textId="77777777" w:rsidR="00405B8B" w:rsidRDefault="00405B8B" w:rsidP="00405B8B">
      <w:pPr>
        <w:pStyle w:val="ListParagraph"/>
        <w:numPr>
          <w:ilvl w:val="0"/>
          <w:numId w:val="7"/>
        </w:numPr>
      </w:pPr>
      <w:r>
        <w:t>les pays où la Coopération belge intervient au nom de l’État belge ou tout autre pays où l’intervention d’</w:t>
      </w:r>
      <w:proofErr w:type="spellStart"/>
      <w:r>
        <w:t>Enabel</w:t>
      </w:r>
      <w:proofErr w:type="spellEnd"/>
      <w:r>
        <w:t xml:space="preserve"> est sollicitée par d’autres donateurs ; </w:t>
      </w:r>
    </w:p>
    <w:p w14:paraId="42A904A7" w14:textId="77777777" w:rsidR="00405B8B" w:rsidRDefault="00405B8B" w:rsidP="00405B8B">
      <w:pPr>
        <w:pStyle w:val="ListParagraph"/>
        <w:numPr>
          <w:ilvl w:val="0"/>
          <w:numId w:val="7"/>
        </w:numPr>
      </w:pPr>
      <w:r>
        <w:t>le domicile ou pays de résidence de l’</w:t>
      </w:r>
      <w:proofErr w:type="spellStart"/>
      <w:r>
        <w:t>expert·e</w:t>
      </w:r>
      <w:proofErr w:type="spellEnd"/>
      <w:r>
        <w:t> ;</w:t>
      </w:r>
    </w:p>
    <w:p w14:paraId="69245B06" w14:textId="77777777" w:rsidR="00405B8B" w:rsidRDefault="00405B8B" w:rsidP="00405B8B">
      <w:pPr>
        <w:pStyle w:val="ListParagraph"/>
        <w:numPr>
          <w:ilvl w:val="0"/>
          <w:numId w:val="7"/>
        </w:numPr>
      </w:pPr>
      <w:r>
        <w:t>le siège d’</w:t>
      </w:r>
      <w:proofErr w:type="spellStart"/>
      <w:r>
        <w:t>Enabel</w:t>
      </w:r>
      <w:proofErr w:type="spellEnd"/>
      <w:r>
        <w:t>.</w:t>
      </w:r>
    </w:p>
    <w:p w14:paraId="6FC9898B" w14:textId="77777777" w:rsidR="00405B8B" w:rsidRDefault="00405B8B" w:rsidP="00092939"/>
    <w:p w14:paraId="517BAB25" w14:textId="77777777" w:rsidR="00092939" w:rsidRDefault="00092939" w:rsidP="00092939">
      <w:pPr>
        <w:pStyle w:val="Heading3"/>
      </w:pPr>
      <w:bookmarkStart w:id="128" w:name="_Toc122009379"/>
      <w:bookmarkStart w:id="129" w:name="_Toc160610218"/>
      <w:bookmarkEnd w:id="125"/>
      <w:r>
        <w:t>Quantités à fournir (art. 117)</w:t>
      </w:r>
      <w:bookmarkEnd w:id="128"/>
      <w:bookmarkEnd w:id="129"/>
    </w:p>
    <w:p w14:paraId="10619E0F" w14:textId="77777777" w:rsidR="00092939" w:rsidRPr="002A762C" w:rsidRDefault="00092939" w:rsidP="002A762C">
      <w:pPr>
        <w:jc w:val="both"/>
      </w:pPr>
      <w:r>
        <w:t>Le marché ne contient pas de quantités minimales.</w:t>
      </w:r>
    </w:p>
    <w:p w14:paraId="0BF96358" w14:textId="77777777" w:rsidR="00092939" w:rsidRPr="002A762C" w:rsidRDefault="00092939" w:rsidP="002A762C">
      <w:pPr>
        <w:jc w:val="both"/>
      </w:pPr>
      <w:r>
        <w:t>À titre purement indicatif, les quantités présumées, qui portent sur toute la durée du marché, sont représentées au point 2.7 Quantités. Le fournisseur doit donc être en mesure de fournir ces quantités pour la période couvrant la durée du marché</w:t>
      </w:r>
      <w:bookmarkStart w:id="130" w:name="_Toc122009380"/>
      <w:bookmarkStart w:id="131" w:name="_Hlk99825739"/>
      <w:r>
        <w:t>.</w:t>
      </w:r>
    </w:p>
    <w:p w14:paraId="7F268CC1" w14:textId="77777777" w:rsidR="009A465E" w:rsidRPr="005B7D75" w:rsidRDefault="009A465E" w:rsidP="00092939">
      <w:pPr>
        <w:pStyle w:val="BodyText"/>
        <w:rPr>
          <w:rFonts w:ascii="Georgia" w:eastAsia="Calibri" w:hAnsi="Georgia" w:cs="Times New Roman"/>
          <w:color w:val="585756"/>
          <w:sz w:val="21"/>
          <w:szCs w:val="21"/>
        </w:rPr>
      </w:pPr>
    </w:p>
    <w:p w14:paraId="2D50D6C2" w14:textId="77777777" w:rsidR="00092939" w:rsidRPr="003F3A0C" w:rsidRDefault="00092939" w:rsidP="00092939">
      <w:pPr>
        <w:pStyle w:val="Heading3"/>
      </w:pPr>
      <w:bookmarkStart w:id="132" w:name="_Toc122009382"/>
      <w:bookmarkStart w:id="133" w:name="_Toc160610219"/>
      <w:bookmarkEnd w:id="130"/>
      <w:r>
        <w:t>Vérification des services (art. 150)</w:t>
      </w:r>
      <w:bookmarkEnd w:id="131"/>
      <w:bookmarkEnd w:id="132"/>
      <w:bookmarkEnd w:id="133"/>
    </w:p>
    <w:p w14:paraId="114BAC6B" w14:textId="440564AB" w:rsidR="00092939" w:rsidRPr="002A762C" w:rsidRDefault="00092939" w:rsidP="002A762C">
      <w:pPr>
        <w:jc w:val="both"/>
      </w:pPr>
      <w:r>
        <w:t>Si, pendant l’exécution des services, des anomalies sont constatées, ceci sera immédiatement notifié à l’adjudicataire par un message courriel, qui sera confirmé par la suite au moyen d’une lettre recommandée. L’adjudicataire est tenu de recommencer les services exécutés de manière non conforme.</w:t>
      </w:r>
    </w:p>
    <w:p w14:paraId="1F22337B" w14:textId="77777777" w:rsidR="00092939" w:rsidRPr="002A762C" w:rsidRDefault="00092939" w:rsidP="002A762C">
      <w:pPr>
        <w:jc w:val="both"/>
      </w:pPr>
      <w:r>
        <w:t>Le prestataire de services avise le fonctionnaire dirigeant par envoi recommandé ou envoi électronique assurant la date exacte de l’envoi, à quelle date les prestations peuvent être contrôlées.</w:t>
      </w:r>
    </w:p>
    <w:p w14:paraId="167B0164" w14:textId="77777777" w:rsidR="00E60BC3" w:rsidRPr="00092939" w:rsidRDefault="00E60BC3" w:rsidP="005E62B1">
      <w:pPr>
        <w:jc w:val="both"/>
        <w:rPr>
          <w:sz w:val="20"/>
          <w:szCs w:val="20"/>
        </w:rPr>
      </w:pPr>
    </w:p>
    <w:p w14:paraId="6D304291" w14:textId="2846E1C5" w:rsidR="00EC6BAA" w:rsidRPr="00A72E34" w:rsidRDefault="00EC6BAA" w:rsidP="00B7382D">
      <w:pPr>
        <w:pStyle w:val="Heading2"/>
      </w:pPr>
      <w:bookmarkStart w:id="134" w:name="_Toc160610220"/>
      <w:r>
        <w:t>Moyens d’action du pouvoir adjudicateur (art. 44-53 et 154-155)</w:t>
      </w:r>
      <w:bookmarkEnd w:id="134"/>
    </w:p>
    <w:p w14:paraId="6D304292" w14:textId="77777777" w:rsidR="00EC6BAA" w:rsidRPr="00810694" w:rsidRDefault="00EC6BAA" w:rsidP="005E62B1">
      <w:pPr>
        <w:jc w:val="both"/>
      </w:pPr>
      <w:r>
        <w:t>Le défaut du prestataire de services ne s’apprécie pas uniquement par rapport aux services mêmes, mais également par rapport à l’ensemble de ses obligations.</w:t>
      </w:r>
    </w:p>
    <w:p w14:paraId="6D304293" w14:textId="77777777" w:rsidR="00EC6BAA" w:rsidRPr="00810694" w:rsidRDefault="00EC6BAA" w:rsidP="005E62B1">
      <w:pPr>
        <w:jc w:val="both"/>
      </w:pPr>
      <w:r>
        <w:t>Afin d’éviter toute impression de risque de partialité ou de connivence dans le suivi et le contrôle de l’exécution du marché, il est strictement interdit au prestataire de services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6D304294" w14:textId="77777777" w:rsidR="00EC6BAA" w:rsidRPr="00810694" w:rsidRDefault="00EC6BAA" w:rsidP="005E62B1">
      <w:pPr>
        <w:jc w:val="both"/>
      </w:pPr>
      <w:r>
        <w:t>En cas d’infraction, le pouvoir adjudicateur pourra infliger au prestataire de services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6D304295" w14:textId="381A8A97" w:rsidR="00EC6BAA" w:rsidRPr="00810694" w:rsidRDefault="00EC6BAA" w:rsidP="005E62B1">
      <w:pPr>
        <w:jc w:val="both"/>
      </w:pPr>
      <w:r>
        <w:lastRenderedPageBreak/>
        <w:t>Cette clause ne fait pas préjudice à l’application éventuelle des autres mesures d’office prévues au RGE, notamment la résiliation unilatérale du marché et/ou l’exclusion des marchés du pouvoir adjudicateur pour une durée déterminée.</w:t>
      </w:r>
    </w:p>
    <w:p w14:paraId="6D439FFD" w14:textId="77777777" w:rsidR="002A762C" w:rsidRDefault="002A762C" w:rsidP="005E62B1">
      <w:pPr>
        <w:jc w:val="both"/>
        <w:rPr>
          <w:sz w:val="20"/>
          <w:szCs w:val="20"/>
        </w:rPr>
      </w:pPr>
    </w:p>
    <w:p w14:paraId="6CCB77EC" w14:textId="77777777" w:rsidR="00A22675" w:rsidRPr="00D67A9E" w:rsidRDefault="00A22675" w:rsidP="005E62B1">
      <w:pPr>
        <w:jc w:val="both"/>
        <w:rPr>
          <w:sz w:val="20"/>
          <w:szCs w:val="20"/>
        </w:rPr>
      </w:pPr>
    </w:p>
    <w:p w14:paraId="6D304296" w14:textId="77777777" w:rsidR="00EC6BAA" w:rsidRDefault="00EC6BAA" w:rsidP="00B7382D">
      <w:pPr>
        <w:pStyle w:val="Heading3"/>
      </w:pPr>
      <w:bookmarkStart w:id="135" w:name="_Toc160610221"/>
      <w:r>
        <w:t>Défaut d’exécution (art. 44)</w:t>
      </w:r>
      <w:bookmarkEnd w:id="135"/>
    </w:p>
    <w:p w14:paraId="6D304297" w14:textId="4518FE49" w:rsidR="00EC6BAA" w:rsidRPr="00360A4E" w:rsidRDefault="00EC6BAA" w:rsidP="005E62B1">
      <w:pPr>
        <w:jc w:val="both"/>
        <w:rPr>
          <w:szCs w:val="21"/>
        </w:rPr>
      </w:pPr>
      <w:r>
        <w:t>§ 1</w:t>
      </w:r>
      <w:r>
        <w:rPr>
          <w:vertAlign w:val="superscript"/>
        </w:rPr>
        <w:t>er</w:t>
      </w:r>
      <w:r>
        <w:t xml:space="preserve"> L’adjudicataire est considéré en défaut d’exécution du marché :</w:t>
      </w:r>
    </w:p>
    <w:p w14:paraId="6D304298" w14:textId="425018E2" w:rsidR="00EC6BAA" w:rsidRPr="00360A4E" w:rsidRDefault="00EC6BAA" w:rsidP="00777B24">
      <w:pPr>
        <w:pStyle w:val="ListParagraph"/>
        <w:numPr>
          <w:ilvl w:val="0"/>
          <w:numId w:val="8"/>
        </w:numPr>
        <w:jc w:val="both"/>
        <w:rPr>
          <w:szCs w:val="21"/>
        </w:rPr>
      </w:pPr>
      <w:r>
        <w:t>lorsque les prestations ne sont pas exécutées dans les conditions définies par les documents du marché ;</w:t>
      </w:r>
    </w:p>
    <w:p w14:paraId="6D304299" w14:textId="15D77989" w:rsidR="00EC6BAA" w:rsidRPr="00360A4E" w:rsidRDefault="00EC6BAA" w:rsidP="00777B24">
      <w:pPr>
        <w:pStyle w:val="ListParagraph"/>
        <w:numPr>
          <w:ilvl w:val="0"/>
          <w:numId w:val="8"/>
        </w:numPr>
        <w:jc w:val="both"/>
        <w:rPr>
          <w:szCs w:val="21"/>
        </w:rPr>
      </w:pPr>
      <w:r>
        <w:t>à tout moment, lorsque les prestations ne sont pas poursuivies de telle manière qu’elles puissent être entièrement terminées aux dates fixées ;</w:t>
      </w:r>
    </w:p>
    <w:p w14:paraId="6D30429A" w14:textId="4D027D9E" w:rsidR="00EC6BAA" w:rsidRPr="00360A4E" w:rsidRDefault="00EC6BAA" w:rsidP="00777B24">
      <w:pPr>
        <w:pStyle w:val="ListParagraph"/>
        <w:numPr>
          <w:ilvl w:val="0"/>
          <w:numId w:val="8"/>
        </w:numPr>
        <w:jc w:val="both"/>
        <w:rPr>
          <w:szCs w:val="21"/>
        </w:rPr>
      </w:pPr>
      <w:r>
        <w:t>lorsqu’il ne suit pas les ordres écrits, valablement donnés par le pouvoir adjudicateur ;</w:t>
      </w:r>
    </w:p>
    <w:p w14:paraId="6D30429B" w14:textId="754B92B0" w:rsidR="00EC6BAA" w:rsidRPr="00360A4E" w:rsidRDefault="00EC6BAA" w:rsidP="005E62B1">
      <w:pPr>
        <w:jc w:val="both"/>
        <w:rPr>
          <w:szCs w:val="21"/>
        </w:rPr>
      </w:pPr>
      <w:r>
        <w:t>§ 2 Tous les manquements aux clauses du marché, y compris la non-observation des ordres du pouvoir adjudicateur, sont constatés par un procès-verbal dont une copie est transmise immédiatement à l’adjudicataire par lettre recommandée ou par courrier électronique qui assure de manière équivalente la date exacte de l’envoi.</w:t>
      </w:r>
    </w:p>
    <w:p w14:paraId="6D30429C" w14:textId="7F2A2163" w:rsidR="00EC6BAA" w:rsidRPr="00360A4E" w:rsidRDefault="00EC6BAA" w:rsidP="005E62B1">
      <w:pPr>
        <w:jc w:val="both"/>
        <w:rPr>
          <w:szCs w:val="21"/>
        </w:rPr>
      </w:pPr>
      <w:r>
        <w:t>L’adjudicataire est tenu de réparer sans délai ses manquements. Il peut faire valoir ses moyens de défense par lettre recommandée ou par envoi électronique qui assure de manière équivalente la date exacte de l’envoi. Cette défense est envoyée dans les quinze jours suivant le jour déterminé par la date de l’envoi du procès-verbal. Son silence est considéré, après ce délai, comme une reconnaissance des faits constatés.</w:t>
      </w:r>
    </w:p>
    <w:p w14:paraId="6D30429D" w14:textId="6E37FA09" w:rsidR="00EC6BAA" w:rsidRDefault="00EC6BAA" w:rsidP="005E62B1">
      <w:pPr>
        <w:jc w:val="both"/>
        <w:rPr>
          <w:szCs w:val="21"/>
        </w:rPr>
      </w:pPr>
      <w:r>
        <w:t>§ 3 Les manquements constatés à sa charge rendent l’adjudicataire passible d’une ou de plusieurs des mesures prévues aux articles 45 à 49, 154 et 155.</w:t>
      </w:r>
    </w:p>
    <w:p w14:paraId="74801750" w14:textId="77777777" w:rsidR="00AF1536" w:rsidRPr="00360A4E" w:rsidRDefault="00AF1536" w:rsidP="005E62B1">
      <w:pPr>
        <w:jc w:val="both"/>
        <w:rPr>
          <w:szCs w:val="21"/>
        </w:rPr>
      </w:pPr>
    </w:p>
    <w:p w14:paraId="0CBA4EEB" w14:textId="77777777" w:rsidR="00AF1536" w:rsidRPr="00AF1536" w:rsidRDefault="00AF1536">
      <w:pPr>
        <w:pStyle w:val="Heading3"/>
        <w:keepNext/>
        <w:widowControl w:val="0"/>
        <w:numPr>
          <w:ilvl w:val="2"/>
          <w:numId w:val="20"/>
        </w:numPr>
        <w:tabs>
          <w:tab w:val="num" w:pos="810"/>
        </w:tabs>
        <w:suppressAutoHyphens/>
        <w:autoSpaceDE/>
        <w:autoSpaceDN/>
        <w:adjustRightInd/>
        <w:spacing w:before="180" w:after="180"/>
        <w:contextualSpacing w:val="0"/>
      </w:pPr>
      <w:bookmarkStart w:id="136" w:name="_Toc122009386"/>
      <w:bookmarkStart w:id="137" w:name="_Toc160610222"/>
      <w:r>
        <w:t>Pénalités (art.45)</w:t>
      </w:r>
      <w:bookmarkEnd w:id="136"/>
      <w:bookmarkEnd w:id="137"/>
    </w:p>
    <w:p w14:paraId="62725407" w14:textId="55462683" w:rsidR="00AF1536" w:rsidRPr="00AF1536" w:rsidRDefault="00AF1536" w:rsidP="00AF1536">
      <w:pPr>
        <w:jc w:val="both"/>
        <w:rPr>
          <w:szCs w:val="21"/>
        </w:rPr>
      </w:pPr>
      <w:r>
        <w:t xml:space="preserve">Tout défaut d’exécution peut donner lieu à une pénalité telle que décrite dans l’article 45 des RGE. </w:t>
      </w:r>
    </w:p>
    <w:p w14:paraId="7F4050D8" w14:textId="77777777" w:rsidR="00AF1536" w:rsidRDefault="00AF1536" w:rsidP="00AF1536"/>
    <w:p w14:paraId="570E7565" w14:textId="77777777" w:rsidR="00AF1536" w:rsidRPr="007B2D80" w:rsidRDefault="00AF1536" w:rsidP="00AF1536">
      <w:pPr>
        <w:pStyle w:val="Heading3"/>
      </w:pPr>
      <w:bookmarkStart w:id="138" w:name="_Toc122009387"/>
      <w:bookmarkStart w:id="139" w:name="_Toc160610223"/>
      <w:r>
        <w:t>Amendes pour retard (art. 46 et 154)</w:t>
      </w:r>
      <w:bookmarkEnd w:id="138"/>
      <w:bookmarkEnd w:id="139"/>
    </w:p>
    <w:p w14:paraId="60BA9043" w14:textId="77777777" w:rsidR="00AF1536" w:rsidRPr="00AF1536" w:rsidRDefault="00AF1536" w:rsidP="00AF1536">
      <w:pPr>
        <w:jc w:val="both"/>
        <w:rPr>
          <w:szCs w:val="21"/>
        </w:rPr>
      </w:pPr>
      <w:r>
        <w:t>Les amendes pour retard sont indépendantes des pénalités prévues à l’article 45. Elles sont dues, sans mise en demeure, par la seule expiration du délai d’exécution sans intervention d’un procès-verbal et appliquées de plein droit pour la totalité des jours de retard.</w:t>
      </w:r>
    </w:p>
    <w:p w14:paraId="703D3BBE" w14:textId="77777777" w:rsidR="00AF1536" w:rsidRPr="00AF1536" w:rsidRDefault="00AF1536" w:rsidP="00AF1536">
      <w:pPr>
        <w:jc w:val="both"/>
        <w:rPr>
          <w:szCs w:val="21"/>
        </w:rPr>
      </w:pPr>
      <w:r>
        <w:t>Nonobstant l’application des amendes pour retard, l’adjudicataire reste garant vis-à-vis du pouvoir adjudicateur des dommages et intérêts dont celui-ci est, le cas échéant, redevable à des tiers du fait du retard dans l’exécution du marché.</w:t>
      </w:r>
    </w:p>
    <w:p w14:paraId="7829ED51" w14:textId="32527DD3" w:rsidR="00AF1536" w:rsidRPr="00AF1536" w:rsidRDefault="00AF1536" w:rsidP="00AF1536">
      <w:pPr>
        <w:jc w:val="both"/>
        <w:rPr>
          <w:szCs w:val="21"/>
        </w:rPr>
      </w:pPr>
      <w:r>
        <w:t>Les amendes pour retard sont calculées à raison de 0,1</w:t>
      </w:r>
      <w:r w:rsidR="00B5602D">
        <w:t> </w:t>
      </w:r>
      <w:r>
        <w:t>pour cent par jour de retard, le maximum en étant fixé à 7,5 % de la valeur des services dont l’exécution a été effectuée avec un même retard.</w:t>
      </w:r>
    </w:p>
    <w:p w14:paraId="48035A1B" w14:textId="77777777" w:rsidR="00360A4E" w:rsidRPr="00D67A9E" w:rsidRDefault="00360A4E" w:rsidP="005E62B1">
      <w:pPr>
        <w:jc w:val="both"/>
        <w:rPr>
          <w:sz w:val="20"/>
          <w:szCs w:val="20"/>
        </w:rPr>
      </w:pPr>
    </w:p>
    <w:p w14:paraId="6D3042A1" w14:textId="77777777" w:rsidR="00EC6BAA" w:rsidRDefault="00EC6BAA" w:rsidP="00B7382D">
      <w:pPr>
        <w:pStyle w:val="Heading3"/>
      </w:pPr>
      <w:bookmarkStart w:id="140" w:name="_Toc160610224"/>
      <w:r>
        <w:lastRenderedPageBreak/>
        <w:t>Mesures d’office (art. 47-155)</w:t>
      </w:r>
      <w:bookmarkEnd w:id="140"/>
    </w:p>
    <w:p w14:paraId="6D3042A2" w14:textId="7F30482D" w:rsidR="00EC6BAA" w:rsidRPr="00B54C3A" w:rsidRDefault="00EC6BAA" w:rsidP="005E62B1">
      <w:pPr>
        <w:jc w:val="both"/>
        <w:rPr>
          <w:szCs w:val="21"/>
        </w:rPr>
      </w:pPr>
      <w:r>
        <w:t>§ 1</w:t>
      </w:r>
      <w:r>
        <w:rPr>
          <w:vertAlign w:val="superscript"/>
        </w:rPr>
        <w:t>er</w:t>
      </w:r>
      <w:r>
        <w:t xml:space="preserve"> Lorsque, à l’expiration du délai indiqué à l’article 44, § 2, l’adjudicataire est resté inactif ou a présenté des moyens jugés non justifiés par le pouvoir adjudicateur, celui-ci peut recourir aux mesures d’office décrites au paragraphe 2.</w:t>
      </w:r>
    </w:p>
    <w:p w14:paraId="6D3042A3" w14:textId="05FC6FD2" w:rsidR="00EC6BAA" w:rsidRPr="00B54C3A" w:rsidRDefault="00EC6BAA" w:rsidP="005E62B1">
      <w:pPr>
        <w:jc w:val="both"/>
        <w:rPr>
          <w:szCs w:val="21"/>
        </w:rPr>
      </w:pPr>
      <w:r>
        <w:t>Le pouvoir adjudicateur peut toutefois recourir aux mesures d’office sans attendre l’expiration du délai indiqué à l’article 44, § 2, lorsqu’au préalable, l’adjudicataire a expressément reconnu les manquements constatés.</w:t>
      </w:r>
    </w:p>
    <w:p w14:paraId="6D3042A4" w14:textId="6B08B383" w:rsidR="00EC6BAA" w:rsidRPr="00B54C3A" w:rsidRDefault="00EC6BAA" w:rsidP="005E62B1">
      <w:pPr>
        <w:jc w:val="both"/>
        <w:rPr>
          <w:szCs w:val="21"/>
        </w:rPr>
      </w:pPr>
      <w:r>
        <w:t>Les mesures d’office sont :</w:t>
      </w:r>
    </w:p>
    <w:p w14:paraId="6D3042A5" w14:textId="065E31AC" w:rsidR="00EC6BAA" w:rsidRPr="00B54C3A" w:rsidRDefault="00EC6BAA" w:rsidP="00777B24">
      <w:pPr>
        <w:pStyle w:val="ListParagraph"/>
        <w:numPr>
          <w:ilvl w:val="0"/>
          <w:numId w:val="9"/>
        </w:numPr>
        <w:jc w:val="both"/>
        <w:rPr>
          <w:szCs w:val="21"/>
        </w:rPr>
      </w:pPr>
      <w:r>
        <w:t>la résiliation unilatérale du marché. Dans ce cas, la totalité du cautionnement ou, à défaut de constitution, un montant équivalent, est acquise de plein droit au pouvoir adjudicateur à titre de dommages et intérêts forfaitaires. Cette mesure exclut l’application de toute amende du chef de retard d’exécution pour la partie résiliée ;</w:t>
      </w:r>
    </w:p>
    <w:p w14:paraId="6D3042A6" w14:textId="48A1CD43" w:rsidR="00EC6BAA" w:rsidRPr="00B54C3A" w:rsidRDefault="00140D22" w:rsidP="00777B24">
      <w:pPr>
        <w:pStyle w:val="ListParagraph"/>
        <w:numPr>
          <w:ilvl w:val="0"/>
          <w:numId w:val="9"/>
        </w:numPr>
        <w:jc w:val="both"/>
        <w:rPr>
          <w:szCs w:val="21"/>
        </w:rPr>
      </w:pPr>
      <w:r>
        <w:t>l’exécution en régie de tout ou partie du marché non exécuté ;</w:t>
      </w:r>
    </w:p>
    <w:p w14:paraId="6D3042A7" w14:textId="024C58B0" w:rsidR="00EC6BAA" w:rsidRPr="00B54C3A" w:rsidRDefault="007C14E3" w:rsidP="00777B24">
      <w:pPr>
        <w:pStyle w:val="ListParagraph"/>
        <w:numPr>
          <w:ilvl w:val="0"/>
          <w:numId w:val="9"/>
        </w:numPr>
        <w:jc w:val="both"/>
        <w:rPr>
          <w:szCs w:val="21"/>
        </w:rPr>
      </w:pPr>
      <w:r>
        <w:t>la conclusion d’un ou de plusieurs marchés pour compte avec un ou plusieurs tiers pour tout ou partie du marché restant à exécuter.</w:t>
      </w:r>
    </w:p>
    <w:p w14:paraId="6D3042A8" w14:textId="552AA05E" w:rsidR="00EC6BAA" w:rsidRDefault="00EC6BAA" w:rsidP="005E62B1">
      <w:pPr>
        <w:jc w:val="both"/>
        <w:rPr>
          <w:szCs w:val="21"/>
        </w:rPr>
      </w:pPr>
      <w:r>
        <w:t>Les mesures prévues aux alinéas 1</w:t>
      </w:r>
      <w:r>
        <w:rPr>
          <w:vertAlign w:val="superscript"/>
        </w:rPr>
        <w:t>er</w:t>
      </w:r>
      <w:r>
        <w:t>, 2° et 3° sont appliquées aux frais, risques et périls de l’adjudicataire défaillant. Toutefois, les amendes et pénalités qui sont appliquées lors de l’exécution d’un marché pour compte sont à charge du nouvel adjudicataire.</w:t>
      </w:r>
    </w:p>
    <w:p w14:paraId="5F57093E" w14:textId="77777777" w:rsidR="00B54C3A" w:rsidRPr="00B54C3A" w:rsidRDefault="00B54C3A" w:rsidP="005E62B1">
      <w:pPr>
        <w:jc w:val="both"/>
        <w:rPr>
          <w:szCs w:val="21"/>
        </w:rPr>
      </w:pPr>
    </w:p>
    <w:p w14:paraId="6D3042A9" w14:textId="6AB34730" w:rsidR="00EC6BAA" w:rsidRPr="00A72E34" w:rsidRDefault="009C10E7" w:rsidP="00B7382D">
      <w:pPr>
        <w:pStyle w:val="Heading2"/>
      </w:pPr>
      <w:bookmarkStart w:id="141" w:name="_Toc160610225"/>
      <w:r>
        <w:t>Réception des services exécutés (art. 64-65 et 156)</w:t>
      </w:r>
      <w:bookmarkEnd w:id="141"/>
    </w:p>
    <w:p w14:paraId="0C153A86" w14:textId="3F3A5579" w:rsidR="009C10E7" w:rsidRPr="009332B3" w:rsidRDefault="009C10E7" w:rsidP="009332B3">
      <w:pPr>
        <w:pStyle w:val="Heading3"/>
      </w:pPr>
      <w:bookmarkStart w:id="142" w:name="_Toc158739221"/>
      <w:bookmarkStart w:id="143" w:name="_Toc158811106"/>
      <w:bookmarkStart w:id="144" w:name="_Toc158739222"/>
      <w:bookmarkStart w:id="145" w:name="_Toc158811107"/>
      <w:bookmarkStart w:id="146" w:name="_Toc158739223"/>
      <w:bookmarkStart w:id="147" w:name="_Toc158811108"/>
      <w:bookmarkStart w:id="148" w:name="_Toc158739224"/>
      <w:bookmarkStart w:id="149" w:name="_Toc158811109"/>
      <w:bookmarkStart w:id="150" w:name="_Toc158739225"/>
      <w:bookmarkStart w:id="151" w:name="_Toc158811110"/>
      <w:bookmarkStart w:id="152" w:name="_Toc160610226"/>
      <w:bookmarkEnd w:id="142"/>
      <w:bookmarkEnd w:id="143"/>
      <w:bookmarkEnd w:id="144"/>
      <w:bookmarkEnd w:id="145"/>
      <w:bookmarkEnd w:id="146"/>
      <w:bookmarkEnd w:id="147"/>
      <w:bookmarkEnd w:id="148"/>
      <w:bookmarkEnd w:id="149"/>
      <w:bookmarkEnd w:id="150"/>
      <w:bookmarkEnd w:id="151"/>
      <w:r>
        <w:t>Réception de l’accord-cadre</w:t>
      </w:r>
      <w:bookmarkEnd w:id="152"/>
    </w:p>
    <w:p w14:paraId="6A87D738" w14:textId="61BC339F" w:rsidR="004B7300" w:rsidRDefault="004B7300" w:rsidP="009C7572">
      <w:pPr>
        <w:jc w:val="both"/>
      </w:pPr>
      <w:r>
        <w:t>La réception provisoire du dernier marché subséquent vaut réception définitive de l’accord-cadre.</w:t>
      </w:r>
    </w:p>
    <w:p w14:paraId="0AC1F943" w14:textId="77777777" w:rsidR="009C7572" w:rsidRDefault="009C7572" w:rsidP="009C7572">
      <w:pPr>
        <w:spacing w:before="120"/>
        <w:jc w:val="both"/>
        <w:rPr>
          <w:color w:val="575655"/>
          <w:sz w:val="20"/>
        </w:rPr>
      </w:pPr>
    </w:p>
    <w:p w14:paraId="6D3042B0" w14:textId="77777777" w:rsidR="00EC6BAA" w:rsidRPr="009332B3" w:rsidRDefault="00EC6BAA" w:rsidP="00B7382D">
      <w:pPr>
        <w:pStyle w:val="Heading2"/>
      </w:pPr>
      <w:bookmarkStart w:id="153" w:name="_Toc160610227"/>
      <w:r>
        <w:t>Facturation et paiement des services (art. 66 à 72 - 160)</w:t>
      </w:r>
      <w:bookmarkEnd w:id="153"/>
    </w:p>
    <w:p w14:paraId="0FC5DE5E" w14:textId="77777777" w:rsidR="00A22675" w:rsidRDefault="00A22675" w:rsidP="009B0CF1"/>
    <w:p w14:paraId="7D332DD8" w14:textId="4F2659A6"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Au terme de chaque marché subséquent, l’adjudicataire est tenu d’envoyer les factures (en un seul exemplaire) et le procès-verbal de réception provisoire du marché (exemplaire original) à l’adresse suivante :</w:t>
      </w:r>
    </w:p>
    <w:p w14:paraId="2F72AA2F" w14:textId="77777777" w:rsidR="009B0CF1" w:rsidRPr="00B71AB5" w:rsidRDefault="009B0CF1" w:rsidP="009B0CF1">
      <w:pPr>
        <w:pStyle w:val="BTCtextCTB"/>
        <w:spacing w:line="276" w:lineRule="auto"/>
        <w:ind w:firstLine="708"/>
        <w:rPr>
          <w:rFonts w:ascii="Georgia" w:eastAsia="Calibri" w:hAnsi="Georgia"/>
          <w:color w:val="585756"/>
          <w:kern w:val="18"/>
          <w:sz w:val="21"/>
          <w:szCs w:val="21"/>
        </w:rPr>
      </w:pPr>
      <w:proofErr w:type="spellStart"/>
      <w:r w:rsidRPr="00B71AB5">
        <w:rPr>
          <w:rFonts w:ascii="Georgia" w:hAnsi="Georgia"/>
          <w:color w:val="585756"/>
          <w:sz w:val="21"/>
        </w:rPr>
        <w:t>Enabel</w:t>
      </w:r>
      <w:proofErr w:type="spellEnd"/>
      <w:r w:rsidRPr="00B71AB5">
        <w:rPr>
          <w:rFonts w:ascii="Georgia" w:hAnsi="Georgia"/>
          <w:color w:val="585756"/>
          <w:sz w:val="21"/>
        </w:rPr>
        <w:t>, Agence belge de développement</w:t>
      </w:r>
    </w:p>
    <w:p w14:paraId="5CF7AA82" w14:textId="77777777" w:rsidR="009B0CF1" w:rsidRPr="00B71AB5" w:rsidRDefault="009B0CF1" w:rsidP="009B0CF1">
      <w:pPr>
        <w:pStyle w:val="BTCtextCTB"/>
        <w:spacing w:line="276" w:lineRule="auto"/>
        <w:ind w:firstLine="708"/>
        <w:rPr>
          <w:rFonts w:ascii="Georgia" w:eastAsia="Calibri" w:hAnsi="Georgia"/>
          <w:color w:val="585756"/>
          <w:kern w:val="18"/>
          <w:sz w:val="21"/>
          <w:szCs w:val="21"/>
        </w:rPr>
      </w:pPr>
      <w:r w:rsidRPr="00B71AB5">
        <w:rPr>
          <w:rFonts w:ascii="Georgia" w:hAnsi="Georgia"/>
          <w:color w:val="585756"/>
          <w:sz w:val="21"/>
        </w:rPr>
        <w:t>Rue Haute 147</w:t>
      </w:r>
    </w:p>
    <w:p w14:paraId="24552A79" w14:textId="77777777" w:rsidR="009B0CF1" w:rsidRPr="00B71AB5" w:rsidRDefault="009B0CF1" w:rsidP="009B0CF1">
      <w:pPr>
        <w:pStyle w:val="BTCtextCTB"/>
        <w:spacing w:line="276" w:lineRule="auto"/>
        <w:ind w:firstLine="708"/>
        <w:rPr>
          <w:rFonts w:ascii="Georgia" w:eastAsia="Calibri" w:hAnsi="Georgia"/>
          <w:color w:val="585756"/>
          <w:kern w:val="18"/>
          <w:sz w:val="21"/>
          <w:szCs w:val="21"/>
        </w:rPr>
      </w:pPr>
      <w:r w:rsidRPr="00B71AB5">
        <w:rPr>
          <w:rFonts w:ascii="Georgia" w:hAnsi="Georgia"/>
          <w:color w:val="585756"/>
          <w:sz w:val="21"/>
        </w:rPr>
        <w:t>1000 Bruxelles</w:t>
      </w:r>
    </w:p>
    <w:p w14:paraId="724B3759" w14:textId="1B90BC28" w:rsidR="009B0CF1" w:rsidRPr="00B71AB5" w:rsidRDefault="00C838AD" w:rsidP="009B0CF1">
      <w:pPr>
        <w:pStyle w:val="BTCtextCTB"/>
        <w:spacing w:line="276" w:lineRule="auto"/>
        <w:rPr>
          <w:rFonts w:ascii="Georgia" w:hAnsi="Georgia"/>
          <w:color w:val="585756"/>
          <w:sz w:val="21"/>
        </w:rPr>
      </w:pPr>
      <w:r w:rsidRPr="00B71AB5">
        <w:rPr>
          <w:rFonts w:ascii="Georgia" w:hAnsi="Georgia"/>
          <w:color w:val="585756"/>
          <w:sz w:val="21"/>
        </w:rPr>
        <w:t>Des avances peuvent toutefois être accordées selon les modalités telles que prévues au 4.14. Conformément à la Directive 2014/55/UE et l’Arrêté royal du 9 mars 2022 sur les marchés publics précisant l’obligation des entreprises de recourir à la facturation électronique, l’adjudicataire devra utiliser un système de facturation électronique.</w:t>
      </w:r>
    </w:p>
    <w:p w14:paraId="4A9757E7" w14:textId="5A55CEEA" w:rsidR="009B0CF1" w:rsidRPr="00B71AB5" w:rsidRDefault="009B0CF1" w:rsidP="009B0CF1">
      <w:pPr>
        <w:pStyle w:val="BTCtextCTB"/>
        <w:spacing w:line="276" w:lineRule="auto"/>
        <w:rPr>
          <w:rFonts w:ascii="Georgia" w:hAnsi="Georgia"/>
          <w:color w:val="585756"/>
          <w:sz w:val="21"/>
        </w:rPr>
      </w:pPr>
      <w:r w:rsidRPr="00B71AB5">
        <w:rPr>
          <w:rFonts w:ascii="Georgia" w:hAnsi="Georgia"/>
          <w:color w:val="585756"/>
          <w:sz w:val="21"/>
        </w:rPr>
        <w:t xml:space="preserve">Dans le cas d’un adjudicataire enregistré à la Banque Carrefour des Entreprises (BCE) en Belgique, celui-ci peut utiliser le portail belge </w:t>
      </w:r>
      <w:hyperlink r:id="rId27" w:anchor="Strat%C3%A9giedusecteurpublicbelgeenmati%C3%A8redefacturation%C3%A9lectronique-Mercurius" w:history="1">
        <w:proofErr w:type="spellStart"/>
        <w:r w:rsidRPr="00B71AB5">
          <w:rPr>
            <w:rStyle w:val="Hyperlink"/>
            <w:rFonts w:ascii="Georgia" w:hAnsi="Georgia"/>
            <w:sz w:val="21"/>
          </w:rPr>
          <w:t>Mercurius</w:t>
        </w:r>
        <w:proofErr w:type="spellEnd"/>
      </w:hyperlink>
      <w:r w:rsidRPr="00B71AB5">
        <w:rPr>
          <w:rFonts w:ascii="Georgia" w:hAnsi="Georgia"/>
          <w:color w:val="585756"/>
          <w:sz w:val="21"/>
        </w:rPr>
        <w:t xml:space="preserve"> permettant de recevoir les factures électroniques conformément aux normes et règles en vigueur.</w:t>
      </w:r>
    </w:p>
    <w:p w14:paraId="2B141B73" w14:textId="190508A2" w:rsidR="009B0CF1" w:rsidRPr="00B71AB5" w:rsidRDefault="009B0CF1" w:rsidP="009B0CF1">
      <w:pPr>
        <w:pStyle w:val="BTCtextCTB"/>
        <w:spacing w:line="276" w:lineRule="auto"/>
        <w:rPr>
          <w:rFonts w:ascii="Georgia" w:hAnsi="Georgia"/>
          <w:color w:val="585756"/>
          <w:sz w:val="21"/>
        </w:rPr>
      </w:pPr>
      <w:r w:rsidRPr="00B71AB5">
        <w:rPr>
          <w:rFonts w:ascii="Georgia" w:hAnsi="Georgia"/>
          <w:color w:val="585756"/>
          <w:sz w:val="21"/>
        </w:rPr>
        <w:t xml:space="preserve">Dans le cas d’un adjudicataire non belge, celui-ci peut utiliser l’un des points d’accès certifiés du réseau international </w:t>
      </w:r>
      <w:hyperlink r:id="rId28" w:history="1">
        <w:r w:rsidRPr="00B71AB5">
          <w:rPr>
            <w:rStyle w:val="Hyperlink"/>
            <w:rFonts w:ascii="Georgia" w:hAnsi="Georgia"/>
            <w:sz w:val="21"/>
          </w:rPr>
          <w:t>Peppol</w:t>
        </w:r>
      </w:hyperlink>
      <w:r w:rsidRPr="00B71AB5">
        <w:rPr>
          <w:rFonts w:ascii="Georgia" w:hAnsi="Georgia"/>
          <w:color w:val="585756"/>
          <w:sz w:val="21"/>
        </w:rPr>
        <w:t xml:space="preserve">. Pour accéder à la liste de ces fournisseurs de services offrant </w:t>
      </w:r>
      <w:r w:rsidRPr="00B71AB5">
        <w:rPr>
          <w:rFonts w:ascii="Georgia" w:hAnsi="Georgia"/>
          <w:color w:val="585756"/>
          <w:sz w:val="21"/>
        </w:rPr>
        <w:lastRenderedPageBreak/>
        <w:t xml:space="preserve">l’utilisation de ces points d’accès : </w:t>
      </w:r>
      <w:hyperlink r:id="rId29" w:history="1">
        <w:r w:rsidRPr="00B71AB5">
          <w:rPr>
            <w:rStyle w:val="Hyperlink"/>
            <w:rFonts w:ascii="Georgia" w:hAnsi="Georgia"/>
            <w:sz w:val="21"/>
          </w:rPr>
          <w:t>https://peppol.org/members/peppol-certified-service-providers/</w:t>
        </w:r>
      </w:hyperlink>
      <w:r w:rsidRPr="00B71AB5">
        <w:rPr>
          <w:rFonts w:ascii="Georgia" w:hAnsi="Georgia"/>
          <w:color w:val="585756"/>
          <w:sz w:val="21"/>
        </w:rPr>
        <w:t xml:space="preserve">. </w:t>
      </w:r>
    </w:p>
    <w:p w14:paraId="3D6DDF26"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Seuls les services exécutés de manière correcte pourront être facturés.</w:t>
      </w:r>
    </w:p>
    <w:p w14:paraId="3B167C83"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Le pouvoir adjudicateur dispose d’un délai de vérification de trente jours à compter de la date de la fin des services, constatée conformément aux modalités fixées dans les documents du marché, pour procéder aux formalités de réception technique et de réception provisoire, et en notifier le résultat au prestataire de services.</w:t>
      </w:r>
    </w:p>
    <w:p w14:paraId="68B380E8"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Le paiement du montant dû au prestataire de services doit intervenir dans le délai de paiement de trente jours à compter de l’échéance du délai de vérification ou à compter du lendemain du dernier jour du délai de vérification si ce délai est inférieur à trente jours. Et pour autant que le pouvoir adjudicateur soit, en même temps, en possession de la facture régulièrement établie.</w:t>
      </w:r>
    </w:p>
    <w:p w14:paraId="496543E2"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Lorsque les documents du marché ne prévoient pas une déclaration de créance séparée, la facture vaut déclaration de créance.</w:t>
      </w:r>
    </w:p>
    <w:p w14:paraId="31183A6E" w14:textId="3926B363" w:rsidR="00C838AD" w:rsidRPr="00B71AB5" w:rsidRDefault="009B0CF1" w:rsidP="009B0CF1">
      <w:pPr>
        <w:pStyle w:val="BTCtextCTB"/>
        <w:spacing w:line="276" w:lineRule="auto"/>
        <w:rPr>
          <w:rFonts w:ascii="Georgia" w:eastAsia="Calibri" w:hAnsi="Georgia"/>
          <w:color w:val="585756"/>
          <w:kern w:val="18"/>
          <w:sz w:val="21"/>
          <w:szCs w:val="21"/>
        </w:rPr>
      </w:pPr>
      <w:r w:rsidRPr="00B71AB5">
        <w:t>La facture doit être libellée en euros.</w:t>
      </w:r>
    </w:p>
    <w:p w14:paraId="7FD1E66E" w14:textId="0A86A79E" w:rsidR="00431DF6" w:rsidRPr="00B71AB5" w:rsidRDefault="00431DF6" w:rsidP="009B0CF1">
      <w:pPr>
        <w:pStyle w:val="BTCtextCTB"/>
        <w:spacing w:line="276" w:lineRule="auto"/>
        <w:rPr>
          <w:rFonts w:ascii="Georgia" w:eastAsia="Calibri" w:hAnsi="Georgia"/>
          <w:b/>
          <w:bCs/>
          <w:color w:val="585756"/>
          <w:kern w:val="18"/>
          <w:sz w:val="21"/>
          <w:szCs w:val="21"/>
          <w:u w:val="single"/>
        </w:rPr>
      </w:pPr>
      <w:r w:rsidRPr="00B71AB5">
        <w:rPr>
          <w:rFonts w:ascii="Georgia" w:hAnsi="Georgia"/>
          <w:b/>
          <w:color w:val="585756"/>
          <w:sz w:val="21"/>
          <w:u w:val="single"/>
        </w:rPr>
        <w:t>Avances</w:t>
      </w:r>
    </w:p>
    <w:p w14:paraId="0A79F067" w14:textId="26142598"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Par dérogation à ce qui précède, et conformément aux articles 12/1 à 5 de la loi du 17 juin 2016, insérés par la loi du 22 décembre 2023 modifiant la réglementation relative aux marchés publics en vue de promouvoir l’accès des PME aux dits marchés, le pouvoir adjudicateur verse une avance lorsque l’adjudicataire d’un marché subséquent s’avère être une PME au sens de l’article 163, § 3, alinéa 2, de la loi du 17 juin 2016 et le délai d’exécution du marché subséquent est égal ou supérieur à deux mois</w:t>
      </w:r>
    </w:p>
    <w:p w14:paraId="030860FC"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Le montant de l’avance est calculé en appliquant les pourcentages suivants à une valeur de référence déterminée conformément à l’article 12/5 de la loi du 17 juin 2016 :</w:t>
      </w:r>
    </w:p>
    <w:p w14:paraId="737D548C" w14:textId="77777777" w:rsidR="009B0CF1" w:rsidRPr="00B71AB5" w:rsidRDefault="009B0CF1" w:rsidP="009B0CF1">
      <w:pPr>
        <w:pStyle w:val="BTCtextCTB"/>
        <w:rPr>
          <w:rFonts w:ascii="Georgia" w:eastAsia="Calibri" w:hAnsi="Georgia"/>
          <w:color w:val="585756"/>
          <w:kern w:val="18"/>
          <w:sz w:val="21"/>
          <w:szCs w:val="21"/>
        </w:rPr>
      </w:pPr>
      <w:r w:rsidRPr="00B71AB5">
        <w:rPr>
          <w:rFonts w:ascii="Georgia" w:hAnsi="Georgia"/>
          <w:color w:val="585756"/>
          <w:sz w:val="21"/>
        </w:rPr>
        <w:t>1° si l’adjudicataire est une microentreprise, c’est-à-dire une entreprise qui emploie moins de dix personnes et dont le chiffre d’affaires annuel ou le total du bilan annuel ne dépasse pas deux millions d’euros, le pourcentage à prendre en compte est de vingt pour cent ;</w:t>
      </w:r>
    </w:p>
    <w:p w14:paraId="2A217720" w14:textId="77777777" w:rsidR="009B0CF1" w:rsidRPr="00B71AB5" w:rsidRDefault="009B0CF1" w:rsidP="009B0CF1">
      <w:pPr>
        <w:pStyle w:val="BTCtextCTB"/>
        <w:rPr>
          <w:rFonts w:ascii="Georgia" w:eastAsia="Calibri" w:hAnsi="Georgia"/>
          <w:color w:val="585756"/>
          <w:kern w:val="18"/>
          <w:sz w:val="21"/>
          <w:szCs w:val="21"/>
        </w:rPr>
      </w:pPr>
      <w:r w:rsidRPr="00B71AB5">
        <w:rPr>
          <w:rFonts w:ascii="Georgia" w:hAnsi="Georgia"/>
          <w:color w:val="585756"/>
          <w:sz w:val="21"/>
        </w:rPr>
        <w:t>2° si l’adjudicataire est une petite entreprise, c’est-à-dire une entreprise qui emploie moins de cinquante personnes et dont le chiffre d’affaires annuel ou le total du bilan annuel ne dépasse pas dix millions d’euros, le pourcentage à prendre en compte est de dix pour cent ;</w:t>
      </w:r>
    </w:p>
    <w:p w14:paraId="60E3BF32" w14:textId="77777777"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3° lorsque l’adjudicataire est une moyenne entreprise, à savoir une entreprise qui occupe moins de deux cent cinquante personnes et dont le chiffre d’affaires annuel n’excède pas cinquante millions d’euros ou dont le total du bilan annuel n’excède pas quarante-trois millions d’euros, le pourcentage à prendre en compte est de cinq pour cent.</w:t>
      </w:r>
    </w:p>
    <w:p w14:paraId="1C2AC053" w14:textId="6DF31115" w:rsidR="009B0CF1" w:rsidRPr="00B71AB5" w:rsidRDefault="009B0CF1" w:rsidP="009B0CF1">
      <w:pPr>
        <w:pStyle w:val="BTCtextCTB"/>
        <w:spacing w:line="276" w:lineRule="auto"/>
        <w:rPr>
          <w:rFonts w:ascii="Georgia" w:eastAsia="Calibri" w:hAnsi="Georgia"/>
          <w:color w:val="585756"/>
          <w:kern w:val="18"/>
          <w:sz w:val="21"/>
          <w:szCs w:val="21"/>
        </w:rPr>
      </w:pPr>
      <w:r w:rsidRPr="00B71AB5">
        <w:rPr>
          <w:rFonts w:ascii="Georgia" w:hAnsi="Georgia"/>
          <w:color w:val="585756"/>
          <w:sz w:val="21"/>
        </w:rPr>
        <w:t>En application de l’art. 12/5, alinéa 2, de la loi du 17 juin 2016, la valeur de référence est calculée comme suit :</w:t>
      </w:r>
    </w:p>
    <w:p w14:paraId="1AE425FB" w14:textId="648772BD" w:rsidR="00042A1B" w:rsidRPr="00B71AB5" w:rsidRDefault="00042A1B" w:rsidP="009332B3">
      <w:pPr>
        <w:pStyle w:val="BTCtextCTB"/>
        <w:numPr>
          <w:ilvl w:val="0"/>
          <w:numId w:val="54"/>
        </w:numPr>
        <w:rPr>
          <w:rFonts w:ascii="Georgia" w:eastAsia="Calibri" w:hAnsi="Georgia"/>
          <w:color w:val="585756"/>
          <w:kern w:val="18"/>
          <w:sz w:val="21"/>
          <w:szCs w:val="21"/>
        </w:rPr>
      </w:pPr>
      <w:r w:rsidRPr="00B71AB5">
        <w:rPr>
          <w:rFonts w:ascii="Georgia" w:hAnsi="Georgia"/>
          <w:color w:val="585756"/>
          <w:sz w:val="21"/>
        </w:rPr>
        <w:t>Si la durée du marché subséquent est égale ou inférieure à douze mois, la valeur de référence pour le calcul de l’avance est égale au montant initial du marché, toutes taxes comprises.</w:t>
      </w:r>
    </w:p>
    <w:p w14:paraId="3D91DD15" w14:textId="3C5515F0" w:rsidR="00042A1B" w:rsidRPr="00B71AB5" w:rsidRDefault="00042A1B" w:rsidP="009332B3">
      <w:pPr>
        <w:pStyle w:val="BTCtextCTB"/>
        <w:numPr>
          <w:ilvl w:val="0"/>
          <w:numId w:val="54"/>
        </w:numPr>
        <w:rPr>
          <w:rFonts w:ascii="Georgia" w:eastAsia="Calibri" w:hAnsi="Georgia"/>
          <w:color w:val="585756"/>
          <w:kern w:val="18"/>
          <w:sz w:val="21"/>
          <w:szCs w:val="21"/>
        </w:rPr>
      </w:pPr>
      <w:r w:rsidRPr="00B71AB5">
        <w:rPr>
          <w:rFonts w:ascii="Georgia" w:hAnsi="Georgia"/>
          <w:color w:val="585756"/>
          <w:sz w:val="21"/>
        </w:rPr>
        <w:t>Si la durée du marché subséquent est supérieure à douze mois, la valeur de référence est un montant égal à douze fois la valeur initiale du marché, taxes comprises, divisée par la durée du marché exprimée en mois.</w:t>
      </w:r>
    </w:p>
    <w:p w14:paraId="78537BAA" w14:textId="32A999B7" w:rsidR="00042A1B" w:rsidRPr="00B71AB5" w:rsidRDefault="00042A1B" w:rsidP="009332B3">
      <w:pPr>
        <w:pStyle w:val="BTCtextCTB"/>
        <w:numPr>
          <w:ilvl w:val="0"/>
          <w:numId w:val="54"/>
        </w:numPr>
        <w:spacing w:line="276" w:lineRule="auto"/>
        <w:rPr>
          <w:rFonts w:ascii="Georgia" w:eastAsia="Calibri" w:hAnsi="Georgia"/>
          <w:color w:val="585756"/>
          <w:kern w:val="18"/>
          <w:sz w:val="21"/>
          <w:szCs w:val="21"/>
        </w:rPr>
      </w:pPr>
      <w:r w:rsidRPr="00B71AB5">
        <w:rPr>
          <w:rFonts w:ascii="Georgia" w:hAnsi="Georgia"/>
          <w:color w:val="585756"/>
          <w:sz w:val="21"/>
        </w:rPr>
        <w:t>Dans le cas d’un marché subséquent à durée indéterminée, la valeur de référence est la valeur par mois du marché multipliée par douze.</w:t>
      </w:r>
    </w:p>
    <w:p w14:paraId="50EFA5D7" w14:textId="4D881B21" w:rsidR="00A22675" w:rsidRPr="00B71AB5" w:rsidRDefault="00042A1B" w:rsidP="009B0CF1">
      <w:pPr>
        <w:pStyle w:val="BTCtextCTB"/>
        <w:spacing w:line="276" w:lineRule="auto"/>
        <w:rPr>
          <w:rFonts w:ascii="Georgia" w:eastAsia="Calibri" w:hAnsi="Georgia" w:cstheme="minorBidi"/>
          <w:color w:val="585756"/>
          <w:kern w:val="18"/>
          <w:sz w:val="21"/>
          <w:szCs w:val="21"/>
        </w:rPr>
      </w:pPr>
      <w:r w:rsidRPr="00B71AB5">
        <w:lastRenderedPageBreak/>
        <w:t>La première moitié de l’avance est imputée sur les sommes dues à l’adjudicataire quand le montant des prestations exécutées atteint trente pour cent du montant initial du marché et la deuxième moitié de l’avance est imputée sur les sommes dues à l’adjudicataire quand le montant des prestations exécutées atteint soixante pour cent du montant initial du marché. Les montants précités s’entendent taxe sur la valeur ajoutée comprise.</w:t>
      </w:r>
    </w:p>
    <w:p w14:paraId="5EC41D43" w14:textId="77777777" w:rsidR="000B7FE2" w:rsidRPr="005D3EC6" w:rsidRDefault="000B7FE2" w:rsidP="005E62B1">
      <w:pPr>
        <w:jc w:val="both"/>
        <w:rPr>
          <w:sz w:val="20"/>
          <w:szCs w:val="20"/>
          <w:lang w:val="fr-BE"/>
        </w:rPr>
      </w:pPr>
    </w:p>
    <w:p w14:paraId="6D3042BB" w14:textId="6B2AC313" w:rsidR="00EC6BAA" w:rsidRPr="00A72E34" w:rsidRDefault="00EC6BAA" w:rsidP="00B7382D">
      <w:pPr>
        <w:pStyle w:val="Heading2"/>
      </w:pPr>
      <w:bookmarkStart w:id="154" w:name="_Toc160610228"/>
      <w:r>
        <w:t>Litiges (art. 73 de l’A.R. du 14.01.2013)</w:t>
      </w:r>
      <w:bookmarkEnd w:id="154"/>
    </w:p>
    <w:p w14:paraId="61F29ABD" w14:textId="77777777" w:rsidR="00A22675" w:rsidRDefault="00A22675" w:rsidP="005E62B1">
      <w:pPr>
        <w:jc w:val="both"/>
      </w:pPr>
    </w:p>
    <w:p w14:paraId="6D3042BC" w14:textId="60E590D8" w:rsidR="00EC6BAA" w:rsidRPr="003E3BDD" w:rsidRDefault="00EC6BAA" w:rsidP="005E62B1">
      <w:pPr>
        <w:jc w:val="both"/>
        <w:rPr>
          <w:szCs w:val="21"/>
        </w:rPr>
      </w:pPr>
      <w:r>
        <w:t>Tous les litiges relatifs à l’exécution de ce marché sont exclusivement tranchés par les tribunaux compétents de l’arrondissement judiciaire de Bruxelles. La langue véhiculaire est le français ou le néerlandais.</w:t>
      </w:r>
    </w:p>
    <w:p w14:paraId="6D3042BD" w14:textId="77777777" w:rsidR="00EC6BAA" w:rsidRPr="003E3BDD" w:rsidRDefault="00EC6BAA" w:rsidP="005E62B1">
      <w:pPr>
        <w:jc w:val="both"/>
        <w:rPr>
          <w:szCs w:val="21"/>
        </w:rPr>
      </w:pPr>
      <w:r>
        <w:t>Le pouvoir adjudicateur n’est en aucun cas responsable des dommages causés à des personnes ou à des biens qui sont la conséquence directe ou indirecte des activités nécessaires à l’exécution de ce marché. L’adjudicataire garantit le pouvoir adjudicateur contre toute action en dommages et intérêts par des tiers à cet égard.</w:t>
      </w:r>
    </w:p>
    <w:p w14:paraId="6D3042BE" w14:textId="2208A7AF" w:rsidR="00EC6BAA" w:rsidRPr="003E3BDD" w:rsidRDefault="00EC6BAA" w:rsidP="005E62B1">
      <w:pPr>
        <w:jc w:val="both"/>
        <w:rPr>
          <w:szCs w:val="21"/>
        </w:rPr>
      </w:pPr>
      <w:r>
        <w:t>En cas de «</w:t>
      </w:r>
      <w:r w:rsidR="00AD683F">
        <w:rPr>
          <w:rFonts w:ascii="Times New Roman" w:hAnsi="Times New Roman" w:cs="Times New Roman"/>
        </w:rPr>
        <w:t> </w:t>
      </w:r>
      <w:r>
        <w:t>litige</w:t>
      </w:r>
      <w:r w:rsidR="00AD683F">
        <w:rPr>
          <w:rFonts w:ascii="Times New Roman" w:hAnsi="Times New Roman" w:cs="Times New Roman"/>
        </w:rPr>
        <w:t> </w:t>
      </w:r>
      <w:r>
        <w:t xml:space="preserve">», c’est-à-dire d’action en justice, la correspondance devra (également) être envoyée à l’adresse suivante : </w:t>
      </w:r>
    </w:p>
    <w:p w14:paraId="6D3042BF" w14:textId="77777777" w:rsidR="00EC6BAA" w:rsidRPr="003E3BDD" w:rsidRDefault="00EC6BAA" w:rsidP="005E62B1">
      <w:pPr>
        <w:jc w:val="both"/>
        <w:rPr>
          <w:szCs w:val="21"/>
        </w:rPr>
      </w:pPr>
      <w:proofErr w:type="spellStart"/>
      <w:r>
        <w:t>Enabel</w:t>
      </w:r>
      <w:proofErr w:type="spellEnd"/>
      <w:r>
        <w:t xml:space="preserve"> – Agence belge de développement</w:t>
      </w:r>
    </w:p>
    <w:p w14:paraId="6D3042C0" w14:textId="77777777" w:rsidR="00EC6BAA" w:rsidRPr="003E3BDD" w:rsidRDefault="00EC6BAA" w:rsidP="005E62B1">
      <w:pPr>
        <w:jc w:val="both"/>
        <w:rPr>
          <w:szCs w:val="21"/>
        </w:rPr>
      </w:pPr>
      <w:r>
        <w:t>Cellule juridique du service Logistique et Achats (L&amp;A)</w:t>
      </w:r>
    </w:p>
    <w:p w14:paraId="6D3042C1" w14:textId="77777777" w:rsidR="00EC6BAA" w:rsidRPr="003E3BDD" w:rsidRDefault="00EC6BAA" w:rsidP="005E62B1">
      <w:pPr>
        <w:jc w:val="both"/>
        <w:rPr>
          <w:szCs w:val="21"/>
        </w:rPr>
      </w:pPr>
      <w:r>
        <w:t>À l’attention de Mme Inge Janssens</w:t>
      </w:r>
    </w:p>
    <w:p w14:paraId="6D3042C2" w14:textId="53816F78" w:rsidR="00EC6BAA" w:rsidRPr="003E3BDD" w:rsidRDefault="00B90815" w:rsidP="005E62B1">
      <w:pPr>
        <w:jc w:val="both"/>
        <w:rPr>
          <w:szCs w:val="21"/>
        </w:rPr>
      </w:pPr>
      <w:r>
        <w:t>Rue Haute 147</w:t>
      </w:r>
    </w:p>
    <w:p w14:paraId="6D3042C3" w14:textId="77777777" w:rsidR="00EC6BAA" w:rsidRPr="003E3BDD" w:rsidRDefault="00EC6BAA" w:rsidP="005E62B1">
      <w:pPr>
        <w:jc w:val="both"/>
        <w:rPr>
          <w:szCs w:val="21"/>
        </w:rPr>
      </w:pPr>
      <w:r>
        <w:t>1000 Bruxelles</w:t>
      </w:r>
    </w:p>
    <w:p w14:paraId="6D3042C6" w14:textId="02726585" w:rsidR="00A72E34" w:rsidRDefault="00A72E34" w:rsidP="005E62B1">
      <w:pPr>
        <w:jc w:val="both"/>
      </w:pPr>
      <w:r>
        <w:t>Belgique</w:t>
      </w:r>
      <w:r>
        <w:br w:type="page"/>
      </w:r>
    </w:p>
    <w:p w14:paraId="6D3042C7" w14:textId="6368B087" w:rsidR="00631801" w:rsidRPr="0066022D" w:rsidRDefault="00631801" w:rsidP="005E62B1">
      <w:pPr>
        <w:pStyle w:val="Heading1"/>
        <w:jc w:val="both"/>
      </w:pPr>
      <w:bookmarkStart w:id="155" w:name="_Toc160610229"/>
      <w:r>
        <w:lastRenderedPageBreak/>
        <w:t>Termes de référence</w:t>
      </w:r>
      <w:bookmarkEnd w:id="155"/>
      <w:r>
        <w:t xml:space="preserve"> </w:t>
      </w:r>
    </w:p>
    <w:p w14:paraId="68E4EBE1" w14:textId="77777777" w:rsidR="00A60940" w:rsidRDefault="00A60940">
      <w:pPr>
        <w:spacing w:line="259" w:lineRule="auto"/>
      </w:pPr>
      <w:bookmarkStart w:id="156" w:name="_bookmark79"/>
      <w:bookmarkEnd w:id="156"/>
    </w:p>
    <w:p w14:paraId="0E2EDAB8" w14:textId="77777777" w:rsidR="00A60940" w:rsidRDefault="00A60940" w:rsidP="00A60940">
      <w:pPr>
        <w:pStyle w:val="Heading2"/>
        <w:jc w:val="both"/>
      </w:pPr>
      <w:bookmarkStart w:id="157" w:name="_Toc153146881"/>
      <w:bookmarkStart w:id="158" w:name="_Toc160610230"/>
      <w:r>
        <w:t>Exigences générales</w:t>
      </w:r>
      <w:bookmarkEnd w:id="157"/>
      <w:bookmarkEnd w:id="158"/>
    </w:p>
    <w:p w14:paraId="2DD26203" w14:textId="77777777" w:rsidR="009376DF" w:rsidRPr="009376DF" w:rsidRDefault="009376DF" w:rsidP="009376DF">
      <w:pPr>
        <w:rPr>
          <w:lang w:val="en-US"/>
        </w:rPr>
      </w:pPr>
    </w:p>
    <w:p w14:paraId="3BD09563" w14:textId="13F39B50" w:rsidR="00A22675" w:rsidRDefault="00A60940" w:rsidP="00A60940">
      <w:pPr>
        <w:jc w:val="both"/>
      </w:pPr>
      <w:r>
        <w:t xml:space="preserve">Les exigences suivantes sont obligatoires pour </w:t>
      </w:r>
      <w:proofErr w:type="spellStart"/>
      <w:r>
        <w:t>tou·tes</w:t>
      </w:r>
      <w:proofErr w:type="spellEnd"/>
      <w:r>
        <w:t xml:space="preserve"> les </w:t>
      </w:r>
      <w:proofErr w:type="spellStart"/>
      <w:r>
        <w:t>expert·es</w:t>
      </w:r>
      <w:proofErr w:type="spellEnd"/>
      <w:r>
        <w:t>/membres de l’équipe :</w:t>
      </w:r>
    </w:p>
    <w:p w14:paraId="4FDC6368" w14:textId="77777777" w:rsidR="009376DF" w:rsidRDefault="009376DF" w:rsidP="00A60940">
      <w:pPr>
        <w:jc w:val="both"/>
      </w:pPr>
    </w:p>
    <w:p w14:paraId="52E812D0" w14:textId="77777777" w:rsidR="00A60940" w:rsidRDefault="00A60940" w:rsidP="00A60940">
      <w:pPr>
        <w:pStyle w:val="Heading4"/>
      </w:pPr>
      <w:bookmarkStart w:id="159" w:name="_Hlk157604009"/>
      <w:bookmarkStart w:id="160" w:name="_Toc160610231"/>
      <w:r>
        <w:t>Niveau de formation requis</w:t>
      </w:r>
      <w:bookmarkEnd w:id="160"/>
    </w:p>
    <w:p w14:paraId="2C26A0B6" w14:textId="3E9527EE" w:rsidR="00A60940" w:rsidRDefault="00A60940">
      <w:pPr>
        <w:pStyle w:val="ListParagraph"/>
        <w:numPr>
          <w:ilvl w:val="0"/>
          <w:numId w:val="39"/>
        </w:numPr>
        <w:spacing w:line="259" w:lineRule="auto"/>
        <w:jc w:val="both"/>
      </w:pPr>
      <w:r>
        <w:t>Sauf indication contraire, un diplôme universitaire ou un diplôme d’enseignement supérieur équivalent en ingénierie, un master ou tout autre diplôme reconnu équivalent dans un domaine adapté à leurs rôles et responsabilités tels qu’ils sont définis par le lot.</w:t>
      </w:r>
    </w:p>
    <w:p w14:paraId="60F03637" w14:textId="77777777" w:rsidR="00A60940" w:rsidRDefault="00A60940" w:rsidP="00A60940">
      <w:pPr>
        <w:pStyle w:val="Heading4"/>
      </w:pPr>
      <w:bookmarkStart w:id="161" w:name="_Toc160610232"/>
      <w:r>
        <w:t>Expérience professionnelle</w:t>
      </w:r>
      <w:bookmarkEnd w:id="161"/>
      <w:r>
        <w:t xml:space="preserve"> </w:t>
      </w:r>
    </w:p>
    <w:p w14:paraId="7A5CBC7C" w14:textId="77777777" w:rsidR="00A60940" w:rsidRDefault="00A60940">
      <w:pPr>
        <w:pStyle w:val="ListParagraph"/>
        <w:numPr>
          <w:ilvl w:val="0"/>
          <w:numId w:val="39"/>
        </w:numPr>
        <w:spacing w:line="259" w:lineRule="auto"/>
        <w:jc w:val="both"/>
      </w:pPr>
      <w:r>
        <w:t>Dix (10) ans d’expérience professionnelle, dont au moins cinq (5) ans d’expérience professionnelle pertinente dans le domaine concerné ;</w:t>
      </w:r>
    </w:p>
    <w:p w14:paraId="52B7DF73" w14:textId="77777777" w:rsidR="00A60940" w:rsidRDefault="00A60940">
      <w:pPr>
        <w:pStyle w:val="ListParagraph"/>
        <w:numPr>
          <w:ilvl w:val="0"/>
          <w:numId w:val="39"/>
        </w:numPr>
        <w:spacing w:line="259" w:lineRule="auto"/>
        <w:jc w:val="both"/>
      </w:pPr>
      <w:r>
        <w:t>au moins deux (2) années d’expérience cumulée de travail dans des pays en développement / pays à revenu faible et moyen ou PRFM (en Afrique notamment) ;</w:t>
      </w:r>
    </w:p>
    <w:p w14:paraId="73042919" w14:textId="77777777" w:rsidR="00A60940" w:rsidRDefault="00A60940">
      <w:pPr>
        <w:pStyle w:val="ListParagraph"/>
        <w:numPr>
          <w:ilvl w:val="0"/>
          <w:numId w:val="39"/>
        </w:numPr>
        <w:spacing w:line="259" w:lineRule="auto"/>
      </w:pPr>
      <w:r>
        <w:t>expérience pertinente en matière de consultance dans les domaines concernés ;</w:t>
      </w:r>
    </w:p>
    <w:p w14:paraId="01A99A9F" w14:textId="77777777" w:rsidR="00A60940" w:rsidRDefault="00A60940">
      <w:pPr>
        <w:pStyle w:val="ListParagraph"/>
        <w:numPr>
          <w:ilvl w:val="0"/>
          <w:numId w:val="39"/>
        </w:numPr>
        <w:spacing w:line="259" w:lineRule="auto"/>
      </w:pPr>
      <w:r>
        <w:t>expérience avérée de la présentation de communications orales lors de congrès, conférences et séminaires internationaux dans le domaine concerné.</w:t>
      </w:r>
    </w:p>
    <w:p w14:paraId="629D8706" w14:textId="77777777" w:rsidR="00A60940" w:rsidRDefault="00A60940" w:rsidP="00A60940">
      <w:pPr>
        <w:pStyle w:val="Heading4"/>
      </w:pPr>
      <w:bookmarkStart w:id="162" w:name="_Toc160610233"/>
      <w:r>
        <w:t>Connaissances et compétences</w:t>
      </w:r>
      <w:bookmarkEnd w:id="162"/>
    </w:p>
    <w:bookmarkEnd w:id="159"/>
    <w:p w14:paraId="5051D309" w14:textId="77777777" w:rsidR="00A60940" w:rsidRDefault="00A60940">
      <w:pPr>
        <w:pStyle w:val="ListParagraph"/>
        <w:numPr>
          <w:ilvl w:val="0"/>
          <w:numId w:val="39"/>
        </w:numPr>
        <w:spacing w:line="259" w:lineRule="auto"/>
        <w:jc w:val="both"/>
      </w:pPr>
      <w:r>
        <w:t>Parfaite maîtrise (orale et écrite) de l’anglais ;</w:t>
      </w:r>
    </w:p>
    <w:p w14:paraId="6E19EE1D" w14:textId="77777777" w:rsidR="00A60940" w:rsidRDefault="00A60940">
      <w:pPr>
        <w:pStyle w:val="ListParagraph"/>
        <w:numPr>
          <w:ilvl w:val="0"/>
          <w:numId w:val="39"/>
        </w:numPr>
        <w:spacing w:line="259" w:lineRule="auto"/>
        <w:jc w:val="both"/>
      </w:pPr>
      <w:r>
        <w:t>en fonction des profils, pays et contextes spécifiques, une bonne maîtrise orale et écrite du français, du néerlandais, de l’arabe et/ou du portugais peut être soit requise, soit considérée comme un atout ;</w:t>
      </w:r>
    </w:p>
    <w:p w14:paraId="73D0B350" w14:textId="77777777" w:rsidR="00A60940" w:rsidRDefault="00A60940">
      <w:pPr>
        <w:pStyle w:val="ListParagraph"/>
        <w:numPr>
          <w:ilvl w:val="0"/>
          <w:numId w:val="39"/>
        </w:numPr>
        <w:spacing w:line="259" w:lineRule="auto"/>
        <w:jc w:val="both"/>
      </w:pPr>
      <w:r>
        <w:t>connaissance informatique approfondie avec une excellente maîtrise du progiciel Microsoft Office ;</w:t>
      </w:r>
    </w:p>
    <w:p w14:paraId="287BE9BE" w14:textId="77777777" w:rsidR="00A60940" w:rsidRDefault="00A60940">
      <w:pPr>
        <w:pStyle w:val="ListParagraph"/>
        <w:numPr>
          <w:ilvl w:val="0"/>
          <w:numId w:val="39"/>
        </w:numPr>
        <w:spacing w:line="259" w:lineRule="auto"/>
        <w:jc w:val="both"/>
      </w:pPr>
      <w:r>
        <w:t>proactivité et orientation résultats ;</w:t>
      </w:r>
    </w:p>
    <w:p w14:paraId="34C2E43B" w14:textId="77777777" w:rsidR="00A60940" w:rsidRDefault="00A60940">
      <w:pPr>
        <w:pStyle w:val="ListParagraph"/>
        <w:numPr>
          <w:ilvl w:val="0"/>
          <w:numId w:val="39"/>
        </w:numPr>
        <w:spacing w:line="259" w:lineRule="auto"/>
        <w:jc w:val="both"/>
      </w:pPr>
      <w:r>
        <w:t>adaptabilité, flexibilité, attitude positive et pragmatique ;</w:t>
      </w:r>
    </w:p>
    <w:p w14:paraId="33BA8CD7" w14:textId="77777777" w:rsidR="00A60940" w:rsidRDefault="00A60940">
      <w:pPr>
        <w:pStyle w:val="ListParagraph"/>
        <w:numPr>
          <w:ilvl w:val="0"/>
          <w:numId w:val="39"/>
        </w:numPr>
        <w:spacing w:line="259" w:lineRule="auto"/>
        <w:jc w:val="both"/>
      </w:pPr>
      <w:r>
        <w:t>solides compétences organisationnelles et capacité à fixer des priorités ;</w:t>
      </w:r>
    </w:p>
    <w:p w14:paraId="16B9F30B" w14:textId="77777777" w:rsidR="00A60940" w:rsidRDefault="00A60940">
      <w:pPr>
        <w:pStyle w:val="ListParagraph"/>
        <w:numPr>
          <w:ilvl w:val="0"/>
          <w:numId w:val="39"/>
        </w:numPr>
        <w:spacing w:line="259" w:lineRule="auto"/>
        <w:jc w:val="both"/>
      </w:pPr>
      <w:bookmarkStart w:id="163" w:name="_Hlk147571372"/>
      <w:r>
        <w:t>excellentes capacités de communication orale et écrite ;</w:t>
      </w:r>
    </w:p>
    <w:p w14:paraId="76ADA5CA" w14:textId="77777777" w:rsidR="00A60940" w:rsidRDefault="00A60940">
      <w:pPr>
        <w:pStyle w:val="ListParagraph"/>
        <w:numPr>
          <w:ilvl w:val="0"/>
          <w:numId w:val="39"/>
        </w:numPr>
        <w:spacing w:line="259" w:lineRule="auto"/>
        <w:jc w:val="both"/>
      </w:pPr>
      <w:r>
        <w:t>très bonnes aptitudes interpersonnelles et relationnelles ;</w:t>
      </w:r>
      <w:bookmarkEnd w:id="163"/>
    </w:p>
    <w:p w14:paraId="7EBE2A71" w14:textId="77777777" w:rsidR="00A60940" w:rsidRDefault="00A60940">
      <w:pPr>
        <w:pStyle w:val="ListParagraph"/>
        <w:numPr>
          <w:ilvl w:val="0"/>
          <w:numId w:val="39"/>
        </w:numPr>
        <w:spacing w:line="259" w:lineRule="auto"/>
        <w:jc w:val="both"/>
      </w:pPr>
      <w:r>
        <w:t>esprit d’équipe avec une capacité avérée à instaurer la confiance au sein de l’équipe et avec les partenaires ;</w:t>
      </w:r>
    </w:p>
    <w:p w14:paraId="606F3F30" w14:textId="77777777" w:rsidR="00A60940" w:rsidRDefault="00A60940">
      <w:pPr>
        <w:pStyle w:val="ListParagraph"/>
        <w:numPr>
          <w:ilvl w:val="0"/>
          <w:numId w:val="39"/>
        </w:numPr>
        <w:spacing w:line="259" w:lineRule="auto"/>
        <w:jc w:val="both"/>
      </w:pPr>
      <w:r>
        <w:t>gestion des connaissances et capitalisation ;</w:t>
      </w:r>
    </w:p>
    <w:p w14:paraId="26D8044F" w14:textId="77777777" w:rsidR="00A60940" w:rsidRDefault="00A60940">
      <w:pPr>
        <w:pStyle w:val="ListParagraph"/>
        <w:numPr>
          <w:ilvl w:val="0"/>
          <w:numId w:val="39"/>
        </w:numPr>
        <w:spacing w:line="259" w:lineRule="auto"/>
        <w:jc w:val="both"/>
      </w:pPr>
      <w:r>
        <w:t>connaissance de la théorie du changement et d’autres outils permettant de gérer la complexité.</w:t>
      </w:r>
    </w:p>
    <w:p w14:paraId="06628F3D" w14:textId="77777777" w:rsidR="00A60940" w:rsidRDefault="00A60940" w:rsidP="00A60940">
      <w:pPr>
        <w:spacing w:line="259" w:lineRule="auto"/>
        <w:jc w:val="both"/>
      </w:pPr>
    </w:p>
    <w:p w14:paraId="61DCBE88" w14:textId="09E79F47" w:rsidR="009376DF" w:rsidRPr="009376DF" w:rsidRDefault="00A60940" w:rsidP="009376DF">
      <w:pPr>
        <w:pStyle w:val="Heading2"/>
        <w:jc w:val="both"/>
      </w:pPr>
      <w:bookmarkStart w:id="164" w:name="_Toc153146882"/>
      <w:bookmarkStart w:id="165" w:name="_Toc160610234"/>
      <w:r>
        <w:t>Exigences spécifiques par lot / profil d’</w:t>
      </w:r>
      <w:proofErr w:type="spellStart"/>
      <w:r>
        <w:t>expert·e</w:t>
      </w:r>
      <w:bookmarkEnd w:id="164"/>
      <w:bookmarkEnd w:id="165"/>
      <w:proofErr w:type="spellEnd"/>
    </w:p>
    <w:p w14:paraId="0F1FA97A"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66" w:name="_Toc147572843"/>
      <w:bookmarkStart w:id="167" w:name="_Toc148522118"/>
      <w:bookmarkStart w:id="168" w:name="_Toc148727395"/>
      <w:bookmarkStart w:id="169" w:name="_Toc149813381"/>
      <w:bookmarkStart w:id="170" w:name="_Toc149818487"/>
      <w:bookmarkStart w:id="171" w:name="_Toc149914618"/>
      <w:bookmarkStart w:id="172" w:name="_Toc149915834"/>
      <w:bookmarkStart w:id="173" w:name="_Toc149916662"/>
      <w:bookmarkStart w:id="174" w:name="_Toc153146699"/>
      <w:bookmarkStart w:id="175" w:name="_Toc153146883"/>
      <w:bookmarkStart w:id="176" w:name="_Hlk147389703"/>
      <w:bookmarkEnd w:id="166"/>
      <w:bookmarkEnd w:id="167"/>
      <w:bookmarkEnd w:id="168"/>
      <w:bookmarkEnd w:id="169"/>
      <w:bookmarkEnd w:id="170"/>
      <w:bookmarkEnd w:id="171"/>
      <w:bookmarkEnd w:id="172"/>
      <w:bookmarkEnd w:id="173"/>
      <w:bookmarkEnd w:id="174"/>
      <w:bookmarkEnd w:id="175"/>
    </w:p>
    <w:p w14:paraId="4CB5769A"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77" w:name="_Toc149818488"/>
      <w:bookmarkStart w:id="178" w:name="_Toc149914619"/>
      <w:bookmarkStart w:id="179" w:name="_Toc149915835"/>
      <w:bookmarkStart w:id="180" w:name="_Toc149916663"/>
      <w:bookmarkStart w:id="181" w:name="_Toc153146700"/>
      <w:bookmarkStart w:id="182" w:name="_Toc153146884"/>
      <w:bookmarkEnd w:id="177"/>
      <w:bookmarkEnd w:id="178"/>
      <w:bookmarkEnd w:id="179"/>
      <w:bookmarkEnd w:id="180"/>
      <w:bookmarkEnd w:id="181"/>
      <w:bookmarkEnd w:id="182"/>
    </w:p>
    <w:p w14:paraId="6893BE25"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83" w:name="_Toc149818489"/>
      <w:bookmarkStart w:id="184" w:name="_Toc149914620"/>
      <w:bookmarkStart w:id="185" w:name="_Toc149915836"/>
      <w:bookmarkStart w:id="186" w:name="_Toc149916664"/>
      <w:bookmarkStart w:id="187" w:name="_Toc153146701"/>
      <w:bookmarkStart w:id="188" w:name="_Toc153146885"/>
      <w:bookmarkEnd w:id="183"/>
      <w:bookmarkEnd w:id="184"/>
      <w:bookmarkEnd w:id="185"/>
      <w:bookmarkEnd w:id="186"/>
      <w:bookmarkEnd w:id="187"/>
      <w:bookmarkEnd w:id="188"/>
    </w:p>
    <w:p w14:paraId="06F2873C"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89" w:name="_Toc149818490"/>
      <w:bookmarkStart w:id="190" w:name="_Toc149914621"/>
      <w:bookmarkStart w:id="191" w:name="_Toc149915837"/>
      <w:bookmarkStart w:id="192" w:name="_Toc149916665"/>
      <w:bookmarkStart w:id="193" w:name="_Toc153146702"/>
      <w:bookmarkStart w:id="194" w:name="_Toc153146886"/>
      <w:bookmarkEnd w:id="189"/>
      <w:bookmarkEnd w:id="190"/>
      <w:bookmarkEnd w:id="191"/>
      <w:bookmarkEnd w:id="192"/>
      <w:bookmarkEnd w:id="193"/>
      <w:bookmarkEnd w:id="194"/>
    </w:p>
    <w:p w14:paraId="213AAA97"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195" w:name="_Toc149818491"/>
      <w:bookmarkStart w:id="196" w:name="_Toc149914622"/>
      <w:bookmarkStart w:id="197" w:name="_Toc149915838"/>
      <w:bookmarkStart w:id="198" w:name="_Toc149916666"/>
      <w:bookmarkStart w:id="199" w:name="_Toc153146703"/>
      <w:bookmarkStart w:id="200" w:name="_Toc153146887"/>
      <w:bookmarkEnd w:id="195"/>
      <w:bookmarkEnd w:id="196"/>
      <w:bookmarkEnd w:id="197"/>
      <w:bookmarkEnd w:id="198"/>
      <w:bookmarkEnd w:id="199"/>
      <w:bookmarkEnd w:id="200"/>
    </w:p>
    <w:p w14:paraId="62AF399F"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201" w:name="_Toc149818492"/>
      <w:bookmarkStart w:id="202" w:name="_Toc149914623"/>
      <w:bookmarkStart w:id="203" w:name="_Toc149915839"/>
      <w:bookmarkStart w:id="204" w:name="_Toc149916667"/>
      <w:bookmarkStart w:id="205" w:name="_Toc153146704"/>
      <w:bookmarkStart w:id="206" w:name="_Toc153146888"/>
      <w:bookmarkEnd w:id="201"/>
      <w:bookmarkEnd w:id="202"/>
      <w:bookmarkEnd w:id="203"/>
      <w:bookmarkEnd w:id="204"/>
      <w:bookmarkEnd w:id="205"/>
      <w:bookmarkEnd w:id="206"/>
    </w:p>
    <w:p w14:paraId="77426FA3" w14:textId="77777777" w:rsidR="00A60940" w:rsidRDefault="00A60940" w:rsidP="00A60940">
      <w:pPr>
        <w:pStyle w:val="ListParagraph"/>
        <w:spacing w:line="259" w:lineRule="auto"/>
        <w:ind w:left="360" w:hanging="360"/>
        <w:contextualSpacing w:val="0"/>
        <w:jc w:val="both"/>
        <w:outlineLvl w:val="2"/>
        <w:rPr>
          <w:b/>
          <w:bCs/>
          <w:vanish/>
          <w:color w:val="0070C0"/>
          <w:sz w:val="24"/>
          <w:szCs w:val="24"/>
        </w:rPr>
      </w:pPr>
      <w:bookmarkStart w:id="207" w:name="_Toc149818493"/>
      <w:bookmarkStart w:id="208" w:name="_Toc149914624"/>
      <w:bookmarkStart w:id="209" w:name="_Toc149915840"/>
      <w:bookmarkStart w:id="210" w:name="_Toc149916668"/>
      <w:bookmarkStart w:id="211" w:name="_Toc153146705"/>
      <w:bookmarkStart w:id="212" w:name="_Toc153146889"/>
      <w:bookmarkEnd w:id="207"/>
      <w:bookmarkEnd w:id="208"/>
      <w:bookmarkEnd w:id="209"/>
      <w:bookmarkEnd w:id="210"/>
      <w:bookmarkEnd w:id="211"/>
      <w:bookmarkEnd w:id="212"/>
    </w:p>
    <w:p w14:paraId="4AC1A91D" w14:textId="77777777" w:rsidR="00A60940"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3" w:name="_Toc149818494"/>
      <w:bookmarkStart w:id="214" w:name="_Toc149914625"/>
      <w:bookmarkStart w:id="215" w:name="_Toc149915841"/>
      <w:bookmarkStart w:id="216" w:name="_Toc149916669"/>
      <w:bookmarkStart w:id="217" w:name="_Toc153146706"/>
      <w:bookmarkStart w:id="218" w:name="_Toc153146890"/>
      <w:bookmarkEnd w:id="213"/>
      <w:bookmarkEnd w:id="214"/>
      <w:bookmarkEnd w:id="215"/>
      <w:bookmarkEnd w:id="216"/>
      <w:bookmarkEnd w:id="217"/>
      <w:bookmarkEnd w:id="218"/>
    </w:p>
    <w:p w14:paraId="0281A2C4" w14:textId="77777777" w:rsidR="00A60940"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9" w:name="_Toc149818495"/>
      <w:bookmarkStart w:id="220" w:name="_Toc149914626"/>
      <w:bookmarkStart w:id="221" w:name="_Toc149915842"/>
      <w:bookmarkStart w:id="222" w:name="_Toc149916670"/>
      <w:bookmarkStart w:id="223" w:name="_Toc153146707"/>
      <w:bookmarkStart w:id="224" w:name="_Toc153146891"/>
      <w:bookmarkEnd w:id="219"/>
      <w:bookmarkEnd w:id="220"/>
      <w:bookmarkEnd w:id="221"/>
      <w:bookmarkEnd w:id="222"/>
      <w:bookmarkEnd w:id="223"/>
      <w:bookmarkEnd w:id="224"/>
    </w:p>
    <w:p w14:paraId="70A6215B" w14:textId="7954974B" w:rsidR="00A60940" w:rsidRPr="00A60940" w:rsidRDefault="00A60940" w:rsidP="00A60940">
      <w:pPr>
        <w:pStyle w:val="Heading3"/>
      </w:pPr>
      <w:bookmarkStart w:id="225" w:name="_Toc153146892"/>
      <w:bookmarkStart w:id="226" w:name="_Hlk157769555"/>
      <w:bookmarkStart w:id="227" w:name="_Toc160610235"/>
      <w:r>
        <w:t>Lot 1 : Renforcement de la réglementation / WS1</w:t>
      </w:r>
      <w:bookmarkEnd w:id="225"/>
      <w:bookmarkEnd w:id="226"/>
      <w:bookmarkEnd w:id="227"/>
    </w:p>
    <w:p w14:paraId="44C526A2" w14:textId="77777777" w:rsidR="00A60940" w:rsidRDefault="00A60940" w:rsidP="00A60940">
      <w:pPr>
        <w:pStyle w:val="Heading4"/>
      </w:pPr>
      <w:bookmarkStart w:id="228" w:name="_Hlk147400515"/>
      <w:bookmarkStart w:id="229" w:name="_Hlk147488940"/>
      <w:bookmarkStart w:id="230" w:name="_Toc160610236"/>
      <w:r>
        <w:t>Niveau de formation requis</w:t>
      </w:r>
      <w:bookmarkEnd w:id="230"/>
      <w:r>
        <w:t xml:space="preserve"> </w:t>
      </w:r>
    </w:p>
    <w:p w14:paraId="5A67E64C" w14:textId="77777777" w:rsidR="00A60940" w:rsidRDefault="00A60940">
      <w:pPr>
        <w:pStyle w:val="ListParagraph"/>
        <w:numPr>
          <w:ilvl w:val="0"/>
          <w:numId w:val="40"/>
        </w:numPr>
        <w:spacing w:line="259" w:lineRule="auto"/>
        <w:jc w:val="both"/>
      </w:pPr>
      <w:bookmarkStart w:id="231" w:name="_Hlk147829735"/>
      <w:bookmarkEnd w:id="228"/>
      <w:r>
        <w:t>Diplôme en pharmacie ou domaine connexe en biomédical, biotechnologie ou sciences de la vie ;</w:t>
      </w:r>
    </w:p>
    <w:p w14:paraId="5EFADC75" w14:textId="77777777" w:rsidR="00A60940" w:rsidRDefault="00A60940">
      <w:pPr>
        <w:pStyle w:val="ListParagraph"/>
        <w:numPr>
          <w:ilvl w:val="0"/>
          <w:numId w:val="40"/>
        </w:numPr>
        <w:spacing w:line="259" w:lineRule="auto"/>
        <w:jc w:val="both"/>
      </w:pPr>
      <w:r>
        <w:lastRenderedPageBreak/>
        <w:t>maîtrise en réglementation pharmaceutique (ou expérience équivalente, en particulier avec des autorités / agences réglementaires nationales ou ARN). Un doctorat constitue un atout.</w:t>
      </w:r>
    </w:p>
    <w:p w14:paraId="58E84F17" w14:textId="77777777" w:rsidR="00A60940" w:rsidRDefault="00A60940" w:rsidP="00A60940">
      <w:pPr>
        <w:pStyle w:val="Heading4"/>
      </w:pPr>
      <w:bookmarkStart w:id="232" w:name="_Hlk147400551"/>
      <w:bookmarkStart w:id="233" w:name="_Toc160610237"/>
      <w:bookmarkEnd w:id="231"/>
      <w:r>
        <w:t>Expérience professionnelle</w:t>
      </w:r>
      <w:bookmarkEnd w:id="233"/>
      <w:r>
        <w:t xml:space="preserve"> </w:t>
      </w:r>
      <w:bookmarkEnd w:id="232"/>
    </w:p>
    <w:p w14:paraId="632F1658" w14:textId="77777777" w:rsidR="00A60940" w:rsidRDefault="00A60940">
      <w:pPr>
        <w:pStyle w:val="ListParagraph"/>
        <w:numPr>
          <w:ilvl w:val="0"/>
          <w:numId w:val="41"/>
        </w:numPr>
        <w:spacing w:line="259" w:lineRule="auto"/>
        <w:jc w:val="both"/>
      </w:pPr>
      <w:r>
        <w:t>Dix (10) ans d’expérience professionnelle, dont au minimum cinq (5) années d’expérience professionnelle en réglementation pharmaceutique ;</w:t>
      </w:r>
    </w:p>
    <w:p w14:paraId="20792AE0" w14:textId="77777777" w:rsidR="00A60940" w:rsidRDefault="00A60940">
      <w:pPr>
        <w:pStyle w:val="ListParagraph"/>
        <w:numPr>
          <w:ilvl w:val="0"/>
          <w:numId w:val="41"/>
        </w:numPr>
        <w:spacing w:line="259" w:lineRule="auto"/>
        <w:jc w:val="both"/>
      </w:pPr>
      <w:r>
        <w:t>expérience du travail ou de l’interaction directe et régulière avec des ARN dans le contexte des PRFM (en particulier dans l’évaluation comparative), dans le renforcement des systèmes pharmaceutiques et dans l’aide aux ARN pour atteindre les niveaux de maturité 3 et 4</w:t>
      </w:r>
      <w:bookmarkStart w:id="234" w:name="_Hlk147489687"/>
      <w:r>
        <w:t>. Une expérience similaire pertinente avec des agences régionales ou continentales de réglementation pharmaceutique pourra également être prise en considération.</w:t>
      </w:r>
    </w:p>
    <w:p w14:paraId="636EA558" w14:textId="77777777" w:rsidR="00A60940" w:rsidRDefault="00A60940" w:rsidP="00A60940">
      <w:pPr>
        <w:pStyle w:val="Heading4"/>
      </w:pPr>
      <w:bookmarkStart w:id="235" w:name="_Hlk147400604"/>
      <w:bookmarkStart w:id="236" w:name="_Hlk157772074"/>
      <w:bookmarkStart w:id="237" w:name="_Toc160610238"/>
      <w:bookmarkEnd w:id="234"/>
      <w:r>
        <w:t>Connaissances et compétences</w:t>
      </w:r>
      <w:bookmarkEnd w:id="235"/>
      <w:bookmarkEnd w:id="237"/>
    </w:p>
    <w:bookmarkEnd w:id="236"/>
    <w:p w14:paraId="5677B29D" w14:textId="77777777" w:rsidR="00A60940" w:rsidRDefault="00A60940">
      <w:pPr>
        <w:pStyle w:val="ListParagraph"/>
        <w:numPr>
          <w:ilvl w:val="0"/>
          <w:numId w:val="42"/>
        </w:numPr>
        <w:spacing w:line="259" w:lineRule="auto"/>
        <w:jc w:val="both"/>
      </w:pPr>
      <w:r>
        <w:t>Parfaite maîtrise (orale et écrite) de l’anglais.</w:t>
      </w:r>
    </w:p>
    <w:p w14:paraId="68285041" w14:textId="77777777" w:rsidR="009376DF" w:rsidRDefault="009376DF" w:rsidP="009376DF">
      <w:pPr>
        <w:pStyle w:val="ListParagraph"/>
        <w:spacing w:line="259" w:lineRule="auto"/>
        <w:jc w:val="both"/>
      </w:pPr>
    </w:p>
    <w:p w14:paraId="632B9274" w14:textId="77777777" w:rsidR="00A60940" w:rsidRDefault="00A60940" w:rsidP="00A60940">
      <w:pPr>
        <w:pStyle w:val="Heading3"/>
      </w:pPr>
      <w:bookmarkStart w:id="238" w:name="_Toc153146893"/>
      <w:bookmarkStart w:id="239" w:name="_Hlk157769566"/>
      <w:bookmarkStart w:id="240" w:name="_Toc160610239"/>
      <w:bookmarkEnd w:id="229"/>
      <w:r>
        <w:t>Lot 2 : Autorisation de mise sur le marché (AMM) / WS1</w:t>
      </w:r>
      <w:bookmarkEnd w:id="238"/>
      <w:bookmarkEnd w:id="240"/>
    </w:p>
    <w:p w14:paraId="199E4A8E" w14:textId="77777777" w:rsidR="00A60940" w:rsidRDefault="00A60940" w:rsidP="00A60940">
      <w:pPr>
        <w:pStyle w:val="Heading4"/>
      </w:pPr>
      <w:bookmarkStart w:id="241" w:name="_Toc160610240"/>
      <w:bookmarkEnd w:id="239"/>
      <w:r>
        <w:t>Niveau de formation requis</w:t>
      </w:r>
      <w:bookmarkEnd w:id="241"/>
      <w:r>
        <w:t xml:space="preserve"> </w:t>
      </w:r>
    </w:p>
    <w:p w14:paraId="689ED7F7" w14:textId="77777777" w:rsidR="00A60940" w:rsidRDefault="00A60940">
      <w:pPr>
        <w:pStyle w:val="ListParagraph"/>
        <w:numPr>
          <w:ilvl w:val="0"/>
          <w:numId w:val="40"/>
        </w:numPr>
        <w:spacing w:line="259" w:lineRule="auto"/>
        <w:jc w:val="both"/>
      </w:pPr>
      <w:r>
        <w:t>Diplôme en pharmacie ou domaine connexe en biomédical ou sciences de la vie ;</w:t>
      </w:r>
    </w:p>
    <w:p w14:paraId="30D00948" w14:textId="77777777" w:rsidR="00A60940" w:rsidRDefault="00A60940">
      <w:pPr>
        <w:pStyle w:val="ListParagraph"/>
        <w:numPr>
          <w:ilvl w:val="0"/>
          <w:numId w:val="40"/>
        </w:numPr>
        <w:spacing w:line="259" w:lineRule="auto"/>
        <w:jc w:val="both"/>
      </w:pPr>
      <w:r>
        <w:t>maîtrise en réglementation pharmaceutique (ou expérience équivalente, en particulier avec des entreprises pharmaceutiques titulaires d’une AMM). Un doctorat constitue un atout.</w:t>
      </w:r>
    </w:p>
    <w:p w14:paraId="3800CDDF" w14:textId="77777777" w:rsidR="00A60940" w:rsidRDefault="00A60940" w:rsidP="00A60940">
      <w:pPr>
        <w:pStyle w:val="Heading4"/>
      </w:pPr>
      <w:bookmarkStart w:id="242" w:name="_Toc160610241"/>
      <w:r>
        <w:t>Expérience professionnelle</w:t>
      </w:r>
      <w:bookmarkEnd w:id="242"/>
      <w:r>
        <w:t xml:space="preserve"> </w:t>
      </w:r>
    </w:p>
    <w:p w14:paraId="11E6BF21" w14:textId="77777777" w:rsidR="00A60940" w:rsidRDefault="00A60940">
      <w:pPr>
        <w:pStyle w:val="ListParagraph"/>
        <w:numPr>
          <w:ilvl w:val="0"/>
          <w:numId w:val="41"/>
        </w:numPr>
        <w:spacing w:line="259" w:lineRule="auto"/>
        <w:jc w:val="both"/>
      </w:pPr>
      <w:r>
        <w:t>Dix (10) ans d’expérience professionnelle, dont au minimum cinq (5) années d’expérience professionnelle en réglementation pharmaceutique ;</w:t>
      </w:r>
    </w:p>
    <w:p w14:paraId="5C3F03AB" w14:textId="77777777" w:rsidR="00A60940" w:rsidRDefault="00A60940">
      <w:pPr>
        <w:pStyle w:val="ListParagraph"/>
        <w:numPr>
          <w:ilvl w:val="0"/>
          <w:numId w:val="41"/>
        </w:numPr>
        <w:spacing w:line="259" w:lineRule="auto"/>
        <w:jc w:val="both"/>
      </w:pPr>
      <w:r>
        <w:t>expérience pertinente de travail au sein de services de réglementation des entreprises pharmaceutiques titulaires d’une AMM de médicaments et de vaccins humains, en particulier au niveau de la préparation et la soumission de demandes d’AMM aux ARN.</w:t>
      </w:r>
    </w:p>
    <w:p w14:paraId="787C972D" w14:textId="77777777" w:rsidR="00A60940" w:rsidRDefault="00A60940" w:rsidP="00A60940">
      <w:pPr>
        <w:pStyle w:val="Heading4"/>
      </w:pPr>
      <w:bookmarkStart w:id="243" w:name="_Toc160610242"/>
      <w:r>
        <w:t>Connaissances et compétences</w:t>
      </w:r>
      <w:bookmarkEnd w:id="243"/>
    </w:p>
    <w:p w14:paraId="6DEC92B6" w14:textId="77777777" w:rsidR="00A60940" w:rsidRDefault="00A60940">
      <w:pPr>
        <w:pStyle w:val="ListParagraph"/>
        <w:numPr>
          <w:ilvl w:val="0"/>
          <w:numId w:val="42"/>
        </w:numPr>
        <w:spacing w:line="259" w:lineRule="auto"/>
        <w:jc w:val="both"/>
      </w:pPr>
      <w:r>
        <w:t>Parfaite maîtrise (orale et écrite) de l’anglais.</w:t>
      </w:r>
    </w:p>
    <w:p w14:paraId="6CD8D23D" w14:textId="5ADC154B" w:rsidR="009376DF" w:rsidRDefault="009376DF" w:rsidP="009376DF">
      <w:pPr>
        <w:pStyle w:val="ListParagraph"/>
        <w:tabs>
          <w:tab w:val="left" w:pos="3360"/>
        </w:tabs>
        <w:spacing w:line="259" w:lineRule="auto"/>
        <w:jc w:val="both"/>
      </w:pPr>
      <w:r>
        <w:tab/>
      </w:r>
    </w:p>
    <w:p w14:paraId="059E9D9D" w14:textId="77777777" w:rsidR="009376DF" w:rsidRDefault="009376DF" w:rsidP="009376DF">
      <w:pPr>
        <w:pStyle w:val="ListParagraph"/>
        <w:tabs>
          <w:tab w:val="left" w:pos="3360"/>
        </w:tabs>
        <w:spacing w:line="259" w:lineRule="auto"/>
        <w:jc w:val="both"/>
      </w:pPr>
    </w:p>
    <w:p w14:paraId="4BEBE27D" w14:textId="77777777" w:rsidR="00A60940" w:rsidRDefault="00A60940" w:rsidP="00A60940">
      <w:pPr>
        <w:pStyle w:val="Heading3"/>
      </w:pPr>
      <w:bookmarkStart w:id="244" w:name="_Toc153146894"/>
      <w:bookmarkStart w:id="245" w:name="_Toc160610243"/>
      <w:r>
        <w:t>Lot 3 : Propriété intellectuelle (PI) / WS2</w:t>
      </w:r>
      <w:bookmarkEnd w:id="244"/>
      <w:bookmarkEnd w:id="245"/>
    </w:p>
    <w:p w14:paraId="335CA150" w14:textId="77777777" w:rsidR="00A60940" w:rsidRDefault="00A60940" w:rsidP="00A60940">
      <w:pPr>
        <w:pStyle w:val="Heading4"/>
      </w:pPr>
      <w:bookmarkStart w:id="246" w:name="_Hlk147829698"/>
      <w:bookmarkStart w:id="247" w:name="_Toc160610244"/>
      <w:r>
        <w:t>Niveau de formation requis</w:t>
      </w:r>
      <w:bookmarkEnd w:id="247"/>
      <w:r>
        <w:t xml:space="preserve"> </w:t>
      </w:r>
    </w:p>
    <w:p w14:paraId="03A553FB" w14:textId="77777777" w:rsidR="00A60940" w:rsidRDefault="00A60940">
      <w:pPr>
        <w:pStyle w:val="ListParagraph"/>
        <w:numPr>
          <w:ilvl w:val="0"/>
          <w:numId w:val="40"/>
        </w:numPr>
        <w:spacing w:line="259" w:lineRule="auto"/>
        <w:jc w:val="both"/>
      </w:pPr>
      <w:r>
        <w:t>Diplôme universitaire en droit avec spécialisation en droit de la propriété intellectuelle ou industrielle, assorti d’une formation professionnelle ou d’un certificat en droit antitrust et en droit de la concurrence lié à l’accès aux technologies et à la propriété intellectuelle ;</w:t>
      </w:r>
    </w:p>
    <w:p w14:paraId="78937675" w14:textId="77777777" w:rsidR="00A60940" w:rsidRDefault="00A60940">
      <w:pPr>
        <w:pStyle w:val="ListParagraph"/>
        <w:numPr>
          <w:ilvl w:val="0"/>
          <w:numId w:val="40"/>
        </w:numPr>
        <w:spacing w:line="259" w:lineRule="auto"/>
        <w:jc w:val="both"/>
      </w:pPr>
      <w:r>
        <w:t>master / spécialisation dans les domaines pertinents de la santé, les sciences de la vie, la biotechnologie ou le biomédical.</w:t>
      </w:r>
    </w:p>
    <w:p w14:paraId="4C346223" w14:textId="77777777" w:rsidR="00A60940" w:rsidRDefault="00A60940" w:rsidP="00A60940">
      <w:pPr>
        <w:pStyle w:val="Heading4"/>
      </w:pPr>
      <w:bookmarkStart w:id="248" w:name="_Toc160610245"/>
      <w:r>
        <w:t>Expérience professionnelle</w:t>
      </w:r>
      <w:bookmarkEnd w:id="248"/>
      <w:r>
        <w:t xml:space="preserve"> </w:t>
      </w:r>
    </w:p>
    <w:p w14:paraId="10A5A778" w14:textId="77777777" w:rsidR="00A60940" w:rsidRDefault="00A60940">
      <w:pPr>
        <w:pStyle w:val="ListParagraph"/>
        <w:numPr>
          <w:ilvl w:val="0"/>
          <w:numId w:val="41"/>
        </w:numPr>
        <w:spacing w:line="259" w:lineRule="auto"/>
        <w:jc w:val="both"/>
      </w:pPr>
      <w:r>
        <w:t xml:space="preserve">Dix (10) ans d’expérience professionnelle pertinente, dont au moins cinq (5) années d’expérience professionnelle dans différents aspects réglementaires pharmaceutiques, plus particulièrement dans le domaine des conseils juridiques, de </w:t>
      </w:r>
      <w:r>
        <w:lastRenderedPageBreak/>
        <w:t>l’octroi de licences, de la législation et de la réglementation en matière de concurrence et/ou d’antitrust ;</w:t>
      </w:r>
    </w:p>
    <w:p w14:paraId="3E165666" w14:textId="77777777" w:rsidR="00A60940" w:rsidRDefault="00A60940">
      <w:pPr>
        <w:pStyle w:val="ListParagraph"/>
        <w:numPr>
          <w:ilvl w:val="0"/>
          <w:numId w:val="41"/>
        </w:numPr>
        <w:spacing w:line="259" w:lineRule="auto"/>
        <w:jc w:val="both"/>
      </w:pPr>
      <w:r>
        <w:t xml:space="preserve">expérience pertinente de travail dans des aspects réglementaires ou juridiques avec des </w:t>
      </w:r>
      <w:proofErr w:type="spellStart"/>
      <w:r>
        <w:t>MoH</w:t>
      </w:r>
      <w:proofErr w:type="spellEnd"/>
      <w:r>
        <w:t xml:space="preserve">, </w:t>
      </w:r>
      <w:proofErr w:type="spellStart"/>
      <w:r>
        <w:t>MoE</w:t>
      </w:r>
      <w:proofErr w:type="spellEnd"/>
      <w:r>
        <w:t xml:space="preserve">, </w:t>
      </w:r>
      <w:proofErr w:type="spellStart"/>
      <w:r>
        <w:t>MoT</w:t>
      </w:r>
      <w:proofErr w:type="spellEnd"/>
      <w:r>
        <w:t xml:space="preserve"> ou des ARN dans des PRFM, en particulier dans les services gérant les législations pharmaceutiques. Parallèlement, une expérience pertinente avec des entreprises pharmaceutiques dans les processus liés à la propriété intellectuelle et à l’octroi de licences.</w:t>
      </w:r>
    </w:p>
    <w:p w14:paraId="79FD5C8B" w14:textId="77777777" w:rsidR="00A60940" w:rsidRDefault="00A60940" w:rsidP="00A60940">
      <w:pPr>
        <w:pStyle w:val="Heading4"/>
      </w:pPr>
      <w:bookmarkStart w:id="249" w:name="_Toc160610246"/>
      <w:r>
        <w:t>Connaissances et compétences</w:t>
      </w:r>
      <w:bookmarkEnd w:id="249"/>
    </w:p>
    <w:p w14:paraId="2858FA17" w14:textId="220705B3" w:rsidR="00CD1280" w:rsidRDefault="00A60940" w:rsidP="009376DF">
      <w:pPr>
        <w:pStyle w:val="ListParagraph"/>
        <w:numPr>
          <w:ilvl w:val="0"/>
          <w:numId w:val="42"/>
        </w:numPr>
        <w:spacing w:line="259" w:lineRule="auto"/>
        <w:jc w:val="both"/>
      </w:pPr>
      <w:r>
        <w:t>Parfaite maîtrise (orale et écrite) de l’anglais.</w:t>
      </w:r>
    </w:p>
    <w:p w14:paraId="77702380" w14:textId="77777777" w:rsidR="00A60940" w:rsidRDefault="00A60940" w:rsidP="00A60940">
      <w:pPr>
        <w:pStyle w:val="Heading3"/>
      </w:pPr>
      <w:bookmarkStart w:id="250" w:name="_Toc153146895"/>
      <w:bookmarkStart w:id="251" w:name="_Toc160610247"/>
      <w:bookmarkEnd w:id="246"/>
      <w:r>
        <w:t>Lot 4 : Contrôle de la qualité (CQ) / WS1</w:t>
      </w:r>
      <w:bookmarkEnd w:id="250"/>
      <w:bookmarkEnd w:id="251"/>
    </w:p>
    <w:p w14:paraId="240EDDD6" w14:textId="77777777" w:rsidR="00A60940" w:rsidRDefault="00A60940" w:rsidP="00A60940">
      <w:pPr>
        <w:pStyle w:val="Heading4"/>
      </w:pPr>
      <w:bookmarkStart w:id="252" w:name="_Toc160610248"/>
      <w:r>
        <w:t>Niveau de formation requis</w:t>
      </w:r>
      <w:bookmarkEnd w:id="252"/>
      <w:r>
        <w:t xml:space="preserve"> </w:t>
      </w:r>
    </w:p>
    <w:p w14:paraId="696129CA" w14:textId="77777777" w:rsidR="00A60940" w:rsidRDefault="00A60940">
      <w:pPr>
        <w:pStyle w:val="ListParagraph"/>
        <w:numPr>
          <w:ilvl w:val="0"/>
          <w:numId w:val="40"/>
        </w:numPr>
        <w:spacing w:line="259" w:lineRule="auto"/>
        <w:jc w:val="both"/>
      </w:pPr>
      <w:r>
        <w:t>Maîtrise ou diplôme équivalent de l’enseignement supérieur en pharmacie, sciences pharmaceutiques, chimie ou domaines connexes, assorti d’une spécialisation dans l’industrie pharmaceutique/chimique ;</w:t>
      </w:r>
    </w:p>
    <w:p w14:paraId="4F8D1C6C" w14:textId="77777777" w:rsidR="00A60940" w:rsidRDefault="00A60940">
      <w:pPr>
        <w:pStyle w:val="ListParagraph"/>
        <w:numPr>
          <w:ilvl w:val="0"/>
          <w:numId w:val="40"/>
        </w:numPr>
        <w:spacing w:line="259" w:lineRule="auto"/>
        <w:jc w:val="both"/>
      </w:pPr>
      <w:bookmarkStart w:id="253" w:name="_Hlk148519819"/>
      <w:r>
        <w:t>master/spécialisation</w:t>
      </w:r>
      <w:bookmarkEnd w:id="253"/>
      <w:r>
        <w:t xml:space="preserve"> en contrôle de qualité des médicaments ou produits chimiques ;</w:t>
      </w:r>
    </w:p>
    <w:p w14:paraId="7388469B" w14:textId="77777777" w:rsidR="00A60940" w:rsidRDefault="00A60940">
      <w:pPr>
        <w:pStyle w:val="ListParagraph"/>
        <w:numPr>
          <w:ilvl w:val="0"/>
          <w:numId w:val="40"/>
        </w:numPr>
        <w:spacing w:line="259" w:lineRule="auto"/>
        <w:jc w:val="both"/>
      </w:pPr>
      <w:r>
        <w:t>parallèlement, un master/une spécialisation en analyse physique, chimique et/ou microbiologique de médicaments.</w:t>
      </w:r>
    </w:p>
    <w:p w14:paraId="4E098D50" w14:textId="77777777" w:rsidR="00A60940" w:rsidRDefault="00A60940" w:rsidP="00A60940">
      <w:pPr>
        <w:pStyle w:val="Heading4"/>
      </w:pPr>
      <w:bookmarkStart w:id="254" w:name="_Toc160610249"/>
      <w:r>
        <w:t>Expérience professionnelle</w:t>
      </w:r>
      <w:bookmarkEnd w:id="254"/>
      <w:r>
        <w:t xml:space="preserve"> </w:t>
      </w:r>
    </w:p>
    <w:p w14:paraId="5F7F0A35" w14:textId="77777777" w:rsidR="00A60940" w:rsidRDefault="00A60940">
      <w:pPr>
        <w:pStyle w:val="ListParagraph"/>
        <w:numPr>
          <w:ilvl w:val="0"/>
          <w:numId w:val="41"/>
        </w:numPr>
        <w:spacing w:line="259" w:lineRule="auto"/>
        <w:jc w:val="both"/>
      </w:pPr>
      <w:r>
        <w:t>Dix (10) ans d’expérience professionnelle pertinente, dont au minimum cinq (5) années d’expérience professionnelle en contrôle de la qualité (CQ) ;</w:t>
      </w:r>
    </w:p>
    <w:p w14:paraId="27B76C6C" w14:textId="77777777" w:rsidR="00A60940" w:rsidRDefault="00A60940">
      <w:pPr>
        <w:pStyle w:val="ListParagraph"/>
        <w:numPr>
          <w:ilvl w:val="0"/>
          <w:numId w:val="41"/>
        </w:numPr>
        <w:spacing w:line="259" w:lineRule="auto"/>
        <w:jc w:val="both"/>
      </w:pPr>
      <w:r>
        <w:t>expérience pertinente de travail dans le domaine des systèmes de contrôle de la qualité des médicaments et des vaccins, en particulier dans la gestion de projets au sein de laboratoires de BPF pharmaceutiques industrielles et/ou d’institutions de BPD ;</w:t>
      </w:r>
    </w:p>
    <w:p w14:paraId="42C7248E" w14:textId="77777777" w:rsidR="00A60940" w:rsidRDefault="00A60940">
      <w:pPr>
        <w:pStyle w:val="ListParagraph"/>
        <w:numPr>
          <w:ilvl w:val="0"/>
          <w:numId w:val="41"/>
        </w:numPr>
        <w:spacing w:line="259" w:lineRule="auto"/>
        <w:jc w:val="both"/>
      </w:pPr>
      <w:r>
        <w:t xml:space="preserve">solide expérience dans la réalisation de diagnostics de qualité, d’inspections, d’audits et de revues régulières. Une expérience avérée en matière de tests et de libération de lots dans l’industrie pharmaceutique ou des vaccins sera également prise en considération ; </w:t>
      </w:r>
    </w:p>
    <w:p w14:paraId="6CD233B3" w14:textId="77777777" w:rsidR="00A60940" w:rsidRDefault="00A60940">
      <w:pPr>
        <w:pStyle w:val="ListParagraph"/>
        <w:numPr>
          <w:ilvl w:val="0"/>
          <w:numId w:val="41"/>
        </w:numPr>
        <w:spacing w:line="259" w:lineRule="auto"/>
        <w:jc w:val="both"/>
      </w:pPr>
      <w:r>
        <w:t>expérience pertinente de travail dans le contexte des PRFM (de préférence en Afrique).</w:t>
      </w:r>
    </w:p>
    <w:p w14:paraId="57164B3E" w14:textId="77777777" w:rsidR="00A60940" w:rsidRDefault="00A60940" w:rsidP="00A60940">
      <w:pPr>
        <w:pStyle w:val="Heading4"/>
      </w:pPr>
      <w:bookmarkStart w:id="255" w:name="_Toc160610250"/>
      <w:r>
        <w:t>Connaissances et compétences</w:t>
      </w:r>
      <w:bookmarkEnd w:id="255"/>
    </w:p>
    <w:p w14:paraId="02DE4A91" w14:textId="77777777" w:rsidR="00A60940" w:rsidRDefault="00A60940">
      <w:pPr>
        <w:pStyle w:val="ListParagraph"/>
        <w:numPr>
          <w:ilvl w:val="0"/>
          <w:numId w:val="42"/>
        </w:numPr>
        <w:spacing w:line="259" w:lineRule="auto"/>
        <w:jc w:val="both"/>
      </w:pPr>
      <w:r>
        <w:t>Parfaite maîtrise (orale et écrite) de l’anglais.</w:t>
      </w:r>
    </w:p>
    <w:p w14:paraId="25A38B7D" w14:textId="77777777" w:rsidR="00A60940" w:rsidRDefault="00A60940" w:rsidP="00A60940">
      <w:pPr>
        <w:pStyle w:val="ListParagraph"/>
        <w:spacing w:line="259" w:lineRule="auto"/>
        <w:jc w:val="both"/>
      </w:pPr>
    </w:p>
    <w:p w14:paraId="23084723" w14:textId="77777777" w:rsidR="009376DF" w:rsidRDefault="009376DF" w:rsidP="00A60940">
      <w:pPr>
        <w:pStyle w:val="ListParagraph"/>
        <w:spacing w:line="259" w:lineRule="auto"/>
        <w:jc w:val="both"/>
      </w:pPr>
    </w:p>
    <w:p w14:paraId="06ED6C8A" w14:textId="77777777" w:rsidR="00A60940" w:rsidRDefault="00A60940" w:rsidP="00A60940">
      <w:pPr>
        <w:pStyle w:val="Heading3"/>
      </w:pPr>
      <w:bookmarkStart w:id="256" w:name="_Toc153146896"/>
      <w:bookmarkStart w:id="257" w:name="_Toc160610251"/>
      <w:r>
        <w:t>Lot 5 : Pharmacovigilance (PV) et sécurité des médicaments/vaccins / WS1</w:t>
      </w:r>
      <w:bookmarkEnd w:id="256"/>
      <w:bookmarkEnd w:id="257"/>
    </w:p>
    <w:p w14:paraId="5D69A28D" w14:textId="77777777" w:rsidR="00A60940" w:rsidRDefault="00A60940" w:rsidP="00A60940">
      <w:pPr>
        <w:pStyle w:val="Heading4"/>
      </w:pPr>
      <w:bookmarkStart w:id="258" w:name="_Toc160610252"/>
      <w:r>
        <w:t>Niveau de formation requis</w:t>
      </w:r>
      <w:bookmarkEnd w:id="258"/>
      <w:r>
        <w:t xml:space="preserve"> </w:t>
      </w:r>
    </w:p>
    <w:p w14:paraId="388DF2CF" w14:textId="77777777" w:rsidR="00A60940" w:rsidRDefault="00A60940">
      <w:pPr>
        <w:pStyle w:val="ListParagraph"/>
        <w:numPr>
          <w:ilvl w:val="0"/>
          <w:numId w:val="40"/>
        </w:numPr>
        <w:spacing w:line="259" w:lineRule="auto"/>
        <w:jc w:val="both"/>
      </w:pPr>
      <w:r>
        <w:t>Diplôme en pharmacie ou domaine connexe en biomédical, biotechnologie ou sciences de la vie ;</w:t>
      </w:r>
    </w:p>
    <w:p w14:paraId="38A8C525" w14:textId="77777777" w:rsidR="00A60940" w:rsidRDefault="00A60940">
      <w:pPr>
        <w:pStyle w:val="ListParagraph"/>
        <w:numPr>
          <w:ilvl w:val="0"/>
          <w:numId w:val="40"/>
        </w:numPr>
        <w:spacing w:line="259" w:lineRule="auto"/>
        <w:jc w:val="both"/>
      </w:pPr>
      <w:r>
        <w:t>master/spécialisation en pharmacovigilance (PV) et/ou sécurité des médicaments. Un doctorat constitue un atout.</w:t>
      </w:r>
    </w:p>
    <w:p w14:paraId="3D9FDD08" w14:textId="77777777" w:rsidR="00A60940" w:rsidRDefault="00A60940" w:rsidP="00A60940">
      <w:pPr>
        <w:pStyle w:val="Heading4"/>
      </w:pPr>
      <w:bookmarkStart w:id="259" w:name="_Toc160610253"/>
      <w:r>
        <w:t>Expérience professionnelle</w:t>
      </w:r>
      <w:bookmarkEnd w:id="259"/>
      <w:r>
        <w:t xml:space="preserve"> </w:t>
      </w:r>
    </w:p>
    <w:p w14:paraId="38EF4569" w14:textId="77777777" w:rsidR="00A60940" w:rsidRDefault="00A60940">
      <w:pPr>
        <w:pStyle w:val="ListParagraph"/>
        <w:numPr>
          <w:ilvl w:val="0"/>
          <w:numId w:val="41"/>
        </w:numPr>
        <w:spacing w:line="259" w:lineRule="auto"/>
        <w:jc w:val="both"/>
      </w:pPr>
      <w:r>
        <w:t>Dix (10) ans d’expérience professionnelle pertinente, dont au minimum cinq (5) années d’expérience professionnelle dans les services de pharmacovigilance et de surveillance des médicaments d’autorités ou d’entreprises pharmaceutiques compétentes supranationales, nationales ou régionales, avec un rôle axé sur la PV ;</w:t>
      </w:r>
    </w:p>
    <w:p w14:paraId="4E46AE40" w14:textId="77777777" w:rsidR="00A60940" w:rsidRDefault="00A60940">
      <w:pPr>
        <w:pStyle w:val="ListParagraph"/>
        <w:numPr>
          <w:ilvl w:val="0"/>
          <w:numId w:val="41"/>
        </w:numPr>
        <w:spacing w:line="259" w:lineRule="auto"/>
        <w:jc w:val="both"/>
      </w:pPr>
      <w:r>
        <w:lastRenderedPageBreak/>
        <w:t>expérience professionnelle dans le domaine de la consultance/l’expertise dans un domaine pertinent.</w:t>
      </w:r>
    </w:p>
    <w:p w14:paraId="0897B6AE" w14:textId="77777777" w:rsidR="00A60940" w:rsidRDefault="00A60940" w:rsidP="00A60940">
      <w:pPr>
        <w:pStyle w:val="Heading4"/>
      </w:pPr>
      <w:bookmarkStart w:id="260" w:name="_Toc160610254"/>
      <w:r>
        <w:t>Connaissances et compétences</w:t>
      </w:r>
      <w:bookmarkEnd w:id="260"/>
    </w:p>
    <w:p w14:paraId="73529351" w14:textId="162E2482" w:rsidR="00A60940" w:rsidRDefault="00A60940" w:rsidP="00CD1280">
      <w:pPr>
        <w:pStyle w:val="ListParagraph"/>
        <w:numPr>
          <w:ilvl w:val="0"/>
          <w:numId w:val="42"/>
        </w:numPr>
        <w:spacing w:line="259" w:lineRule="auto"/>
        <w:jc w:val="both"/>
      </w:pPr>
      <w:r>
        <w:t>Parfaite maîtrise (orale et écrite) de l’anglais et du français.</w:t>
      </w:r>
    </w:p>
    <w:p w14:paraId="4220D619" w14:textId="77777777" w:rsidR="00A60940" w:rsidRDefault="00A60940" w:rsidP="009376DF">
      <w:pPr>
        <w:pStyle w:val="ListParagraph"/>
        <w:spacing w:line="259" w:lineRule="auto"/>
        <w:ind w:firstLine="708"/>
        <w:jc w:val="both"/>
      </w:pPr>
    </w:p>
    <w:p w14:paraId="32054BC0" w14:textId="77777777" w:rsidR="009376DF" w:rsidRDefault="009376DF" w:rsidP="009376DF">
      <w:pPr>
        <w:pStyle w:val="ListParagraph"/>
        <w:spacing w:line="259" w:lineRule="auto"/>
        <w:ind w:firstLine="708"/>
        <w:jc w:val="both"/>
      </w:pPr>
    </w:p>
    <w:p w14:paraId="2F14159A" w14:textId="77777777" w:rsidR="00A60940" w:rsidRDefault="00A60940" w:rsidP="00A60940">
      <w:pPr>
        <w:pStyle w:val="Heading3"/>
      </w:pPr>
      <w:bookmarkStart w:id="261" w:name="_Toc153146897"/>
      <w:bookmarkStart w:id="262" w:name="_Toc160610255"/>
      <w:r>
        <w:t>Lot 6 : Transfert technologique / WS2</w:t>
      </w:r>
      <w:bookmarkEnd w:id="261"/>
      <w:bookmarkEnd w:id="262"/>
    </w:p>
    <w:p w14:paraId="308D7F80" w14:textId="77777777" w:rsidR="00A60940" w:rsidRDefault="00A60940" w:rsidP="00A60940">
      <w:pPr>
        <w:pStyle w:val="Heading4"/>
      </w:pPr>
      <w:bookmarkStart w:id="263" w:name="_Hlk147832084"/>
      <w:bookmarkStart w:id="264" w:name="_Toc160610256"/>
      <w:r>
        <w:t>Niveau de formation requis</w:t>
      </w:r>
      <w:bookmarkEnd w:id="264"/>
      <w:r>
        <w:t xml:space="preserve"> </w:t>
      </w:r>
    </w:p>
    <w:p w14:paraId="3F612113" w14:textId="77777777" w:rsidR="00A60940" w:rsidRDefault="00A60940">
      <w:pPr>
        <w:pStyle w:val="ListParagraph"/>
        <w:numPr>
          <w:ilvl w:val="0"/>
          <w:numId w:val="40"/>
        </w:numPr>
        <w:spacing w:line="259" w:lineRule="auto"/>
        <w:jc w:val="both"/>
      </w:pPr>
      <w:r>
        <w:t>Diplôme en pharmacie ou domaine connexe en biomédical, biotechnologie ou sciences de la vie ;</w:t>
      </w:r>
    </w:p>
    <w:p w14:paraId="0C3EAC00" w14:textId="77777777" w:rsidR="00A60940" w:rsidRDefault="00A60940">
      <w:pPr>
        <w:pStyle w:val="ListParagraph"/>
        <w:numPr>
          <w:ilvl w:val="0"/>
          <w:numId w:val="40"/>
        </w:numPr>
        <w:spacing w:line="259" w:lineRule="auto"/>
        <w:jc w:val="both"/>
      </w:pPr>
      <w:r>
        <w:t xml:space="preserve">master/spécialisation équivalente (spécialistes en transfert technologique, scientifiques ou </w:t>
      </w:r>
      <w:proofErr w:type="spellStart"/>
      <w:r>
        <w:t>ingénieur·es</w:t>
      </w:r>
      <w:proofErr w:type="spellEnd"/>
      <w:r>
        <w:t xml:space="preserve"> en procédés) ou toute expérience industrielle pertinente dans le domaine du transfert technologique.</w:t>
      </w:r>
    </w:p>
    <w:p w14:paraId="5B592429" w14:textId="77777777" w:rsidR="00A60940" w:rsidRDefault="00A60940" w:rsidP="00A60940">
      <w:pPr>
        <w:pStyle w:val="Heading4"/>
      </w:pPr>
      <w:bookmarkStart w:id="265" w:name="_Toc160610257"/>
      <w:r>
        <w:t>Expérience professionnelle</w:t>
      </w:r>
      <w:bookmarkEnd w:id="265"/>
      <w:r>
        <w:t xml:space="preserve"> </w:t>
      </w:r>
    </w:p>
    <w:p w14:paraId="05CD2086" w14:textId="77777777" w:rsidR="00A60940" w:rsidRDefault="00A60940">
      <w:pPr>
        <w:pStyle w:val="ListParagraph"/>
        <w:numPr>
          <w:ilvl w:val="0"/>
          <w:numId w:val="41"/>
        </w:numPr>
        <w:spacing w:line="259" w:lineRule="auto"/>
        <w:jc w:val="both"/>
      </w:pPr>
      <w:r>
        <w:t>Dix (10) ans d’expérience professionnelle pertinente, dont au minimum cinq (5) années en sciences de la vie / transfert technologique pharmaceutique et/ou en procédés ;</w:t>
      </w:r>
    </w:p>
    <w:p w14:paraId="2965702D" w14:textId="77777777" w:rsidR="00A60940" w:rsidRDefault="00A60940">
      <w:pPr>
        <w:pStyle w:val="ListParagraph"/>
        <w:numPr>
          <w:ilvl w:val="0"/>
          <w:numId w:val="41"/>
        </w:numPr>
        <w:spacing w:line="259" w:lineRule="auto"/>
        <w:jc w:val="both"/>
      </w:pPr>
      <w:r>
        <w:t xml:space="preserve">expérience pertinente du travail dans l’industrie pharmaceutique. </w:t>
      </w:r>
    </w:p>
    <w:p w14:paraId="338D2A5E" w14:textId="77777777" w:rsidR="00A60940" w:rsidRDefault="00A60940" w:rsidP="00A60940">
      <w:pPr>
        <w:pStyle w:val="Heading4"/>
      </w:pPr>
      <w:bookmarkStart w:id="266" w:name="_Toc160610258"/>
      <w:r>
        <w:t>Connaissances et compétences</w:t>
      </w:r>
      <w:bookmarkEnd w:id="266"/>
    </w:p>
    <w:p w14:paraId="6A583AFA" w14:textId="039A113A" w:rsidR="00A60940" w:rsidRDefault="00A60940" w:rsidP="00A60940">
      <w:pPr>
        <w:pStyle w:val="ListParagraph"/>
        <w:numPr>
          <w:ilvl w:val="0"/>
          <w:numId w:val="42"/>
        </w:numPr>
        <w:spacing w:line="259" w:lineRule="auto"/>
        <w:jc w:val="both"/>
      </w:pPr>
      <w:r>
        <w:t>Parfaite maîtrise (orale et écrite) de l’anglais.</w:t>
      </w:r>
      <w:bookmarkEnd w:id="263"/>
    </w:p>
    <w:p w14:paraId="1C3E1BA1" w14:textId="77777777" w:rsidR="007C582C" w:rsidRDefault="007C582C" w:rsidP="009332B3">
      <w:pPr>
        <w:pStyle w:val="ListParagraph"/>
        <w:spacing w:line="259" w:lineRule="auto"/>
        <w:jc w:val="both"/>
      </w:pPr>
    </w:p>
    <w:p w14:paraId="55DB70AB" w14:textId="77777777" w:rsidR="00A60940" w:rsidRDefault="00A60940" w:rsidP="00A60940">
      <w:pPr>
        <w:pStyle w:val="Heading3"/>
      </w:pPr>
      <w:bookmarkStart w:id="267" w:name="_Toc153146898"/>
      <w:bookmarkStart w:id="268" w:name="_Toc160610259"/>
      <w:r>
        <w:t>Lot 7 : Façonnage du marché, demande &amp; facilitation du commerce / WS3</w:t>
      </w:r>
      <w:bookmarkEnd w:id="267"/>
      <w:bookmarkEnd w:id="268"/>
    </w:p>
    <w:p w14:paraId="5E7E46E2" w14:textId="77777777" w:rsidR="00A60940" w:rsidRDefault="00A60940" w:rsidP="00A60940">
      <w:pPr>
        <w:pStyle w:val="Heading4"/>
      </w:pPr>
      <w:bookmarkStart w:id="269" w:name="_Toc160610260"/>
      <w:r>
        <w:t>Niveau de formation requis</w:t>
      </w:r>
      <w:bookmarkEnd w:id="269"/>
      <w:r>
        <w:t xml:space="preserve"> </w:t>
      </w:r>
    </w:p>
    <w:p w14:paraId="2D72221F" w14:textId="77777777" w:rsidR="00A60940" w:rsidRDefault="00A60940">
      <w:pPr>
        <w:pStyle w:val="ListParagraph"/>
        <w:numPr>
          <w:ilvl w:val="0"/>
          <w:numId w:val="40"/>
        </w:numPr>
        <w:spacing w:line="259" w:lineRule="auto"/>
        <w:jc w:val="both"/>
      </w:pPr>
      <w:r>
        <w:t>Master en gestion d’entreprise, économie, marketing à la demande, commerce international, achats ou domaines connexes ;</w:t>
      </w:r>
    </w:p>
    <w:p w14:paraId="0E93C6D2" w14:textId="77777777" w:rsidR="00A60940" w:rsidRDefault="00A60940">
      <w:pPr>
        <w:pStyle w:val="ListParagraph"/>
        <w:numPr>
          <w:ilvl w:val="0"/>
          <w:numId w:val="40"/>
        </w:numPr>
        <w:spacing w:line="259" w:lineRule="auto"/>
        <w:jc w:val="both"/>
      </w:pPr>
      <w:r>
        <w:t>un bachelier dans les mêmes domaines peut également entrer en ligne de compte, s’il s’accompagne d’une expérience pertinente supplémentaire de trois années ;</w:t>
      </w:r>
    </w:p>
    <w:p w14:paraId="563F2BAC" w14:textId="77777777" w:rsidR="00A60940" w:rsidRDefault="00A60940">
      <w:pPr>
        <w:pStyle w:val="ListParagraph"/>
        <w:numPr>
          <w:ilvl w:val="0"/>
          <w:numId w:val="40"/>
        </w:numPr>
        <w:spacing w:line="259" w:lineRule="auto"/>
        <w:jc w:val="both"/>
      </w:pPr>
      <w:r>
        <w:t>tout master/toute spécialisation en santé ou dans des domaines connexes sera considéré comme un atout.</w:t>
      </w:r>
    </w:p>
    <w:p w14:paraId="507B46F7" w14:textId="77777777" w:rsidR="00A60940" w:rsidRDefault="00A60940" w:rsidP="00A60940">
      <w:pPr>
        <w:pStyle w:val="Heading4"/>
      </w:pPr>
      <w:bookmarkStart w:id="270" w:name="_Toc160610261"/>
      <w:r>
        <w:t>Expérience professionnelle</w:t>
      </w:r>
      <w:bookmarkEnd w:id="270"/>
      <w:r>
        <w:t xml:space="preserve"> </w:t>
      </w:r>
    </w:p>
    <w:p w14:paraId="245E57A3" w14:textId="77777777" w:rsidR="00A60940" w:rsidRDefault="00A60940">
      <w:pPr>
        <w:pStyle w:val="ListParagraph"/>
        <w:numPr>
          <w:ilvl w:val="0"/>
          <w:numId w:val="41"/>
        </w:numPr>
        <w:spacing w:line="259" w:lineRule="auto"/>
        <w:jc w:val="both"/>
      </w:pPr>
      <w:r>
        <w:t>Dix (10) ans d’expérience professionnelle pertinente, dont au minimum cinq (5) années en façonnage du marché dans le secteur de la santé/pharmaceutique et/ou la facilitation du commerce à des postes de supervision et de management (conseil en management, gestion de projets, dynamique du marché, évaluation de l’offre/de la demande, gestion des achats et des approvisionnements (PSM), politiques/pratiques en matière de remboursement et tarification ou d’autres domaines pertinents) ;</w:t>
      </w:r>
    </w:p>
    <w:p w14:paraId="5254BCE3" w14:textId="77777777" w:rsidR="00A60940" w:rsidRDefault="00A60940">
      <w:pPr>
        <w:pStyle w:val="ListParagraph"/>
        <w:numPr>
          <w:ilvl w:val="0"/>
          <w:numId w:val="41"/>
        </w:numPr>
        <w:spacing w:line="259" w:lineRule="auto"/>
        <w:jc w:val="both"/>
      </w:pPr>
      <w:r>
        <w:t>expérience pertinente du travail dans des PRFM.</w:t>
      </w:r>
    </w:p>
    <w:p w14:paraId="17DF44E8" w14:textId="77777777" w:rsidR="00A60940" w:rsidRDefault="00A60940" w:rsidP="00A60940">
      <w:pPr>
        <w:pStyle w:val="Heading4"/>
      </w:pPr>
      <w:bookmarkStart w:id="271" w:name="_Toc160610262"/>
      <w:r>
        <w:t>Connaissances et compétences</w:t>
      </w:r>
      <w:bookmarkEnd w:id="271"/>
    </w:p>
    <w:p w14:paraId="54DB108A" w14:textId="77777777" w:rsidR="00A60940" w:rsidRDefault="00A60940">
      <w:pPr>
        <w:pStyle w:val="ListParagraph"/>
        <w:numPr>
          <w:ilvl w:val="0"/>
          <w:numId w:val="42"/>
        </w:numPr>
        <w:spacing w:line="259" w:lineRule="auto"/>
        <w:jc w:val="both"/>
      </w:pPr>
      <w:r>
        <w:t>Parfaite maîtrise (orale et écrite) de l’anglais.</w:t>
      </w:r>
    </w:p>
    <w:p w14:paraId="6720A9D4" w14:textId="77777777" w:rsidR="00CD1280" w:rsidRDefault="00CD1280" w:rsidP="00CD1280">
      <w:pPr>
        <w:pStyle w:val="ListParagraph"/>
        <w:spacing w:line="259" w:lineRule="auto"/>
        <w:jc w:val="both"/>
      </w:pPr>
    </w:p>
    <w:p w14:paraId="53276316" w14:textId="77777777" w:rsidR="00A60940" w:rsidRDefault="00A60940" w:rsidP="00A60940">
      <w:pPr>
        <w:pStyle w:val="Heading3"/>
      </w:pPr>
      <w:bookmarkStart w:id="272" w:name="_Toc153146899"/>
      <w:bookmarkStart w:id="273" w:name="_Toc160610263"/>
      <w:r>
        <w:t>Lot 8 : Gestion de la chaîne d’approvisionnement / WS3</w:t>
      </w:r>
      <w:bookmarkEnd w:id="272"/>
      <w:bookmarkEnd w:id="273"/>
    </w:p>
    <w:p w14:paraId="29112DFE" w14:textId="77777777" w:rsidR="00A60940" w:rsidRDefault="00A60940" w:rsidP="00A60940">
      <w:pPr>
        <w:pStyle w:val="Heading4"/>
      </w:pPr>
      <w:bookmarkStart w:id="274" w:name="_Hlk147917476"/>
      <w:bookmarkStart w:id="275" w:name="_Toc160610264"/>
      <w:r>
        <w:lastRenderedPageBreak/>
        <w:t>Niveau de formation requis</w:t>
      </w:r>
      <w:bookmarkEnd w:id="275"/>
      <w:r>
        <w:t xml:space="preserve"> </w:t>
      </w:r>
    </w:p>
    <w:p w14:paraId="131E2B70" w14:textId="77777777" w:rsidR="00A60940" w:rsidRDefault="00A60940">
      <w:pPr>
        <w:pStyle w:val="ListParagraph"/>
        <w:numPr>
          <w:ilvl w:val="0"/>
          <w:numId w:val="40"/>
        </w:numPr>
        <w:spacing w:line="259" w:lineRule="auto"/>
        <w:jc w:val="both"/>
      </w:pPr>
      <w:r>
        <w:t xml:space="preserve">Master en gestion d’entreprise ou équivalent ET spécialisation (p. ex. </w:t>
      </w:r>
      <w:proofErr w:type="spellStart"/>
      <w:r>
        <w:t>M.Sc</w:t>
      </w:r>
      <w:proofErr w:type="spellEnd"/>
      <w:r>
        <w:t>. en PSM) ou formation professionnelle (p. ex. certification PNUD) en gestion de la chaîne d’approvisionnement pour les produits de santé ;</w:t>
      </w:r>
    </w:p>
    <w:p w14:paraId="07752A14" w14:textId="77777777" w:rsidR="00A60940" w:rsidRDefault="00A60940">
      <w:pPr>
        <w:pStyle w:val="ListParagraph"/>
        <w:numPr>
          <w:ilvl w:val="0"/>
          <w:numId w:val="40"/>
        </w:numPr>
        <w:spacing w:line="259" w:lineRule="auto"/>
        <w:jc w:val="both"/>
      </w:pPr>
      <w:r>
        <w:t>parallèlement, un diplôme d’études supérieures en pharmacie ou dans un domaine connexe de la santé, de la biomédecine ou des sciences ET un master en gestion de la chaîne d’approvisionnement (ou une expérience équivalente).</w:t>
      </w:r>
    </w:p>
    <w:p w14:paraId="34DBF232" w14:textId="77777777" w:rsidR="00A60940" w:rsidRDefault="00A60940" w:rsidP="00A60940">
      <w:pPr>
        <w:pStyle w:val="Heading4"/>
      </w:pPr>
      <w:bookmarkStart w:id="276" w:name="_Toc160610265"/>
      <w:r>
        <w:t>Expérience professionnelle</w:t>
      </w:r>
      <w:bookmarkEnd w:id="276"/>
      <w:r>
        <w:t xml:space="preserve"> </w:t>
      </w:r>
    </w:p>
    <w:p w14:paraId="74E73317" w14:textId="77777777" w:rsidR="00A60940" w:rsidRDefault="00A60940">
      <w:pPr>
        <w:pStyle w:val="ListParagraph"/>
        <w:numPr>
          <w:ilvl w:val="0"/>
          <w:numId w:val="41"/>
        </w:numPr>
        <w:spacing w:line="259" w:lineRule="auto"/>
        <w:jc w:val="both"/>
      </w:pPr>
      <w:r>
        <w:t>Dix (10) ans d’expérience professionnelle pertinente, dont au minimum cinq (5) années en gestion de la chaîne d’approvisionnement/logistique ;</w:t>
      </w:r>
    </w:p>
    <w:p w14:paraId="649FEBC5" w14:textId="77777777" w:rsidR="00A60940" w:rsidRDefault="00A60940">
      <w:pPr>
        <w:pStyle w:val="ListParagraph"/>
        <w:numPr>
          <w:ilvl w:val="0"/>
          <w:numId w:val="41"/>
        </w:numPr>
        <w:spacing w:line="259" w:lineRule="auto"/>
        <w:jc w:val="both"/>
      </w:pPr>
      <w:r>
        <w:t xml:space="preserve">expérience professionnelle pertinente dans la gestion de la chaîne d’approvisionnement en produits de santé (médicaments et/ou vaccins), y compris une expérience dans un contexte international (comme spécialiste ou </w:t>
      </w:r>
      <w:proofErr w:type="spellStart"/>
      <w:r>
        <w:t>consultant·e</w:t>
      </w:r>
      <w:proofErr w:type="spellEnd"/>
      <w:r>
        <w:t xml:space="preserve"> en chaînes d’approvisionnement).</w:t>
      </w:r>
    </w:p>
    <w:p w14:paraId="6624CC7D" w14:textId="77777777" w:rsidR="00A60940" w:rsidRDefault="00A60940" w:rsidP="00A60940">
      <w:pPr>
        <w:pStyle w:val="Heading4"/>
      </w:pPr>
      <w:bookmarkStart w:id="277" w:name="_Toc160610266"/>
      <w:r>
        <w:t>Connaissances et compétences</w:t>
      </w:r>
      <w:bookmarkEnd w:id="277"/>
    </w:p>
    <w:p w14:paraId="27B6970E" w14:textId="77777777" w:rsidR="00A60940" w:rsidRDefault="00A60940">
      <w:pPr>
        <w:pStyle w:val="ListParagraph"/>
        <w:numPr>
          <w:ilvl w:val="0"/>
          <w:numId w:val="42"/>
        </w:numPr>
        <w:spacing w:line="259" w:lineRule="auto"/>
        <w:jc w:val="both"/>
      </w:pPr>
      <w:r>
        <w:t>Parfaite maîtrise (orale et écrite) de l’anglais et du français.</w:t>
      </w:r>
    </w:p>
    <w:p w14:paraId="492378FE" w14:textId="77777777" w:rsidR="00CD1280" w:rsidRDefault="00CD1280" w:rsidP="00CD1280">
      <w:pPr>
        <w:pStyle w:val="ListParagraph"/>
        <w:spacing w:line="259" w:lineRule="auto"/>
        <w:jc w:val="both"/>
      </w:pPr>
    </w:p>
    <w:p w14:paraId="51745B33" w14:textId="77777777" w:rsidR="009376DF" w:rsidRDefault="009376DF" w:rsidP="00CD1280">
      <w:pPr>
        <w:pStyle w:val="ListParagraph"/>
        <w:spacing w:line="259" w:lineRule="auto"/>
        <w:jc w:val="both"/>
      </w:pPr>
    </w:p>
    <w:p w14:paraId="78146D56" w14:textId="77777777" w:rsidR="00A60940" w:rsidRDefault="00A60940" w:rsidP="00A60940">
      <w:pPr>
        <w:pStyle w:val="Heading3"/>
      </w:pPr>
      <w:bookmarkStart w:id="278" w:name="_Toc153146900"/>
      <w:bookmarkStart w:id="279" w:name="_Toc160610267"/>
      <w:bookmarkEnd w:id="274"/>
      <w:r>
        <w:t>Lot 9 : Recherche &amp; développement (R&amp;D) / WS4</w:t>
      </w:r>
      <w:bookmarkEnd w:id="278"/>
      <w:bookmarkEnd w:id="279"/>
    </w:p>
    <w:p w14:paraId="42B37C38" w14:textId="77777777" w:rsidR="00A60940" w:rsidRDefault="00A60940" w:rsidP="00A60940">
      <w:pPr>
        <w:pStyle w:val="Heading4"/>
      </w:pPr>
      <w:bookmarkStart w:id="280" w:name="_Hlk147937454"/>
      <w:bookmarkStart w:id="281" w:name="_Toc160610268"/>
      <w:r>
        <w:t>Niveau de formation requis</w:t>
      </w:r>
      <w:bookmarkEnd w:id="281"/>
      <w:r>
        <w:t xml:space="preserve"> </w:t>
      </w:r>
    </w:p>
    <w:p w14:paraId="7AB15378" w14:textId="77777777" w:rsidR="00A60940" w:rsidRDefault="00A60940">
      <w:pPr>
        <w:pStyle w:val="ListParagraph"/>
        <w:numPr>
          <w:ilvl w:val="0"/>
          <w:numId w:val="40"/>
        </w:numPr>
        <w:spacing w:line="259" w:lineRule="auto"/>
        <w:jc w:val="both"/>
      </w:pPr>
      <w:r>
        <w:t>Master en sciences de la santé, chimie, ingénierie en biotechnologie ou dans des domaines connexes. Un doctorat constitue un atout clé ;</w:t>
      </w:r>
    </w:p>
    <w:p w14:paraId="7FDC2EB5" w14:textId="77777777" w:rsidR="00A60940" w:rsidRDefault="00A60940">
      <w:pPr>
        <w:pStyle w:val="ListParagraph"/>
        <w:numPr>
          <w:ilvl w:val="0"/>
          <w:numId w:val="40"/>
        </w:numPr>
        <w:spacing w:line="259" w:lineRule="auto"/>
        <w:jc w:val="both"/>
      </w:pPr>
      <w:r>
        <w:t>master/diplôme d’études supérieures en pharmacologie/pharmaceutique, R&amp;D / ingénierie des études ou dans l’industrie pharmaceutique.</w:t>
      </w:r>
    </w:p>
    <w:p w14:paraId="3CF8C95E" w14:textId="77777777" w:rsidR="00A60940" w:rsidRDefault="00A60940" w:rsidP="00A60940">
      <w:pPr>
        <w:pStyle w:val="Heading4"/>
      </w:pPr>
      <w:bookmarkStart w:id="282" w:name="_Toc160610269"/>
      <w:r>
        <w:t>Expérience professionnelle</w:t>
      </w:r>
      <w:bookmarkEnd w:id="282"/>
      <w:r>
        <w:t xml:space="preserve"> </w:t>
      </w:r>
    </w:p>
    <w:p w14:paraId="2F51FF7B" w14:textId="77777777" w:rsidR="00A60940" w:rsidRDefault="00A60940">
      <w:pPr>
        <w:pStyle w:val="ListParagraph"/>
        <w:numPr>
          <w:ilvl w:val="0"/>
          <w:numId w:val="41"/>
        </w:numPr>
        <w:spacing w:line="259" w:lineRule="auto"/>
        <w:jc w:val="both"/>
      </w:pPr>
      <w:r>
        <w:t>Dix (10) ans d’expérience professionnelle pertinente, dont au minimum cinq (5) années en R&amp;D sur les médicaments ou vaccins, conception de médicaments ou innovation thérapeutique ;</w:t>
      </w:r>
    </w:p>
    <w:p w14:paraId="77C2CD79" w14:textId="77777777" w:rsidR="00A60940" w:rsidRDefault="00A60940">
      <w:pPr>
        <w:pStyle w:val="ListParagraph"/>
        <w:numPr>
          <w:ilvl w:val="0"/>
          <w:numId w:val="41"/>
        </w:numPr>
        <w:spacing w:line="259" w:lineRule="auto"/>
        <w:jc w:val="both"/>
      </w:pPr>
      <w:r>
        <w:t>expérience pertinente en matière de découverte, de développement préclinique et clinique de produits de santé dans des entreprises pharmaceutiques, chimiques et biotechnologiques privées ou dans des établissements de recherche et/ou universitaires pertinents ;</w:t>
      </w:r>
    </w:p>
    <w:p w14:paraId="07519937" w14:textId="77777777" w:rsidR="00A60940" w:rsidRDefault="00A60940">
      <w:pPr>
        <w:pStyle w:val="ListParagraph"/>
        <w:numPr>
          <w:ilvl w:val="0"/>
          <w:numId w:val="46"/>
        </w:numPr>
        <w:spacing w:line="259" w:lineRule="auto"/>
        <w:jc w:val="both"/>
      </w:pPr>
      <w:r>
        <w:t>expérience professionnelle internationale pertinente dans des régions en développement et/ou de coopération dans des PRFM ;</w:t>
      </w:r>
    </w:p>
    <w:p w14:paraId="606F8901" w14:textId="77777777" w:rsidR="00A60940" w:rsidRDefault="00A60940">
      <w:pPr>
        <w:pStyle w:val="ListParagraph"/>
        <w:numPr>
          <w:ilvl w:val="0"/>
          <w:numId w:val="41"/>
        </w:numPr>
        <w:spacing w:line="259" w:lineRule="auto"/>
        <w:jc w:val="both"/>
      </w:pPr>
      <w:r>
        <w:t>toute autre expérience professionnelle pertinente en R&amp;D avec le secteur pharmaceutique privé peut entrer en ligne de compte.</w:t>
      </w:r>
    </w:p>
    <w:p w14:paraId="31E7C3C8" w14:textId="77777777" w:rsidR="00A60940" w:rsidRDefault="00A60940" w:rsidP="00A60940">
      <w:pPr>
        <w:pStyle w:val="Heading4"/>
      </w:pPr>
      <w:bookmarkStart w:id="283" w:name="_Toc160610270"/>
      <w:r>
        <w:t>Connaissances et compétences</w:t>
      </w:r>
      <w:bookmarkEnd w:id="283"/>
    </w:p>
    <w:p w14:paraId="1EE26A02" w14:textId="77777777" w:rsidR="00A60940" w:rsidRDefault="00A60940">
      <w:pPr>
        <w:pStyle w:val="ListParagraph"/>
        <w:numPr>
          <w:ilvl w:val="0"/>
          <w:numId w:val="42"/>
        </w:numPr>
        <w:spacing w:line="259" w:lineRule="auto"/>
        <w:jc w:val="both"/>
      </w:pPr>
      <w:r>
        <w:t>Parfaite maîtrise (orale et écrite) de l’anglais.</w:t>
      </w:r>
    </w:p>
    <w:p w14:paraId="1CDEEBA1" w14:textId="77777777" w:rsidR="00CD1280" w:rsidRDefault="00CD1280" w:rsidP="00CD1280">
      <w:pPr>
        <w:pStyle w:val="ListParagraph"/>
        <w:spacing w:line="259" w:lineRule="auto"/>
        <w:jc w:val="both"/>
      </w:pPr>
    </w:p>
    <w:p w14:paraId="5744590B" w14:textId="77777777" w:rsidR="00CD1280" w:rsidRDefault="00CD1280" w:rsidP="00CD1280">
      <w:pPr>
        <w:pStyle w:val="ListParagraph"/>
        <w:spacing w:line="259" w:lineRule="auto"/>
        <w:jc w:val="both"/>
      </w:pPr>
    </w:p>
    <w:p w14:paraId="2EC13C4D" w14:textId="77777777" w:rsidR="00A60940" w:rsidRDefault="00A60940" w:rsidP="00A60940">
      <w:pPr>
        <w:pStyle w:val="Heading3"/>
      </w:pPr>
      <w:bookmarkStart w:id="284" w:name="_Toc153146901"/>
      <w:bookmarkStart w:id="285" w:name="_Toc160610271"/>
      <w:bookmarkEnd w:id="280"/>
      <w:r>
        <w:t>Lot 10 : Enseignement supérieur et renforcement des compétences / WS4</w:t>
      </w:r>
      <w:bookmarkEnd w:id="284"/>
      <w:bookmarkEnd w:id="285"/>
    </w:p>
    <w:p w14:paraId="463318A9" w14:textId="77777777" w:rsidR="00A60940" w:rsidRDefault="00A60940" w:rsidP="00A60940">
      <w:pPr>
        <w:pStyle w:val="Heading4"/>
      </w:pPr>
      <w:bookmarkStart w:id="286" w:name="_Toc160610272"/>
      <w:r>
        <w:t>Niveau de formation requis</w:t>
      </w:r>
      <w:bookmarkEnd w:id="286"/>
      <w:r>
        <w:t xml:space="preserve"> </w:t>
      </w:r>
    </w:p>
    <w:p w14:paraId="3145D832" w14:textId="77777777" w:rsidR="00A60940" w:rsidRDefault="00A60940">
      <w:pPr>
        <w:pStyle w:val="ListParagraph"/>
        <w:numPr>
          <w:ilvl w:val="0"/>
          <w:numId w:val="40"/>
        </w:numPr>
        <w:spacing w:line="259" w:lineRule="auto"/>
        <w:jc w:val="both"/>
      </w:pPr>
      <w:r>
        <w:t>Master en pharmacie, biomédical, biotechnologie, sciences de la vie ou dans des domaines connexes ;</w:t>
      </w:r>
    </w:p>
    <w:p w14:paraId="5F83D6F8" w14:textId="77777777" w:rsidR="00A60940" w:rsidRDefault="00A60940">
      <w:pPr>
        <w:pStyle w:val="ListParagraph"/>
        <w:numPr>
          <w:ilvl w:val="0"/>
          <w:numId w:val="40"/>
        </w:numPr>
        <w:spacing w:line="259" w:lineRule="auto"/>
        <w:jc w:val="both"/>
      </w:pPr>
      <w:r>
        <w:lastRenderedPageBreak/>
        <w:t>diplôme de l’enseignement supérieur ou certificat professionnel pertinent / formation en matière d’éducation / conception de l’apprentissage et/ou développement des compétences.</w:t>
      </w:r>
    </w:p>
    <w:p w14:paraId="5FDADC02" w14:textId="77777777" w:rsidR="00A60940" w:rsidRDefault="00A60940" w:rsidP="00A60940">
      <w:pPr>
        <w:pStyle w:val="Heading4"/>
      </w:pPr>
      <w:bookmarkStart w:id="287" w:name="_Toc160610273"/>
      <w:r>
        <w:t>Expérience professionnelle</w:t>
      </w:r>
      <w:bookmarkEnd w:id="287"/>
      <w:r>
        <w:t xml:space="preserve"> </w:t>
      </w:r>
    </w:p>
    <w:p w14:paraId="6A37127D" w14:textId="77777777" w:rsidR="00A60940" w:rsidRDefault="00A60940">
      <w:pPr>
        <w:pStyle w:val="ListParagraph"/>
        <w:numPr>
          <w:ilvl w:val="0"/>
          <w:numId w:val="41"/>
        </w:numPr>
        <w:spacing w:line="259" w:lineRule="auto"/>
        <w:jc w:val="both"/>
      </w:pPr>
      <w:r>
        <w:t>Dix (10) ans d’expérience professionnelle pertinente, dont au minimum cinq (5) années dans le domaine de la qualité de l’apprentissage et de l’innovation dans un établissement d’enseignement de premier plan ;</w:t>
      </w:r>
    </w:p>
    <w:p w14:paraId="5DCD367A" w14:textId="77777777" w:rsidR="00A60940" w:rsidRDefault="00A60940">
      <w:pPr>
        <w:pStyle w:val="ListParagraph"/>
        <w:numPr>
          <w:ilvl w:val="0"/>
          <w:numId w:val="41"/>
        </w:numPr>
        <w:spacing w:line="259" w:lineRule="auto"/>
        <w:jc w:val="both"/>
      </w:pPr>
      <w:r>
        <w:t>expérience pertinente en matière d’élaboration de programmes d’études et de cadres de compétences, d’évaluation de l’apprentissage et des titres de compétences, de multilinguisme et de prestation de services, ainsi que d’évaluation de l’impact dans le domaine de la recherche, de l’industrie pharmaceutique et/ou des systèmes de réglementation. Une expérience pertinente en matière de transmission des connaissances dans le domaine du développement et/ou de la fabrication de produits de santé au sein d’établissements de recherche et/ou universitaires agréés pourrait également être prise en considération ;</w:t>
      </w:r>
    </w:p>
    <w:p w14:paraId="24AFC3D5" w14:textId="77777777" w:rsidR="00A60940" w:rsidRDefault="00A60940">
      <w:pPr>
        <w:pStyle w:val="ListParagraph"/>
        <w:numPr>
          <w:ilvl w:val="0"/>
          <w:numId w:val="41"/>
        </w:numPr>
        <w:spacing w:line="259" w:lineRule="auto"/>
        <w:jc w:val="both"/>
      </w:pPr>
      <w:r>
        <w:t>expérience professionnelle internationale pertinente dans des régions en développement et/ou de coopération dans des PRFM.</w:t>
      </w:r>
    </w:p>
    <w:p w14:paraId="05F8903C" w14:textId="77777777" w:rsidR="00A60940" w:rsidRDefault="00A60940" w:rsidP="00A60940">
      <w:pPr>
        <w:pStyle w:val="Heading4"/>
      </w:pPr>
      <w:bookmarkStart w:id="288" w:name="_Toc160610274"/>
      <w:r>
        <w:t>Connaissances et compétences</w:t>
      </w:r>
      <w:bookmarkEnd w:id="288"/>
    </w:p>
    <w:p w14:paraId="3C6BB41C" w14:textId="77777777" w:rsidR="00A60940" w:rsidRDefault="00A60940">
      <w:pPr>
        <w:pStyle w:val="ListParagraph"/>
        <w:numPr>
          <w:ilvl w:val="0"/>
          <w:numId w:val="42"/>
        </w:numPr>
        <w:spacing w:line="259" w:lineRule="auto"/>
        <w:jc w:val="both"/>
      </w:pPr>
      <w:r>
        <w:t>Parfaite maîtrise (orale et écrite) de l’anglais.</w:t>
      </w:r>
    </w:p>
    <w:p w14:paraId="782F3883" w14:textId="77777777" w:rsidR="00CD1280" w:rsidRDefault="00CD1280" w:rsidP="00CD1280">
      <w:pPr>
        <w:pStyle w:val="ListParagraph"/>
        <w:spacing w:line="259" w:lineRule="auto"/>
        <w:jc w:val="both"/>
      </w:pPr>
    </w:p>
    <w:p w14:paraId="67CD6F8B" w14:textId="77777777" w:rsidR="00A60940" w:rsidRDefault="00A60940" w:rsidP="00A60940">
      <w:pPr>
        <w:pStyle w:val="Heading3"/>
      </w:pPr>
      <w:bookmarkStart w:id="289" w:name="_Toc153146902"/>
      <w:bookmarkStart w:id="290" w:name="_Toc160610275"/>
      <w:r>
        <w:t>Lot 11 : Accès au financement et partenariat / WS5</w:t>
      </w:r>
      <w:bookmarkEnd w:id="289"/>
      <w:bookmarkEnd w:id="290"/>
    </w:p>
    <w:p w14:paraId="4F3D24DA" w14:textId="77777777" w:rsidR="00A60940" w:rsidRDefault="00A60940" w:rsidP="00A60940">
      <w:pPr>
        <w:pStyle w:val="Heading4"/>
      </w:pPr>
      <w:bookmarkStart w:id="291" w:name="_Toc160610276"/>
      <w:r>
        <w:t>Niveau de formation requis</w:t>
      </w:r>
      <w:bookmarkEnd w:id="291"/>
      <w:r>
        <w:t xml:space="preserve"> </w:t>
      </w:r>
    </w:p>
    <w:p w14:paraId="77BB949C" w14:textId="77777777" w:rsidR="00A60940" w:rsidRDefault="00A60940">
      <w:pPr>
        <w:pStyle w:val="ListParagraph"/>
        <w:numPr>
          <w:ilvl w:val="0"/>
          <w:numId w:val="40"/>
        </w:numPr>
        <w:spacing w:line="259" w:lineRule="auto"/>
        <w:jc w:val="both"/>
      </w:pPr>
      <w:r>
        <w:t>Master en gestion d’entreprise, sciences économiques, finances ou d’autres domaines connexes ;</w:t>
      </w:r>
    </w:p>
    <w:p w14:paraId="72412792" w14:textId="77777777" w:rsidR="00A60940" w:rsidRDefault="00A60940">
      <w:pPr>
        <w:pStyle w:val="ListParagraph"/>
        <w:numPr>
          <w:ilvl w:val="0"/>
          <w:numId w:val="40"/>
        </w:numPr>
        <w:spacing w:line="259" w:lineRule="auto"/>
        <w:jc w:val="both"/>
      </w:pPr>
      <w:r>
        <w:t>diplôme d’études supérieures en santé publique, développement international, études africaines ou dans des domaines connexes.</w:t>
      </w:r>
    </w:p>
    <w:p w14:paraId="4897F277" w14:textId="77777777" w:rsidR="00A60940" w:rsidRDefault="00A60940" w:rsidP="00A60940">
      <w:pPr>
        <w:pStyle w:val="Heading4"/>
      </w:pPr>
      <w:bookmarkStart w:id="292" w:name="_Toc160610277"/>
      <w:r>
        <w:t>Expérience professionnelle</w:t>
      </w:r>
      <w:bookmarkEnd w:id="292"/>
      <w:r>
        <w:t xml:space="preserve"> </w:t>
      </w:r>
    </w:p>
    <w:p w14:paraId="083DA4C3" w14:textId="77777777" w:rsidR="00A60940" w:rsidRDefault="00A60940">
      <w:pPr>
        <w:pStyle w:val="ListParagraph"/>
        <w:numPr>
          <w:ilvl w:val="0"/>
          <w:numId w:val="41"/>
        </w:numPr>
        <w:spacing w:line="259" w:lineRule="auto"/>
        <w:jc w:val="both"/>
      </w:pPr>
      <w:r>
        <w:t xml:space="preserve">Dix (10) ans d’expérience professionnelle pertinente en gestion financière, négociation, audit, comptabilité ou </w:t>
      </w:r>
      <w:proofErr w:type="spellStart"/>
      <w:r>
        <w:t>controlling</w:t>
      </w:r>
      <w:proofErr w:type="spellEnd"/>
      <w:r>
        <w:t>, dont au minimum cinq (5) années dans le networking, la négociation de partenariats, le financement et/ou le dialogue avec le secteur public/privé ;</w:t>
      </w:r>
    </w:p>
    <w:p w14:paraId="3FE68509" w14:textId="77777777" w:rsidR="00A60940" w:rsidRDefault="00A60940">
      <w:pPr>
        <w:pStyle w:val="ListParagraph"/>
        <w:numPr>
          <w:ilvl w:val="0"/>
          <w:numId w:val="41"/>
        </w:numPr>
        <w:spacing w:line="259" w:lineRule="auto"/>
        <w:jc w:val="both"/>
      </w:pPr>
      <w:r>
        <w:t>expérience pertinente en finances internationales dans le contexte des PRFM/pays à ressources limitées.</w:t>
      </w:r>
    </w:p>
    <w:p w14:paraId="098A8CF4" w14:textId="77777777" w:rsidR="00A60940" w:rsidRDefault="00A60940" w:rsidP="00A60940">
      <w:pPr>
        <w:pStyle w:val="Heading4"/>
      </w:pPr>
      <w:bookmarkStart w:id="293" w:name="_Toc160610278"/>
      <w:r>
        <w:t>Connaissances et compétences</w:t>
      </w:r>
      <w:bookmarkEnd w:id="293"/>
    </w:p>
    <w:p w14:paraId="74661ED1" w14:textId="0CB82DE4" w:rsidR="00A60940" w:rsidRPr="00CD1280" w:rsidRDefault="00A60940" w:rsidP="00A60940">
      <w:pPr>
        <w:pStyle w:val="ListParagraph"/>
        <w:numPr>
          <w:ilvl w:val="0"/>
          <w:numId w:val="42"/>
        </w:numPr>
        <w:spacing w:line="259" w:lineRule="auto"/>
        <w:jc w:val="both"/>
      </w:pPr>
      <w:r>
        <w:t>Parfaite maîtrise (orale et écrite) de l’anglais ;</w:t>
      </w:r>
    </w:p>
    <w:p w14:paraId="0CB9373B" w14:textId="77777777" w:rsidR="00A60940" w:rsidRDefault="00A60940">
      <w:pPr>
        <w:pStyle w:val="ListParagraph"/>
        <w:numPr>
          <w:ilvl w:val="0"/>
          <w:numId w:val="43"/>
        </w:numPr>
        <w:spacing w:line="259" w:lineRule="auto"/>
        <w:jc w:val="both"/>
      </w:pPr>
      <w:r>
        <w:t>expérience de travail en Afrique ;</w:t>
      </w:r>
    </w:p>
    <w:p w14:paraId="38889D4A" w14:textId="77777777" w:rsidR="00A60940" w:rsidRDefault="00A60940">
      <w:pPr>
        <w:pStyle w:val="ListParagraph"/>
        <w:numPr>
          <w:ilvl w:val="0"/>
          <w:numId w:val="43"/>
        </w:numPr>
        <w:spacing w:line="259" w:lineRule="auto"/>
        <w:jc w:val="both"/>
      </w:pPr>
      <w:r>
        <w:t>expérience antérieure en management ;</w:t>
      </w:r>
    </w:p>
    <w:p w14:paraId="6C06E4F7" w14:textId="77777777" w:rsidR="00A60940" w:rsidRDefault="00A60940">
      <w:pPr>
        <w:pStyle w:val="ListParagraph"/>
        <w:numPr>
          <w:ilvl w:val="0"/>
          <w:numId w:val="43"/>
        </w:numPr>
        <w:spacing w:line="259" w:lineRule="auto"/>
        <w:jc w:val="both"/>
      </w:pPr>
      <w:r>
        <w:t>formation complémentaire en finances et/ou en planification ;</w:t>
      </w:r>
    </w:p>
    <w:p w14:paraId="5F8AC3B3" w14:textId="77777777" w:rsidR="00A60940" w:rsidRDefault="00A60940">
      <w:pPr>
        <w:pStyle w:val="ListParagraph"/>
        <w:numPr>
          <w:ilvl w:val="0"/>
          <w:numId w:val="43"/>
        </w:numPr>
        <w:spacing w:line="259" w:lineRule="auto"/>
        <w:jc w:val="both"/>
      </w:pPr>
      <w:r>
        <w:t>bonne maîtrise d’une ou de plusieurs autres langues de travail de l’UA (français, arabe, portugais…).</w:t>
      </w:r>
    </w:p>
    <w:p w14:paraId="783DE4A3" w14:textId="77777777" w:rsidR="00CD1280" w:rsidRDefault="00CD1280" w:rsidP="00CD1280">
      <w:pPr>
        <w:pStyle w:val="ListParagraph"/>
        <w:spacing w:line="259" w:lineRule="auto"/>
        <w:jc w:val="both"/>
      </w:pPr>
    </w:p>
    <w:p w14:paraId="6982A07D" w14:textId="77777777" w:rsidR="00A60940" w:rsidRDefault="00A60940" w:rsidP="00A60940">
      <w:pPr>
        <w:pStyle w:val="Heading3"/>
      </w:pPr>
      <w:bookmarkStart w:id="294" w:name="_Toc153146903"/>
      <w:bookmarkStart w:id="295" w:name="_Toc160610279"/>
      <w:r>
        <w:t>Lot 12 : Industrialisation / WS6</w:t>
      </w:r>
      <w:bookmarkEnd w:id="294"/>
      <w:bookmarkEnd w:id="295"/>
    </w:p>
    <w:p w14:paraId="5353BBEB" w14:textId="77777777" w:rsidR="00A60940" w:rsidRDefault="00A60940" w:rsidP="00A60940">
      <w:pPr>
        <w:pStyle w:val="Heading4"/>
      </w:pPr>
      <w:bookmarkStart w:id="296" w:name="_Toc160610280"/>
      <w:r>
        <w:t>Niveau de formation requis</w:t>
      </w:r>
      <w:bookmarkEnd w:id="296"/>
      <w:r>
        <w:t xml:space="preserve"> </w:t>
      </w:r>
    </w:p>
    <w:p w14:paraId="4E5CFE69" w14:textId="77777777" w:rsidR="00A60940" w:rsidRDefault="00A60940">
      <w:pPr>
        <w:pStyle w:val="ListParagraph"/>
        <w:numPr>
          <w:ilvl w:val="0"/>
          <w:numId w:val="44"/>
        </w:numPr>
        <w:spacing w:line="259" w:lineRule="auto"/>
        <w:jc w:val="both"/>
      </w:pPr>
      <w:r>
        <w:t xml:space="preserve">Master en pharmacie ou dans des domaines connexes, avec une spécialisation dans l’industrie pharmaceutique ; </w:t>
      </w:r>
    </w:p>
    <w:p w14:paraId="6098EC64" w14:textId="77777777" w:rsidR="00A60940" w:rsidRDefault="00A60940">
      <w:pPr>
        <w:pStyle w:val="ListParagraph"/>
        <w:numPr>
          <w:ilvl w:val="0"/>
          <w:numId w:val="44"/>
        </w:numPr>
        <w:spacing w:line="259" w:lineRule="auto"/>
        <w:jc w:val="both"/>
        <w:rPr>
          <w:i/>
          <w:iCs/>
        </w:rPr>
      </w:pPr>
      <w:r>
        <w:lastRenderedPageBreak/>
        <w:t>parallèlement, un master en ingénierie de l’industrialisation spécialisé dans la santé publique, l’accès à des produits de santé de qualité, ou des domaines connexes ;</w:t>
      </w:r>
    </w:p>
    <w:p w14:paraId="65B1A7E5" w14:textId="77777777" w:rsidR="00A60940" w:rsidRDefault="00A60940">
      <w:pPr>
        <w:pStyle w:val="ListParagraph"/>
        <w:numPr>
          <w:ilvl w:val="0"/>
          <w:numId w:val="44"/>
        </w:numPr>
        <w:spacing w:line="259" w:lineRule="auto"/>
        <w:jc w:val="both"/>
        <w:rPr>
          <w:i/>
          <w:iCs/>
        </w:rPr>
      </w:pPr>
      <w:r>
        <w:t>master/spécialisation en gestion d’entreprise, économie ou dans des domaines connexes.</w:t>
      </w:r>
    </w:p>
    <w:p w14:paraId="6B82E7C9" w14:textId="77777777" w:rsidR="00A60940" w:rsidRDefault="00A60940" w:rsidP="00A60940">
      <w:pPr>
        <w:pStyle w:val="Heading4"/>
      </w:pPr>
      <w:bookmarkStart w:id="297" w:name="_Toc160610281"/>
      <w:r>
        <w:t>Expérience professionnelle</w:t>
      </w:r>
      <w:bookmarkEnd w:id="297"/>
      <w:r>
        <w:t xml:space="preserve"> </w:t>
      </w:r>
    </w:p>
    <w:p w14:paraId="180303EE" w14:textId="77777777" w:rsidR="00A60940" w:rsidRDefault="00A60940">
      <w:pPr>
        <w:pStyle w:val="ListParagraph"/>
        <w:numPr>
          <w:ilvl w:val="0"/>
          <w:numId w:val="41"/>
        </w:numPr>
        <w:spacing w:line="259" w:lineRule="auto"/>
        <w:jc w:val="both"/>
      </w:pPr>
      <w:r>
        <w:t>Dix (10) ans d’expérience professionnelle pertinente, dont au minimum cinq (5) années dans le domaine de la santé publique, l’industrialisation et/ou l’accès à des médicaments, vaccins ou produits de santé de qualité ;</w:t>
      </w:r>
    </w:p>
    <w:p w14:paraId="46BA8951" w14:textId="77777777" w:rsidR="00A60940" w:rsidRDefault="00A60940">
      <w:pPr>
        <w:pStyle w:val="ListParagraph"/>
        <w:numPr>
          <w:ilvl w:val="0"/>
          <w:numId w:val="41"/>
        </w:numPr>
        <w:spacing w:line="259" w:lineRule="auto"/>
        <w:jc w:val="both"/>
      </w:pPr>
      <w:r>
        <w:t xml:space="preserve">expérience dans la mise en œuvre, le renforcement des capacités et la facilitation de réseaux nationaux ou supranationaux public-privé dans le domaine de la production pharmaceutique et/ou de la </w:t>
      </w:r>
      <w:proofErr w:type="spellStart"/>
      <w:r>
        <w:t>bioproduction</w:t>
      </w:r>
      <w:proofErr w:type="spellEnd"/>
      <w:r>
        <w:t>.</w:t>
      </w:r>
    </w:p>
    <w:p w14:paraId="7D32C9AE" w14:textId="77777777" w:rsidR="00A60940" w:rsidRDefault="00A60940" w:rsidP="00A60940">
      <w:pPr>
        <w:pStyle w:val="Heading4"/>
      </w:pPr>
      <w:bookmarkStart w:id="298" w:name="_Toc160610282"/>
      <w:r>
        <w:t>Connaissances et compétences</w:t>
      </w:r>
      <w:bookmarkEnd w:id="298"/>
    </w:p>
    <w:p w14:paraId="1126E5EE" w14:textId="77777777" w:rsidR="00A60940" w:rsidRDefault="00A60940">
      <w:pPr>
        <w:pStyle w:val="ListParagraph"/>
        <w:numPr>
          <w:ilvl w:val="0"/>
          <w:numId w:val="42"/>
        </w:numPr>
        <w:spacing w:line="259" w:lineRule="auto"/>
        <w:jc w:val="both"/>
      </w:pPr>
      <w:r>
        <w:t>Parfaite maîtrise (orale et écrite) de l’anglais.</w:t>
      </w:r>
    </w:p>
    <w:p w14:paraId="37EFC450" w14:textId="77777777" w:rsidR="00CD1280" w:rsidRDefault="00CD1280" w:rsidP="00CD1280">
      <w:pPr>
        <w:pStyle w:val="ListParagraph"/>
        <w:spacing w:line="259" w:lineRule="auto"/>
        <w:jc w:val="both"/>
      </w:pPr>
    </w:p>
    <w:p w14:paraId="61A56C7C" w14:textId="77777777" w:rsidR="00A60940" w:rsidRDefault="00A60940" w:rsidP="00A60940">
      <w:pPr>
        <w:pStyle w:val="Heading3"/>
      </w:pPr>
      <w:bookmarkStart w:id="299" w:name="_Toc153146904"/>
      <w:bookmarkStart w:id="300" w:name="_Toc160610283"/>
      <w:r>
        <w:t>Lot 13 : Développement et mobilisation du secteur privé / WS6</w:t>
      </w:r>
      <w:bookmarkEnd w:id="299"/>
      <w:bookmarkEnd w:id="300"/>
    </w:p>
    <w:p w14:paraId="223FC32A" w14:textId="77777777" w:rsidR="00A60940" w:rsidRDefault="00A60940" w:rsidP="00A60940">
      <w:pPr>
        <w:pStyle w:val="Heading4"/>
      </w:pPr>
      <w:bookmarkStart w:id="301" w:name="_Toc160610284"/>
      <w:r>
        <w:t>Niveau de formation requis</w:t>
      </w:r>
      <w:bookmarkEnd w:id="301"/>
      <w:r>
        <w:t xml:space="preserve"> </w:t>
      </w:r>
    </w:p>
    <w:p w14:paraId="032EEE3D" w14:textId="77777777" w:rsidR="00A60940" w:rsidRDefault="00A60940">
      <w:pPr>
        <w:pStyle w:val="ListParagraph"/>
        <w:numPr>
          <w:ilvl w:val="0"/>
          <w:numId w:val="40"/>
        </w:numPr>
        <w:spacing w:line="259" w:lineRule="auto"/>
        <w:jc w:val="both"/>
      </w:pPr>
      <w:r>
        <w:t>Master en gestion d’entreprise, sciences politiques ou économiques, ou dans d’autres domaines connexes ;</w:t>
      </w:r>
    </w:p>
    <w:p w14:paraId="3A7654AE" w14:textId="77777777" w:rsidR="00A60940" w:rsidRDefault="00A60940">
      <w:pPr>
        <w:pStyle w:val="ListParagraph"/>
        <w:numPr>
          <w:ilvl w:val="0"/>
          <w:numId w:val="40"/>
        </w:numPr>
        <w:spacing w:line="259" w:lineRule="auto"/>
        <w:jc w:val="both"/>
      </w:pPr>
      <w:r>
        <w:t>diplôme d’études supérieures en santé publique, développement international ou dans des domaines connexes.</w:t>
      </w:r>
    </w:p>
    <w:p w14:paraId="689B6BBB" w14:textId="77777777" w:rsidR="00A60940" w:rsidRDefault="00A60940" w:rsidP="00A60940">
      <w:pPr>
        <w:pStyle w:val="Heading4"/>
      </w:pPr>
      <w:bookmarkStart w:id="302" w:name="_Toc160610285"/>
      <w:r>
        <w:t>Expérience professionnelle</w:t>
      </w:r>
      <w:bookmarkEnd w:id="302"/>
      <w:r>
        <w:t xml:space="preserve"> </w:t>
      </w:r>
    </w:p>
    <w:p w14:paraId="2D80D195" w14:textId="77777777" w:rsidR="00A60940" w:rsidRDefault="00A60940">
      <w:pPr>
        <w:pStyle w:val="ListParagraph"/>
        <w:numPr>
          <w:ilvl w:val="0"/>
          <w:numId w:val="41"/>
        </w:numPr>
        <w:spacing w:line="259" w:lineRule="auto"/>
        <w:jc w:val="both"/>
      </w:pPr>
      <w:r>
        <w:t>Dix (10) ans d’expérience professionnelle, dont au minimum cinq (5) années d’expérience de travail ou d’engagement dans le secteur privé pharmaceutique ;</w:t>
      </w:r>
    </w:p>
    <w:p w14:paraId="41F50324" w14:textId="77777777" w:rsidR="00A60940" w:rsidRDefault="00A60940">
      <w:pPr>
        <w:pStyle w:val="ListParagraph"/>
        <w:numPr>
          <w:ilvl w:val="0"/>
          <w:numId w:val="41"/>
        </w:numPr>
        <w:spacing w:line="259" w:lineRule="auto"/>
        <w:jc w:val="both"/>
      </w:pPr>
      <w:r>
        <w:t>expérience du dialogue politique de haut niveau et multisectoriel avec les autorités publiques et le secteur pharmaceutique privé dans le contexte des PRFM.</w:t>
      </w:r>
    </w:p>
    <w:p w14:paraId="6F8656E3" w14:textId="77777777" w:rsidR="00A60940" w:rsidRDefault="00A60940" w:rsidP="00A60940">
      <w:pPr>
        <w:pStyle w:val="Heading4"/>
      </w:pPr>
      <w:bookmarkStart w:id="303" w:name="_Toc160610286"/>
      <w:r>
        <w:t>Connaissances et compétences</w:t>
      </w:r>
      <w:bookmarkEnd w:id="303"/>
    </w:p>
    <w:p w14:paraId="7645EAF1" w14:textId="77777777" w:rsidR="00A60940" w:rsidRDefault="00A60940">
      <w:pPr>
        <w:pStyle w:val="ListParagraph"/>
        <w:numPr>
          <w:ilvl w:val="0"/>
          <w:numId w:val="42"/>
        </w:numPr>
        <w:spacing w:line="259" w:lineRule="auto"/>
        <w:jc w:val="both"/>
      </w:pPr>
      <w:r>
        <w:t>Parfaite maîtrise (orale et écrite) de l’anglais.</w:t>
      </w:r>
    </w:p>
    <w:p w14:paraId="4A8FB863" w14:textId="77777777" w:rsidR="00CD1280" w:rsidRDefault="00CD1280" w:rsidP="00CD1280">
      <w:pPr>
        <w:pStyle w:val="ListParagraph"/>
        <w:spacing w:line="259" w:lineRule="auto"/>
        <w:jc w:val="both"/>
      </w:pPr>
    </w:p>
    <w:p w14:paraId="11102029" w14:textId="77777777" w:rsidR="00A60940" w:rsidRDefault="00A60940" w:rsidP="00A60940">
      <w:pPr>
        <w:pStyle w:val="Heading3"/>
      </w:pPr>
      <w:bookmarkStart w:id="304" w:name="_Toc153146905"/>
      <w:bookmarkStart w:id="305" w:name="_Toc160610287"/>
      <w:r>
        <w:t>Lot 14 : Monitoring &amp; Évaluation / Transversal</w:t>
      </w:r>
      <w:bookmarkEnd w:id="304"/>
      <w:bookmarkEnd w:id="305"/>
    </w:p>
    <w:p w14:paraId="32AE8004" w14:textId="77777777" w:rsidR="00A60940" w:rsidRDefault="00A60940" w:rsidP="00A60940">
      <w:pPr>
        <w:pStyle w:val="Heading4"/>
      </w:pPr>
      <w:bookmarkStart w:id="306" w:name="_Toc160610288"/>
      <w:r>
        <w:t>Niveau de formation requis</w:t>
      </w:r>
      <w:bookmarkEnd w:id="306"/>
      <w:r>
        <w:t xml:space="preserve"> </w:t>
      </w:r>
    </w:p>
    <w:p w14:paraId="6B71D8FD" w14:textId="77777777" w:rsidR="00A60940" w:rsidRDefault="00A60940">
      <w:pPr>
        <w:pStyle w:val="ListParagraph"/>
        <w:numPr>
          <w:ilvl w:val="0"/>
          <w:numId w:val="40"/>
        </w:numPr>
        <w:spacing w:line="259" w:lineRule="auto"/>
        <w:jc w:val="both"/>
      </w:pPr>
      <w:r>
        <w:t>Master en sciences de la vie ou dans des domaines connexes (de préférence en pharmacie) ;</w:t>
      </w:r>
    </w:p>
    <w:p w14:paraId="099E6351" w14:textId="77777777" w:rsidR="00A60940" w:rsidRDefault="00A60940">
      <w:pPr>
        <w:pStyle w:val="ListParagraph"/>
        <w:numPr>
          <w:ilvl w:val="0"/>
          <w:numId w:val="40"/>
        </w:numPr>
        <w:spacing w:line="259" w:lineRule="auto"/>
        <w:jc w:val="both"/>
      </w:pPr>
      <w:r>
        <w:t>master ou certificats/formations professionnels pertinents en projet de développement/gestion d’entreprise, M&amp;E, épidémiologie ou biostatistiques.</w:t>
      </w:r>
    </w:p>
    <w:p w14:paraId="1C54C237" w14:textId="77777777" w:rsidR="00A60940" w:rsidRDefault="00A60940" w:rsidP="00A60940">
      <w:pPr>
        <w:pStyle w:val="Heading4"/>
      </w:pPr>
      <w:bookmarkStart w:id="307" w:name="_Toc160610289"/>
      <w:r>
        <w:t>Expérience professionnelle</w:t>
      </w:r>
      <w:bookmarkEnd w:id="307"/>
      <w:r>
        <w:t xml:space="preserve"> </w:t>
      </w:r>
    </w:p>
    <w:p w14:paraId="7AAB7CC3" w14:textId="77777777" w:rsidR="00A60940" w:rsidRDefault="00A60940">
      <w:pPr>
        <w:pStyle w:val="ListParagraph"/>
        <w:numPr>
          <w:ilvl w:val="0"/>
          <w:numId w:val="41"/>
        </w:numPr>
        <w:spacing w:line="259" w:lineRule="auto"/>
        <w:jc w:val="both"/>
      </w:pPr>
      <w:r>
        <w:t>Dix (10) ans d’expérience professionnelle pertinente, dont au minimum cinq (5) années en gestion et/ou monitoring &amp; évaluation de projets de santé publique ;</w:t>
      </w:r>
    </w:p>
    <w:p w14:paraId="1FDE3B4E" w14:textId="77777777" w:rsidR="00A60940" w:rsidRDefault="00A60940">
      <w:pPr>
        <w:pStyle w:val="ListParagraph"/>
        <w:numPr>
          <w:ilvl w:val="0"/>
          <w:numId w:val="41"/>
        </w:numPr>
        <w:spacing w:line="259" w:lineRule="auto"/>
        <w:jc w:val="both"/>
      </w:pPr>
      <w:r>
        <w:t>expérience professionnelle pertinente dans des projets de développement financés par des donateurs internationaux/multilatéraux dans le contexte des PRFM ;</w:t>
      </w:r>
    </w:p>
    <w:p w14:paraId="2B95D98F" w14:textId="77777777" w:rsidR="00A60940" w:rsidRDefault="00A60940">
      <w:pPr>
        <w:pStyle w:val="ListParagraph"/>
        <w:numPr>
          <w:ilvl w:val="0"/>
          <w:numId w:val="41"/>
        </w:numPr>
        <w:spacing w:line="259" w:lineRule="auto"/>
        <w:jc w:val="both"/>
      </w:pPr>
      <w:r>
        <w:t>expérience de travail et/ou collaboration avec des acteurs et parties prenantes du développement actifs dans des pays africains (y compris des ministères de tutelle, des programmes, de partenaires de mise en œuvre, des donateurs, des bénéficiaires, des ONG et/ou des acteurs de la société civile) ;</w:t>
      </w:r>
    </w:p>
    <w:p w14:paraId="2EC7FB99" w14:textId="77777777" w:rsidR="00A60940" w:rsidRDefault="00A60940">
      <w:pPr>
        <w:pStyle w:val="ListParagraph"/>
        <w:numPr>
          <w:ilvl w:val="0"/>
          <w:numId w:val="41"/>
        </w:numPr>
        <w:spacing w:line="259" w:lineRule="auto"/>
        <w:jc w:val="both"/>
      </w:pPr>
      <w:r>
        <w:t>autre expérience spécifique en fonction de l’appui requis.</w:t>
      </w:r>
    </w:p>
    <w:p w14:paraId="490BDC59" w14:textId="77777777" w:rsidR="00A60940" w:rsidRDefault="00A60940" w:rsidP="00A60940">
      <w:pPr>
        <w:pStyle w:val="Heading4"/>
      </w:pPr>
      <w:bookmarkStart w:id="308" w:name="_Toc160610290"/>
      <w:r>
        <w:lastRenderedPageBreak/>
        <w:t>Connaissances et compétences</w:t>
      </w:r>
      <w:bookmarkEnd w:id="308"/>
    </w:p>
    <w:p w14:paraId="146B1C8F" w14:textId="5E46B06C" w:rsidR="00A60940" w:rsidRPr="009332B3" w:rsidRDefault="00A60940" w:rsidP="00A22675">
      <w:pPr>
        <w:pStyle w:val="ListParagraph"/>
        <w:numPr>
          <w:ilvl w:val="0"/>
          <w:numId w:val="42"/>
        </w:numPr>
        <w:spacing w:line="259" w:lineRule="auto"/>
        <w:jc w:val="both"/>
        <w:rPr>
          <w:b/>
          <w:bCs/>
          <w:sz w:val="24"/>
          <w:szCs w:val="24"/>
          <w:u w:val="single"/>
        </w:rPr>
      </w:pPr>
      <w:r>
        <w:t>Parfaite maîtrise (orale et écrite) de l’anglais.</w:t>
      </w:r>
    </w:p>
    <w:p w14:paraId="631AD4D4" w14:textId="77777777" w:rsidR="007C582C" w:rsidRPr="009332B3" w:rsidRDefault="007C582C" w:rsidP="009332B3">
      <w:pPr>
        <w:pStyle w:val="ListParagraph"/>
        <w:spacing w:line="259" w:lineRule="auto"/>
        <w:jc w:val="both"/>
        <w:rPr>
          <w:b/>
          <w:bCs/>
          <w:sz w:val="24"/>
          <w:szCs w:val="24"/>
          <w:u w:val="single"/>
        </w:rPr>
      </w:pPr>
    </w:p>
    <w:p w14:paraId="6C33664C" w14:textId="77777777" w:rsidR="00A60940" w:rsidRDefault="00A60940" w:rsidP="00A60940">
      <w:pPr>
        <w:pStyle w:val="Heading3"/>
      </w:pPr>
      <w:bookmarkStart w:id="309" w:name="_Toc153146906"/>
      <w:bookmarkStart w:id="310" w:name="_Toc160610291"/>
      <w:r>
        <w:t>Lot 15 : Soutien managérial, institutionnel et auxiliaire / Transversal</w:t>
      </w:r>
      <w:bookmarkEnd w:id="309"/>
      <w:bookmarkEnd w:id="310"/>
    </w:p>
    <w:p w14:paraId="0AE87556" w14:textId="77777777" w:rsidR="00A60940" w:rsidRDefault="00A60940" w:rsidP="00A60940">
      <w:pPr>
        <w:pStyle w:val="Heading4"/>
      </w:pPr>
      <w:bookmarkStart w:id="311" w:name="_Hlk153140418"/>
      <w:bookmarkStart w:id="312" w:name="_Toc160610292"/>
      <w:r>
        <w:t>Niveau de formation requis</w:t>
      </w:r>
      <w:bookmarkEnd w:id="312"/>
      <w:r>
        <w:t xml:space="preserve"> </w:t>
      </w:r>
    </w:p>
    <w:p w14:paraId="12EA244F" w14:textId="77777777" w:rsidR="00A60940" w:rsidRDefault="00A60940">
      <w:pPr>
        <w:pStyle w:val="ListParagraph"/>
        <w:numPr>
          <w:ilvl w:val="0"/>
          <w:numId w:val="40"/>
        </w:numPr>
        <w:spacing w:line="259" w:lineRule="auto"/>
        <w:jc w:val="both"/>
      </w:pPr>
      <w:r>
        <w:t>Master en gestion d’entreprise, économie, administration publique, développement organisationnel ou dans des domaines connexes, avec une spécialisation en santé/organisation/gestion de projets, leadership, audit organisationnel &amp; fonctionnel et/ou dynamique de marché ;</w:t>
      </w:r>
    </w:p>
    <w:p w14:paraId="3B7FA9CA" w14:textId="77777777" w:rsidR="00A60940" w:rsidRDefault="00A60940">
      <w:pPr>
        <w:pStyle w:val="ListParagraph"/>
        <w:numPr>
          <w:ilvl w:val="0"/>
          <w:numId w:val="40"/>
        </w:numPr>
        <w:spacing w:line="259" w:lineRule="auto"/>
        <w:jc w:val="both"/>
      </w:pPr>
      <w:r>
        <w:t>parallèlement, un bachelier dans les domaines précités sera accepté s’il est assorti d’une expérience supplémentaire de trois (3) années dans les domaines connexes.</w:t>
      </w:r>
    </w:p>
    <w:p w14:paraId="2BA181FA" w14:textId="77777777" w:rsidR="00A60940" w:rsidRDefault="00A60940" w:rsidP="00A60940">
      <w:pPr>
        <w:pStyle w:val="Heading4"/>
      </w:pPr>
      <w:bookmarkStart w:id="313" w:name="_Toc160610293"/>
      <w:r>
        <w:t>Expérience professionnelle</w:t>
      </w:r>
      <w:bookmarkEnd w:id="313"/>
      <w:r>
        <w:t xml:space="preserve"> </w:t>
      </w:r>
    </w:p>
    <w:p w14:paraId="6E041442" w14:textId="77777777" w:rsidR="00A60940" w:rsidRDefault="00A60940">
      <w:pPr>
        <w:pStyle w:val="ListParagraph"/>
        <w:numPr>
          <w:ilvl w:val="0"/>
          <w:numId w:val="41"/>
        </w:numPr>
        <w:spacing w:line="259" w:lineRule="auto"/>
        <w:jc w:val="both"/>
      </w:pPr>
      <w:r>
        <w:t xml:space="preserve">Dix (10) ans d’expérience professionnelle pertinente, dont au minimum cinq (5) années en administration/ organisation du soutien managérial et/ou institutionnel ; </w:t>
      </w:r>
    </w:p>
    <w:p w14:paraId="2D8A09E9" w14:textId="77777777" w:rsidR="00A60940" w:rsidRDefault="00A60940">
      <w:pPr>
        <w:pStyle w:val="ListParagraph"/>
        <w:numPr>
          <w:ilvl w:val="0"/>
          <w:numId w:val="41"/>
        </w:numPr>
        <w:spacing w:line="259" w:lineRule="auto"/>
        <w:jc w:val="both"/>
      </w:pPr>
      <w:r>
        <w:t>expérience pertinente en gestion, évaluation et/ou renforcement des capacités RH dans les administrations publiques ;</w:t>
      </w:r>
    </w:p>
    <w:p w14:paraId="23AAF2B5" w14:textId="77777777" w:rsidR="00A60940" w:rsidRDefault="00A60940">
      <w:pPr>
        <w:pStyle w:val="ListParagraph"/>
        <w:numPr>
          <w:ilvl w:val="0"/>
          <w:numId w:val="41"/>
        </w:numPr>
        <w:spacing w:line="259" w:lineRule="auto"/>
        <w:jc w:val="both"/>
      </w:pPr>
      <w:r>
        <w:t>expérience spécifique dans des pays africains de la tenue d’audits organisationnels et/ou fonctionnels ou du soutien des réformes des administrations publiques dans le secteur de la santé ;</w:t>
      </w:r>
    </w:p>
    <w:p w14:paraId="702DD308" w14:textId="77777777" w:rsidR="00A60940" w:rsidRDefault="00A60940">
      <w:pPr>
        <w:pStyle w:val="ListParagraph"/>
        <w:numPr>
          <w:ilvl w:val="0"/>
          <w:numId w:val="41"/>
        </w:numPr>
        <w:spacing w:line="259" w:lineRule="auto"/>
        <w:jc w:val="both"/>
      </w:pPr>
      <w:r>
        <w:t>autre expérience spécifique en fonction de l’appui requis.</w:t>
      </w:r>
    </w:p>
    <w:p w14:paraId="2905CC79" w14:textId="77777777" w:rsidR="00A60940" w:rsidRDefault="00A60940" w:rsidP="00A60940">
      <w:pPr>
        <w:pStyle w:val="Heading4"/>
      </w:pPr>
      <w:bookmarkStart w:id="314" w:name="_Toc160610294"/>
      <w:r>
        <w:t>Connaissances et compétences</w:t>
      </w:r>
      <w:bookmarkEnd w:id="314"/>
    </w:p>
    <w:p w14:paraId="080CD9AF" w14:textId="77777777" w:rsidR="00A60940" w:rsidRDefault="00A60940">
      <w:pPr>
        <w:pStyle w:val="ListParagraph"/>
        <w:numPr>
          <w:ilvl w:val="0"/>
          <w:numId w:val="42"/>
        </w:numPr>
        <w:spacing w:line="259" w:lineRule="auto"/>
        <w:jc w:val="both"/>
      </w:pPr>
      <w:r>
        <w:t>Parfaite maîtrise (orale et écrite) de l’anglais.</w:t>
      </w:r>
    </w:p>
    <w:bookmarkEnd w:id="176"/>
    <w:bookmarkEnd w:id="311"/>
    <w:p w14:paraId="2219471F" w14:textId="09750246" w:rsidR="005369D6" w:rsidRPr="00A60940" w:rsidRDefault="005369D6">
      <w:pPr>
        <w:spacing w:line="259" w:lineRule="auto"/>
        <w:rPr>
          <w:sz w:val="20"/>
          <w:szCs w:val="20"/>
        </w:rPr>
      </w:pPr>
      <w:r>
        <w:br w:type="page"/>
      </w:r>
    </w:p>
    <w:p w14:paraId="6D304422" w14:textId="3B6CF067" w:rsidR="009E5254" w:rsidRDefault="009E5254" w:rsidP="009E5254">
      <w:pPr>
        <w:pStyle w:val="Heading1"/>
      </w:pPr>
      <w:bookmarkStart w:id="315" w:name="_Toc160610295"/>
      <w:r>
        <w:lastRenderedPageBreak/>
        <w:t>Formulaires</w:t>
      </w:r>
      <w:bookmarkEnd w:id="315"/>
    </w:p>
    <w:p w14:paraId="6D304423" w14:textId="77777777" w:rsidR="009E5254" w:rsidRDefault="009E5254" w:rsidP="009E5254">
      <w:pPr>
        <w:pStyle w:val="Heading2"/>
      </w:pPr>
      <w:bookmarkStart w:id="316" w:name="_Toc160610296"/>
      <w:r>
        <w:t>Identification du soumissionnaire</w:t>
      </w:r>
      <w:bookmarkEnd w:id="316"/>
    </w:p>
    <w:tbl>
      <w:tblPr>
        <w:tblStyle w:val="TableGrid"/>
        <w:tblW w:w="0" w:type="auto"/>
        <w:tblLook w:val="04A0" w:firstRow="1" w:lastRow="0" w:firstColumn="1" w:lastColumn="0" w:noHBand="0" w:noVBand="1"/>
      </w:tblPr>
      <w:tblGrid>
        <w:gridCol w:w="4174"/>
        <w:gridCol w:w="4320"/>
      </w:tblGrid>
      <w:tr w:rsidR="009E5254" w:rsidRPr="009E5254" w14:paraId="6D304426" w14:textId="77777777" w:rsidTr="00F05043">
        <w:trPr>
          <w:trHeight w:val="1107"/>
        </w:trPr>
        <w:tc>
          <w:tcPr>
            <w:tcW w:w="4219" w:type="dxa"/>
            <w:vAlign w:val="center"/>
          </w:tcPr>
          <w:p w14:paraId="6D304424" w14:textId="77777777" w:rsidR="009E5254" w:rsidRPr="0061487E" w:rsidRDefault="009E5254" w:rsidP="00F05043">
            <w:pPr>
              <w:rPr>
                <w:sz w:val="20"/>
                <w:szCs w:val="20"/>
              </w:rPr>
            </w:pPr>
            <w:r>
              <w:rPr>
                <w:sz w:val="20"/>
              </w:rPr>
              <w:t>Nom et prénom du soumissionnaire ou dénomination de la société et forme juridique</w:t>
            </w:r>
          </w:p>
        </w:tc>
        <w:tc>
          <w:tcPr>
            <w:tcW w:w="4394" w:type="dxa"/>
            <w:vAlign w:val="center"/>
          </w:tcPr>
          <w:p w14:paraId="6D304425" w14:textId="77777777" w:rsidR="009E5254" w:rsidRPr="009E5254" w:rsidRDefault="009E5254" w:rsidP="00F05043"/>
        </w:tc>
      </w:tr>
      <w:tr w:rsidR="009E5254" w:rsidRPr="009E5254" w14:paraId="6D304429" w14:textId="77777777" w:rsidTr="00F05043">
        <w:trPr>
          <w:trHeight w:val="838"/>
        </w:trPr>
        <w:tc>
          <w:tcPr>
            <w:tcW w:w="4219" w:type="dxa"/>
            <w:vAlign w:val="center"/>
          </w:tcPr>
          <w:p w14:paraId="6D304427" w14:textId="77777777" w:rsidR="009E5254" w:rsidRPr="0061487E" w:rsidRDefault="009E5254" w:rsidP="00F05043">
            <w:pPr>
              <w:rPr>
                <w:sz w:val="20"/>
                <w:szCs w:val="20"/>
              </w:rPr>
            </w:pPr>
            <w:r>
              <w:rPr>
                <w:sz w:val="20"/>
              </w:rPr>
              <w:t>Nationalité du soumissionnaire et du personnel (en cas de différence)</w:t>
            </w:r>
          </w:p>
        </w:tc>
        <w:tc>
          <w:tcPr>
            <w:tcW w:w="4394" w:type="dxa"/>
            <w:vAlign w:val="center"/>
          </w:tcPr>
          <w:p w14:paraId="6D304428" w14:textId="77777777" w:rsidR="009E5254" w:rsidRPr="009E5254" w:rsidRDefault="009E5254" w:rsidP="00F05043"/>
        </w:tc>
      </w:tr>
      <w:tr w:rsidR="009E5254" w:rsidRPr="009E5254" w14:paraId="6D30442C" w14:textId="77777777" w:rsidTr="00F05043">
        <w:trPr>
          <w:trHeight w:val="552"/>
        </w:trPr>
        <w:tc>
          <w:tcPr>
            <w:tcW w:w="4219" w:type="dxa"/>
            <w:vAlign w:val="center"/>
          </w:tcPr>
          <w:p w14:paraId="6D30442A" w14:textId="77777777" w:rsidR="009E5254" w:rsidRPr="0061487E" w:rsidRDefault="00F05043" w:rsidP="00F05043">
            <w:pPr>
              <w:rPr>
                <w:sz w:val="20"/>
                <w:szCs w:val="20"/>
              </w:rPr>
            </w:pPr>
            <w:r>
              <w:rPr>
                <w:sz w:val="20"/>
              </w:rPr>
              <w:t>Domicile / Siège social</w:t>
            </w:r>
          </w:p>
        </w:tc>
        <w:tc>
          <w:tcPr>
            <w:tcW w:w="4394" w:type="dxa"/>
            <w:vAlign w:val="center"/>
          </w:tcPr>
          <w:p w14:paraId="6D30442B" w14:textId="77777777" w:rsidR="009E5254" w:rsidRPr="009E5254" w:rsidRDefault="009E5254" w:rsidP="00F05043"/>
        </w:tc>
      </w:tr>
      <w:tr w:rsidR="009E5254" w:rsidRPr="009E5254" w14:paraId="6D30442F" w14:textId="77777777" w:rsidTr="00F05043">
        <w:trPr>
          <w:trHeight w:val="574"/>
        </w:trPr>
        <w:tc>
          <w:tcPr>
            <w:tcW w:w="4219" w:type="dxa"/>
            <w:vAlign w:val="center"/>
          </w:tcPr>
          <w:p w14:paraId="6D30442D" w14:textId="7C49A2EB" w:rsidR="009E5254" w:rsidRPr="0061487E" w:rsidRDefault="009E5254" w:rsidP="00F05043">
            <w:pPr>
              <w:rPr>
                <w:sz w:val="20"/>
                <w:szCs w:val="20"/>
              </w:rPr>
            </w:pPr>
            <w:r>
              <w:rPr>
                <w:sz w:val="20"/>
              </w:rPr>
              <w:t>Numéro de téléphone</w:t>
            </w:r>
          </w:p>
        </w:tc>
        <w:tc>
          <w:tcPr>
            <w:tcW w:w="4394" w:type="dxa"/>
            <w:vAlign w:val="center"/>
          </w:tcPr>
          <w:p w14:paraId="6D30442E" w14:textId="77777777" w:rsidR="009E5254" w:rsidRPr="009E5254" w:rsidRDefault="009E5254" w:rsidP="00F05043"/>
        </w:tc>
      </w:tr>
      <w:tr w:rsidR="009E5254" w:rsidRPr="009E5254" w14:paraId="6D304432" w14:textId="77777777" w:rsidTr="00F05043">
        <w:trPr>
          <w:trHeight w:val="555"/>
        </w:trPr>
        <w:tc>
          <w:tcPr>
            <w:tcW w:w="4219" w:type="dxa"/>
            <w:vAlign w:val="center"/>
          </w:tcPr>
          <w:p w14:paraId="6D304430" w14:textId="77777777" w:rsidR="009E5254" w:rsidRPr="0061487E" w:rsidRDefault="009E5254" w:rsidP="00F05043">
            <w:pPr>
              <w:rPr>
                <w:sz w:val="20"/>
                <w:szCs w:val="20"/>
              </w:rPr>
            </w:pPr>
            <w:r>
              <w:rPr>
                <w:sz w:val="20"/>
              </w:rPr>
              <w:t>Numéro d’inscription ONSS ou équivalent</w:t>
            </w:r>
          </w:p>
        </w:tc>
        <w:tc>
          <w:tcPr>
            <w:tcW w:w="4394" w:type="dxa"/>
            <w:vAlign w:val="center"/>
          </w:tcPr>
          <w:p w14:paraId="6D304431" w14:textId="77777777" w:rsidR="009E5254" w:rsidRPr="009E5254" w:rsidRDefault="009E5254" w:rsidP="00F05043"/>
        </w:tc>
      </w:tr>
      <w:tr w:rsidR="009E5254" w:rsidRPr="009E5254" w14:paraId="6D304435" w14:textId="77777777" w:rsidTr="00F05043">
        <w:trPr>
          <w:trHeight w:val="549"/>
        </w:trPr>
        <w:tc>
          <w:tcPr>
            <w:tcW w:w="4219" w:type="dxa"/>
            <w:vAlign w:val="center"/>
          </w:tcPr>
          <w:p w14:paraId="6D304433" w14:textId="77777777" w:rsidR="009E5254" w:rsidRPr="0061487E" w:rsidRDefault="009E5254" w:rsidP="00F05043">
            <w:pPr>
              <w:rPr>
                <w:sz w:val="20"/>
                <w:szCs w:val="20"/>
              </w:rPr>
            </w:pPr>
            <w:r>
              <w:rPr>
                <w:sz w:val="20"/>
              </w:rPr>
              <w:t xml:space="preserve">Numéro d’entreprise </w:t>
            </w:r>
          </w:p>
        </w:tc>
        <w:tc>
          <w:tcPr>
            <w:tcW w:w="4394" w:type="dxa"/>
            <w:vAlign w:val="center"/>
          </w:tcPr>
          <w:p w14:paraId="6D304434" w14:textId="77777777" w:rsidR="009E5254" w:rsidRPr="009E5254" w:rsidRDefault="009E5254" w:rsidP="00F05043"/>
        </w:tc>
      </w:tr>
      <w:tr w:rsidR="009E5254" w:rsidRPr="009E5254" w14:paraId="6D304439" w14:textId="77777777" w:rsidTr="00F05043">
        <w:trPr>
          <w:trHeight w:val="840"/>
        </w:trPr>
        <w:tc>
          <w:tcPr>
            <w:tcW w:w="4219" w:type="dxa"/>
            <w:vAlign w:val="center"/>
          </w:tcPr>
          <w:p w14:paraId="6D304436" w14:textId="77777777" w:rsidR="009E5254" w:rsidRPr="0061487E" w:rsidRDefault="009E5254" w:rsidP="00F05043">
            <w:pPr>
              <w:rPr>
                <w:sz w:val="20"/>
                <w:szCs w:val="20"/>
              </w:rPr>
            </w:pPr>
            <w:r>
              <w:rPr>
                <w:sz w:val="20"/>
              </w:rPr>
              <w:t>Représenté(e) par le(s) soussigné(s) (*)</w:t>
            </w:r>
          </w:p>
          <w:p w14:paraId="6D304437" w14:textId="77777777" w:rsidR="009E5254" w:rsidRPr="0061487E" w:rsidRDefault="009E5254" w:rsidP="00F05043">
            <w:pPr>
              <w:rPr>
                <w:sz w:val="20"/>
                <w:szCs w:val="20"/>
              </w:rPr>
            </w:pPr>
            <w:r>
              <w:rPr>
                <w:sz w:val="20"/>
              </w:rPr>
              <w:t>(Nom, prénom et qualité)</w:t>
            </w:r>
          </w:p>
        </w:tc>
        <w:tc>
          <w:tcPr>
            <w:tcW w:w="4394" w:type="dxa"/>
            <w:vAlign w:val="center"/>
          </w:tcPr>
          <w:p w14:paraId="6D304438" w14:textId="77777777" w:rsidR="009E5254" w:rsidRPr="009E5254" w:rsidRDefault="009E5254" w:rsidP="00F05043"/>
        </w:tc>
      </w:tr>
      <w:tr w:rsidR="009E5254" w:rsidRPr="009E5254" w14:paraId="6D30443C" w14:textId="77777777" w:rsidTr="00F05043">
        <w:trPr>
          <w:trHeight w:val="1122"/>
        </w:trPr>
        <w:tc>
          <w:tcPr>
            <w:tcW w:w="4219" w:type="dxa"/>
            <w:vAlign w:val="center"/>
          </w:tcPr>
          <w:p w14:paraId="6D30443A" w14:textId="1BB2915D" w:rsidR="00F05043" w:rsidRPr="0061487E" w:rsidRDefault="009E5254" w:rsidP="00F05043">
            <w:pPr>
              <w:rPr>
                <w:sz w:val="20"/>
                <w:szCs w:val="20"/>
              </w:rPr>
            </w:pPr>
            <w:r>
              <w:rPr>
                <w:sz w:val="20"/>
              </w:rPr>
              <w:t>Personne de contact (numéro de téléphone, éventuellement adresse courriel)</w:t>
            </w:r>
          </w:p>
        </w:tc>
        <w:tc>
          <w:tcPr>
            <w:tcW w:w="4394" w:type="dxa"/>
            <w:vAlign w:val="center"/>
          </w:tcPr>
          <w:p w14:paraId="6D30443B" w14:textId="77777777" w:rsidR="009E5254" w:rsidRPr="009E5254" w:rsidRDefault="009E5254" w:rsidP="00F05043"/>
        </w:tc>
      </w:tr>
      <w:tr w:rsidR="009E5254" w:rsidRPr="009E5254" w14:paraId="6D30443F" w14:textId="77777777" w:rsidTr="00F05043">
        <w:trPr>
          <w:trHeight w:val="1124"/>
        </w:trPr>
        <w:tc>
          <w:tcPr>
            <w:tcW w:w="4219" w:type="dxa"/>
            <w:vAlign w:val="center"/>
          </w:tcPr>
          <w:p w14:paraId="6D30443D" w14:textId="27EEB73D" w:rsidR="00F05043" w:rsidRPr="0061487E" w:rsidRDefault="009E5254" w:rsidP="00BE4D25">
            <w:pPr>
              <w:rPr>
                <w:sz w:val="20"/>
                <w:szCs w:val="20"/>
              </w:rPr>
            </w:pPr>
            <w:r>
              <w:rPr>
                <w:sz w:val="20"/>
              </w:rPr>
              <w:t>En cas de différence : Chef de projet (numéro de téléphone, courriel)</w:t>
            </w:r>
          </w:p>
        </w:tc>
        <w:tc>
          <w:tcPr>
            <w:tcW w:w="4394" w:type="dxa"/>
            <w:vAlign w:val="center"/>
          </w:tcPr>
          <w:p w14:paraId="6D30443E" w14:textId="77777777" w:rsidR="009E5254" w:rsidRPr="009E5254" w:rsidRDefault="009E5254" w:rsidP="00F05043"/>
        </w:tc>
      </w:tr>
      <w:tr w:rsidR="009E5254" w:rsidRPr="009E5254" w14:paraId="6D304444" w14:textId="77777777" w:rsidTr="00F05043">
        <w:trPr>
          <w:trHeight w:val="1140"/>
        </w:trPr>
        <w:tc>
          <w:tcPr>
            <w:tcW w:w="4219" w:type="dxa"/>
            <w:vAlign w:val="center"/>
          </w:tcPr>
          <w:p w14:paraId="6D304440" w14:textId="77777777" w:rsidR="009E5254" w:rsidRPr="0061487E" w:rsidRDefault="009E5254" w:rsidP="00F05043">
            <w:pPr>
              <w:rPr>
                <w:sz w:val="20"/>
                <w:szCs w:val="20"/>
              </w:rPr>
            </w:pPr>
            <w:r>
              <w:rPr>
                <w:sz w:val="20"/>
              </w:rPr>
              <w:t>Numéro de compte pour les paiements</w:t>
            </w:r>
          </w:p>
          <w:p w14:paraId="6D304441" w14:textId="77777777" w:rsidR="00F05043" w:rsidRPr="0061487E" w:rsidRDefault="00F05043" w:rsidP="00F05043">
            <w:pPr>
              <w:rPr>
                <w:sz w:val="20"/>
                <w:szCs w:val="20"/>
              </w:rPr>
            </w:pPr>
            <w:r>
              <w:rPr>
                <w:sz w:val="20"/>
              </w:rPr>
              <w:t>Institution financière</w:t>
            </w:r>
          </w:p>
          <w:p w14:paraId="6D304442" w14:textId="77777777" w:rsidR="00F05043" w:rsidRPr="0061487E" w:rsidRDefault="00F05043" w:rsidP="00F05043">
            <w:pPr>
              <w:rPr>
                <w:sz w:val="20"/>
                <w:szCs w:val="20"/>
              </w:rPr>
            </w:pPr>
            <w:r>
              <w:rPr>
                <w:sz w:val="20"/>
              </w:rPr>
              <w:t>Ouvert au nom de</w:t>
            </w:r>
          </w:p>
        </w:tc>
        <w:tc>
          <w:tcPr>
            <w:tcW w:w="4394" w:type="dxa"/>
            <w:vAlign w:val="center"/>
          </w:tcPr>
          <w:p w14:paraId="6D304443" w14:textId="77777777" w:rsidR="009E5254" w:rsidRPr="009E5254" w:rsidRDefault="009E5254" w:rsidP="00F05043"/>
        </w:tc>
      </w:tr>
    </w:tbl>
    <w:p w14:paraId="6D304445" w14:textId="49951BD5" w:rsidR="009E5254" w:rsidRDefault="009E5254" w:rsidP="009E5254"/>
    <w:p w14:paraId="7859938A" w14:textId="77777777" w:rsidR="00CA4A3D" w:rsidRDefault="00CA4A3D" w:rsidP="009E5254"/>
    <w:p w14:paraId="6D304446" w14:textId="0D5FA9EC" w:rsidR="009E5254" w:rsidRPr="0061487E" w:rsidRDefault="009E5254" w:rsidP="009E5254">
      <w:pPr>
        <w:ind w:left="709" w:hanging="709"/>
        <w:rPr>
          <w:sz w:val="20"/>
          <w:szCs w:val="20"/>
        </w:rPr>
      </w:pPr>
      <w:r>
        <w:t>(*)</w:t>
      </w:r>
      <w:r>
        <w:tab/>
        <w:t>Le soumissionnaire doit inclure à son offre la preuve que la/les partie(s) signataire(s) de l’offre est/sont mandatée(s) pour ce faire.</w:t>
      </w:r>
      <w:r>
        <w:rPr>
          <w:sz w:val="20"/>
        </w:rPr>
        <w:t xml:space="preserve"> Est considéré comme preuve : un document officiel (statuts, déclaration devant notaire, etc.) certifiant que le/la signataire est habilité(e) pour ce faire au nom et pour le compte de l’entité/l’entreprise commune/le consortium.</w:t>
      </w:r>
    </w:p>
    <w:p w14:paraId="6D304447" w14:textId="73243A49" w:rsidR="00CA4A3D" w:rsidRDefault="00CA4A3D">
      <w:pPr>
        <w:spacing w:line="259" w:lineRule="auto"/>
      </w:pPr>
      <w:r>
        <w:br w:type="page"/>
      </w:r>
    </w:p>
    <w:p w14:paraId="4FDCF622" w14:textId="77777777" w:rsidR="009E5254" w:rsidRDefault="009E5254" w:rsidP="009E5254"/>
    <w:p w14:paraId="67FD8E3F" w14:textId="7540B0C2" w:rsidR="00CA4A3D" w:rsidRPr="0049660B" w:rsidRDefault="00CA4A3D" w:rsidP="00CA4A3D">
      <w:pPr>
        <w:pStyle w:val="BTCtextCTB"/>
        <w:rPr>
          <w:b/>
          <w:bCs/>
        </w:rPr>
      </w:pPr>
      <w:bookmarkStart w:id="317" w:name="_Toc373855884"/>
      <w:r>
        <w:rPr>
          <w:b/>
        </w:rPr>
        <w:t>Personne de contact unique lors de l’exécution du marché</w:t>
      </w:r>
      <w:bookmarkEnd w:id="3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49660B" w14:paraId="347F7747"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546EB72" w14:textId="77777777" w:rsidR="00CA4A3D" w:rsidRPr="0049660B" w:rsidRDefault="00CA4A3D" w:rsidP="007B2D80">
            <w:pPr>
              <w:pStyle w:val="BTCtextCTB"/>
            </w:pPr>
            <w:r>
              <w:t>Nom, prénom :</w:t>
            </w:r>
          </w:p>
        </w:tc>
        <w:tc>
          <w:tcPr>
            <w:tcW w:w="6352" w:type="dxa"/>
            <w:tcBorders>
              <w:top w:val="single" w:sz="4" w:space="0" w:color="auto"/>
              <w:left w:val="single" w:sz="4" w:space="0" w:color="auto"/>
              <w:bottom w:val="single" w:sz="4" w:space="0" w:color="auto"/>
              <w:right w:val="single" w:sz="4" w:space="0" w:color="auto"/>
            </w:tcBorders>
            <w:vAlign w:val="center"/>
          </w:tcPr>
          <w:p w14:paraId="0CC31EC1" w14:textId="77777777" w:rsidR="00CA4A3D" w:rsidRPr="0049660B" w:rsidRDefault="00CA4A3D" w:rsidP="007B2D80">
            <w:pPr>
              <w:pStyle w:val="BTCtextCTB"/>
            </w:pPr>
          </w:p>
        </w:tc>
      </w:tr>
      <w:tr w:rsidR="00CA4A3D" w:rsidRPr="0049660B" w14:paraId="368DF8D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90FBC3B" w14:textId="77777777" w:rsidR="00CA4A3D" w:rsidRPr="0049660B" w:rsidRDefault="00CA4A3D" w:rsidP="007B2D80">
            <w:pPr>
              <w:pStyle w:val="BTCtextCTB"/>
            </w:pPr>
            <w:r>
              <w:t>Fonction :</w:t>
            </w:r>
          </w:p>
        </w:tc>
        <w:tc>
          <w:tcPr>
            <w:tcW w:w="6352" w:type="dxa"/>
            <w:tcBorders>
              <w:top w:val="single" w:sz="4" w:space="0" w:color="auto"/>
              <w:left w:val="single" w:sz="4" w:space="0" w:color="auto"/>
              <w:bottom w:val="single" w:sz="4" w:space="0" w:color="auto"/>
              <w:right w:val="single" w:sz="4" w:space="0" w:color="auto"/>
            </w:tcBorders>
            <w:vAlign w:val="center"/>
          </w:tcPr>
          <w:p w14:paraId="0BB4EA52" w14:textId="77777777" w:rsidR="00CA4A3D" w:rsidRPr="0049660B" w:rsidRDefault="00CA4A3D" w:rsidP="007B2D80">
            <w:pPr>
              <w:pStyle w:val="BTCtextCTB"/>
            </w:pPr>
          </w:p>
        </w:tc>
      </w:tr>
      <w:tr w:rsidR="00CA4A3D" w:rsidRPr="0049660B" w14:paraId="4FC96691"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F8F707E" w14:textId="77777777" w:rsidR="00CA4A3D" w:rsidRPr="0049660B" w:rsidRDefault="00CA4A3D" w:rsidP="007B2D80">
            <w:pPr>
              <w:pStyle w:val="BTCtextCTB"/>
            </w:pPr>
            <w:r>
              <w:t>Tél. :</w:t>
            </w:r>
          </w:p>
        </w:tc>
        <w:tc>
          <w:tcPr>
            <w:tcW w:w="6352" w:type="dxa"/>
            <w:tcBorders>
              <w:top w:val="single" w:sz="4" w:space="0" w:color="auto"/>
              <w:left w:val="single" w:sz="4" w:space="0" w:color="auto"/>
              <w:bottom w:val="single" w:sz="4" w:space="0" w:color="auto"/>
              <w:right w:val="single" w:sz="4" w:space="0" w:color="auto"/>
            </w:tcBorders>
            <w:vAlign w:val="center"/>
          </w:tcPr>
          <w:p w14:paraId="3CDB9AAB" w14:textId="77777777" w:rsidR="00CA4A3D" w:rsidRPr="0049660B" w:rsidRDefault="00CA4A3D" w:rsidP="007B2D80">
            <w:pPr>
              <w:pStyle w:val="BTCtextCTB"/>
            </w:pPr>
          </w:p>
        </w:tc>
      </w:tr>
      <w:tr w:rsidR="00CA4A3D" w:rsidRPr="0049660B" w14:paraId="227AB86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ABBB9D5" w14:textId="77777777" w:rsidR="00CA4A3D" w:rsidRPr="0049660B" w:rsidRDefault="00CA4A3D" w:rsidP="007B2D80">
            <w:pPr>
              <w:pStyle w:val="BTCtextCTB"/>
            </w:pPr>
            <w:r>
              <w:t>Courriel :</w:t>
            </w:r>
          </w:p>
        </w:tc>
        <w:tc>
          <w:tcPr>
            <w:tcW w:w="6352" w:type="dxa"/>
            <w:tcBorders>
              <w:top w:val="single" w:sz="4" w:space="0" w:color="auto"/>
              <w:left w:val="single" w:sz="4" w:space="0" w:color="auto"/>
              <w:bottom w:val="single" w:sz="4" w:space="0" w:color="auto"/>
              <w:right w:val="single" w:sz="4" w:space="0" w:color="auto"/>
            </w:tcBorders>
            <w:vAlign w:val="center"/>
          </w:tcPr>
          <w:p w14:paraId="0ED52861" w14:textId="77777777" w:rsidR="00CA4A3D" w:rsidRPr="0049660B" w:rsidRDefault="00CA4A3D" w:rsidP="007B2D80">
            <w:pPr>
              <w:pStyle w:val="BTCtextCTB"/>
            </w:pPr>
          </w:p>
        </w:tc>
      </w:tr>
      <w:tr w:rsidR="00CA4A3D" w:rsidRPr="0049660B" w14:paraId="776CD4C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902075C" w14:textId="77777777" w:rsidR="00CA4A3D" w:rsidRPr="0049660B" w:rsidRDefault="00CA4A3D" w:rsidP="007B2D80">
            <w:pPr>
              <w:pStyle w:val="BTCtextCTB"/>
            </w:pPr>
            <w:r>
              <w:t>Adresse :</w:t>
            </w:r>
          </w:p>
        </w:tc>
        <w:tc>
          <w:tcPr>
            <w:tcW w:w="6352" w:type="dxa"/>
            <w:tcBorders>
              <w:top w:val="single" w:sz="4" w:space="0" w:color="auto"/>
              <w:left w:val="single" w:sz="4" w:space="0" w:color="auto"/>
              <w:bottom w:val="single" w:sz="4" w:space="0" w:color="auto"/>
              <w:right w:val="single" w:sz="4" w:space="0" w:color="auto"/>
            </w:tcBorders>
            <w:vAlign w:val="center"/>
          </w:tcPr>
          <w:p w14:paraId="3DE1457D" w14:textId="77777777" w:rsidR="00CA4A3D" w:rsidRPr="0049660B" w:rsidRDefault="00CA4A3D" w:rsidP="007B2D80">
            <w:pPr>
              <w:pStyle w:val="BTCtextCTB"/>
            </w:pPr>
          </w:p>
          <w:p w14:paraId="0633A9ED" w14:textId="77777777" w:rsidR="00CA4A3D" w:rsidRPr="0049660B" w:rsidRDefault="00CA4A3D" w:rsidP="007B2D80">
            <w:pPr>
              <w:pStyle w:val="BTCtextCTB"/>
            </w:pPr>
          </w:p>
          <w:p w14:paraId="070A9097" w14:textId="77777777" w:rsidR="00CA4A3D" w:rsidRPr="0049660B" w:rsidRDefault="00CA4A3D" w:rsidP="007B2D80">
            <w:pPr>
              <w:pStyle w:val="BTCtextCTB"/>
            </w:pPr>
          </w:p>
          <w:p w14:paraId="3B5999C4" w14:textId="77777777" w:rsidR="00CA4A3D" w:rsidRPr="0049660B" w:rsidRDefault="00CA4A3D" w:rsidP="007B2D80">
            <w:pPr>
              <w:pStyle w:val="BTCtextCTB"/>
            </w:pPr>
          </w:p>
        </w:tc>
      </w:tr>
    </w:tbl>
    <w:p w14:paraId="252C0208" w14:textId="77777777" w:rsidR="00CA4A3D" w:rsidRPr="0049660B" w:rsidRDefault="00CA4A3D" w:rsidP="00CA4A3D">
      <w:pPr>
        <w:pStyle w:val="BTCtextCTB"/>
      </w:pPr>
    </w:p>
    <w:p w14:paraId="2456ACAC" w14:textId="77777777" w:rsidR="00CA4A3D" w:rsidRPr="0049660B" w:rsidRDefault="00CA4A3D" w:rsidP="00CA4A3D">
      <w:pPr>
        <w:pStyle w:val="BTCtextCTB"/>
      </w:pPr>
      <w:r>
        <w:t>Personne de contact en cas d’absence (back-up)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49660B" w14:paraId="1ED44EC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C2B0C11" w14:textId="77777777" w:rsidR="00CA4A3D" w:rsidRPr="0049660B" w:rsidRDefault="00CA4A3D" w:rsidP="007B2D80">
            <w:pPr>
              <w:pStyle w:val="BTCtextCTB"/>
            </w:pPr>
            <w:r>
              <w:t>Nom, prénom :</w:t>
            </w:r>
          </w:p>
        </w:tc>
        <w:tc>
          <w:tcPr>
            <w:tcW w:w="6352" w:type="dxa"/>
            <w:tcBorders>
              <w:top w:val="single" w:sz="4" w:space="0" w:color="auto"/>
              <w:left w:val="single" w:sz="4" w:space="0" w:color="auto"/>
              <w:bottom w:val="single" w:sz="4" w:space="0" w:color="auto"/>
              <w:right w:val="single" w:sz="4" w:space="0" w:color="auto"/>
            </w:tcBorders>
            <w:vAlign w:val="center"/>
          </w:tcPr>
          <w:p w14:paraId="0A7AA9E4" w14:textId="77777777" w:rsidR="00CA4A3D" w:rsidRPr="0049660B" w:rsidRDefault="00CA4A3D" w:rsidP="007B2D80">
            <w:pPr>
              <w:pStyle w:val="BTCtextCTB"/>
            </w:pPr>
          </w:p>
        </w:tc>
      </w:tr>
      <w:tr w:rsidR="00CA4A3D" w:rsidRPr="0049660B" w14:paraId="5ECD6B2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1DEA538" w14:textId="77777777" w:rsidR="00CA4A3D" w:rsidRPr="0049660B" w:rsidRDefault="00CA4A3D" w:rsidP="007B2D80">
            <w:pPr>
              <w:pStyle w:val="BTCtextCTB"/>
            </w:pPr>
            <w:r>
              <w:t>Fonction :</w:t>
            </w:r>
          </w:p>
        </w:tc>
        <w:tc>
          <w:tcPr>
            <w:tcW w:w="6352" w:type="dxa"/>
            <w:tcBorders>
              <w:top w:val="single" w:sz="4" w:space="0" w:color="auto"/>
              <w:left w:val="single" w:sz="4" w:space="0" w:color="auto"/>
              <w:bottom w:val="single" w:sz="4" w:space="0" w:color="auto"/>
              <w:right w:val="single" w:sz="4" w:space="0" w:color="auto"/>
            </w:tcBorders>
            <w:vAlign w:val="center"/>
          </w:tcPr>
          <w:p w14:paraId="65754463" w14:textId="77777777" w:rsidR="00CA4A3D" w:rsidRPr="0049660B" w:rsidRDefault="00CA4A3D" w:rsidP="007B2D80">
            <w:pPr>
              <w:pStyle w:val="BTCtextCTB"/>
            </w:pPr>
          </w:p>
        </w:tc>
      </w:tr>
      <w:tr w:rsidR="00CA4A3D" w:rsidRPr="0049660B" w14:paraId="5429D27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9945AD6" w14:textId="77777777" w:rsidR="00CA4A3D" w:rsidRPr="0049660B" w:rsidRDefault="00CA4A3D" w:rsidP="007B2D80">
            <w:pPr>
              <w:pStyle w:val="BTCtextCTB"/>
            </w:pPr>
            <w:r>
              <w:t>Tél. :</w:t>
            </w:r>
          </w:p>
        </w:tc>
        <w:tc>
          <w:tcPr>
            <w:tcW w:w="6352" w:type="dxa"/>
            <w:tcBorders>
              <w:top w:val="single" w:sz="4" w:space="0" w:color="auto"/>
              <w:left w:val="single" w:sz="4" w:space="0" w:color="auto"/>
              <w:bottom w:val="single" w:sz="4" w:space="0" w:color="auto"/>
              <w:right w:val="single" w:sz="4" w:space="0" w:color="auto"/>
            </w:tcBorders>
            <w:vAlign w:val="center"/>
          </w:tcPr>
          <w:p w14:paraId="1B6D88E7" w14:textId="77777777" w:rsidR="00CA4A3D" w:rsidRPr="0049660B" w:rsidRDefault="00CA4A3D" w:rsidP="007B2D80">
            <w:pPr>
              <w:pStyle w:val="BTCtextCTB"/>
            </w:pPr>
          </w:p>
        </w:tc>
      </w:tr>
      <w:tr w:rsidR="00CA4A3D" w:rsidRPr="0049660B" w14:paraId="282E669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39621C5" w14:textId="77777777" w:rsidR="00CA4A3D" w:rsidRPr="0049660B" w:rsidRDefault="00CA4A3D" w:rsidP="007B2D80">
            <w:pPr>
              <w:pStyle w:val="BTCtextCTB"/>
            </w:pPr>
            <w:r>
              <w:t>Courriel :</w:t>
            </w:r>
          </w:p>
        </w:tc>
        <w:tc>
          <w:tcPr>
            <w:tcW w:w="6352" w:type="dxa"/>
            <w:tcBorders>
              <w:top w:val="single" w:sz="4" w:space="0" w:color="auto"/>
              <w:left w:val="single" w:sz="4" w:space="0" w:color="auto"/>
              <w:bottom w:val="single" w:sz="4" w:space="0" w:color="auto"/>
              <w:right w:val="single" w:sz="4" w:space="0" w:color="auto"/>
            </w:tcBorders>
            <w:vAlign w:val="center"/>
          </w:tcPr>
          <w:p w14:paraId="519A5151" w14:textId="77777777" w:rsidR="00CA4A3D" w:rsidRPr="0049660B" w:rsidRDefault="00CA4A3D" w:rsidP="007B2D80">
            <w:pPr>
              <w:pStyle w:val="BTCtextCTB"/>
            </w:pPr>
          </w:p>
        </w:tc>
      </w:tr>
      <w:tr w:rsidR="00CA4A3D" w:rsidRPr="0049660B" w14:paraId="250DE15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722AAB7" w14:textId="77777777" w:rsidR="00CA4A3D" w:rsidRPr="0049660B" w:rsidRDefault="00CA4A3D" w:rsidP="007B2D80">
            <w:pPr>
              <w:pStyle w:val="BTCtextCTB"/>
            </w:pPr>
            <w:r>
              <w:t>Adresse :</w:t>
            </w:r>
          </w:p>
        </w:tc>
        <w:tc>
          <w:tcPr>
            <w:tcW w:w="6352" w:type="dxa"/>
            <w:tcBorders>
              <w:top w:val="single" w:sz="4" w:space="0" w:color="auto"/>
              <w:left w:val="single" w:sz="4" w:space="0" w:color="auto"/>
              <w:bottom w:val="single" w:sz="4" w:space="0" w:color="auto"/>
              <w:right w:val="single" w:sz="4" w:space="0" w:color="auto"/>
            </w:tcBorders>
            <w:vAlign w:val="center"/>
          </w:tcPr>
          <w:p w14:paraId="27FBEBA0" w14:textId="77777777" w:rsidR="00CA4A3D" w:rsidRPr="0049660B" w:rsidRDefault="00CA4A3D" w:rsidP="007B2D80">
            <w:pPr>
              <w:pStyle w:val="BTCtextCTB"/>
            </w:pPr>
          </w:p>
          <w:p w14:paraId="068B14FF" w14:textId="77777777" w:rsidR="00CA4A3D" w:rsidRPr="0049660B" w:rsidRDefault="00CA4A3D" w:rsidP="007B2D80">
            <w:pPr>
              <w:pStyle w:val="BTCtextCTB"/>
            </w:pPr>
          </w:p>
          <w:p w14:paraId="20B13323" w14:textId="77777777" w:rsidR="00CA4A3D" w:rsidRPr="0049660B" w:rsidRDefault="00CA4A3D" w:rsidP="007B2D80">
            <w:pPr>
              <w:pStyle w:val="BTCtextCTB"/>
            </w:pPr>
          </w:p>
          <w:p w14:paraId="4903778B" w14:textId="77777777" w:rsidR="00CA4A3D" w:rsidRPr="0049660B" w:rsidRDefault="00CA4A3D" w:rsidP="007B2D80">
            <w:pPr>
              <w:pStyle w:val="BTCtextCTB"/>
            </w:pPr>
          </w:p>
        </w:tc>
      </w:tr>
    </w:tbl>
    <w:p w14:paraId="5E6106F0" w14:textId="77777777" w:rsidR="0004554D" w:rsidRDefault="0004554D">
      <w:pPr>
        <w:spacing w:line="259" w:lineRule="auto"/>
        <w:sectPr w:rsidR="0004554D" w:rsidSect="00F74575">
          <w:pgSz w:w="11906" w:h="16838"/>
          <w:pgMar w:top="1418" w:right="1531" w:bottom="1418" w:left="1871" w:header="709" w:footer="709" w:gutter="0"/>
          <w:cols w:space="708"/>
          <w:docGrid w:linePitch="360"/>
        </w:sectPr>
      </w:pPr>
    </w:p>
    <w:p w14:paraId="6D30444B" w14:textId="25E13623" w:rsidR="009E5254" w:rsidRDefault="009E5254" w:rsidP="00F05043">
      <w:pPr>
        <w:pStyle w:val="Heading2"/>
      </w:pPr>
      <w:bookmarkStart w:id="318" w:name="_Toc160610297"/>
      <w:r>
        <w:lastRenderedPageBreak/>
        <w:t>Formulaire d’offre – Prix</w:t>
      </w:r>
      <w:bookmarkEnd w:id="318"/>
    </w:p>
    <w:p w14:paraId="4C0632EF" w14:textId="3275EFBD" w:rsidR="00B5495D" w:rsidRPr="00181A74" w:rsidRDefault="00B5495D" w:rsidP="00B5495D">
      <w:pPr>
        <w:rPr>
          <w:sz w:val="20"/>
          <w:szCs w:val="20"/>
        </w:rPr>
      </w:pPr>
      <w:r>
        <w:rPr>
          <w:sz w:val="20"/>
        </w:rPr>
        <w:t>En déposant cette offre, le soumissionnaire s’engage à exécuter, conformément aux dispositions du CSC BEL 21003-10024, le présent marché et déclare explicitement accepter toutes les conditions énumérées dans le CSC et renoncer aux éventuelles dispositions dérogatoires comme ses propres conditions de vente. Les prix unitaires et le prix global de chacun des postes sont établis en respectant la valeur relative de ces postes par rapport au montant total de l’offre. Tous les frais généraux et financiers, ainsi que le bénéfice, sont répartis sur les différents postes proportionnellement à l’importance de ceux-ci.</w:t>
      </w:r>
    </w:p>
    <w:p w14:paraId="24DCCAF6" w14:textId="6ADFE447" w:rsidR="00B5495D" w:rsidRPr="00181A74" w:rsidRDefault="00B5495D" w:rsidP="00B5495D">
      <w:pPr>
        <w:rPr>
          <w:sz w:val="20"/>
          <w:szCs w:val="20"/>
        </w:rPr>
      </w:pPr>
      <w:r>
        <w:rPr>
          <w:sz w:val="20"/>
        </w:rPr>
        <w:t>La taxe sur la valeur ajoutée fait l’objet d’une ligne spéciale de l’inventaire, à ajouter au montant de l’offre. Le soumissionnaire s’engage à exécuter le marché public conformément aux dispositions du CSC BEL 21003-10024, aux prix suivants, exprimés en euros et hors TVA :</w:t>
      </w:r>
    </w:p>
    <w:p w14:paraId="3F4B2137" w14:textId="77777777" w:rsidR="00A31783" w:rsidRDefault="00A31783" w:rsidP="00A31783">
      <w:pPr>
        <w:pStyle w:val="BodyText"/>
        <w:spacing w:before="60" w:after="60"/>
        <w:rPr>
          <w:rFonts w:ascii="Georgia" w:eastAsia="Calibri" w:hAnsi="Georgia" w:cs="Times New Roman"/>
          <w:color w:val="585756"/>
          <w:szCs w:val="22"/>
        </w:rPr>
      </w:pPr>
    </w:p>
    <w:p w14:paraId="624F30D7" w14:textId="77777777" w:rsidR="004318DD" w:rsidRDefault="004318DD" w:rsidP="004318DD">
      <w:pPr>
        <w:pStyle w:val="Heading3"/>
      </w:pPr>
      <w:bookmarkStart w:id="319" w:name="_Toc160610298"/>
      <w:r>
        <w:t>Lot 1 : Renforcement de la réglementation / WS1</w:t>
      </w:r>
      <w:bookmarkEnd w:id="319"/>
    </w:p>
    <w:p w14:paraId="7E4364D1" w14:textId="77777777" w:rsidR="004318DD" w:rsidRPr="005B7D75" w:rsidRDefault="004318DD" w:rsidP="00A31783">
      <w:pPr>
        <w:pStyle w:val="BodyText"/>
        <w:spacing w:before="60" w:after="60"/>
        <w:rPr>
          <w:rFonts w:ascii="Georgia" w:eastAsia="Calibri" w:hAnsi="Georgia" w:cs="Times New Roman"/>
          <w:color w:val="585756"/>
          <w:szCs w:val="22"/>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4318DD" w:rsidRPr="00181A74" w14:paraId="422656F6" w14:textId="77777777" w:rsidTr="004318DD">
        <w:trPr>
          <w:trHeight w:val="785"/>
        </w:trPr>
        <w:tc>
          <w:tcPr>
            <w:tcW w:w="2972" w:type="dxa"/>
            <w:shd w:val="clear" w:color="auto" w:fill="E7E6E6" w:themeFill="background2"/>
            <w:noWrap/>
            <w:hideMark/>
          </w:tcPr>
          <w:p w14:paraId="4046084F" w14:textId="2133FB44" w:rsidR="004318DD" w:rsidRPr="00706D74" w:rsidRDefault="004318DD" w:rsidP="007B2D80">
            <w:pPr>
              <w:rPr>
                <w:b/>
                <w:bCs/>
              </w:rPr>
            </w:pPr>
            <w:r>
              <w:rPr>
                <w:b/>
              </w:rPr>
              <w:t>Poste</w:t>
            </w:r>
          </w:p>
        </w:tc>
        <w:tc>
          <w:tcPr>
            <w:tcW w:w="1701" w:type="dxa"/>
            <w:shd w:val="clear" w:color="auto" w:fill="E7E6E6" w:themeFill="background2"/>
            <w:noWrap/>
            <w:hideMark/>
          </w:tcPr>
          <w:p w14:paraId="59B9838F" w14:textId="01B31B31" w:rsidR="004318DD" w:rsidRPr="00706D74" w:rsidRDefault="004318DD" w:rsidP="007B2D80">
            <w:pPr>
              <w:rPr>
                <w:b/>
                <w:bCs/>
              </w:rPr>
            </w:pPr>
            <w:r>
              <w:rPr>
                <w:b/>
              </w:rPr>
              <w:t>Unité</w:t>
            </w:r>
          </w:p>
        </w:tc>
        <w:tc>
          <w:tcPr>
            <w:tcW w:w="2126" w:type="dxa"/>
            <w:shd w:val="clear" w:color="auto" w:fill="E7E6E6" w:themeFill="background2"/>
          </w:tcPr>
          <w:p w14:paraId="2111A150" w14:textId="24BCA118" w:rsidR="004318DD" w:rsidRDefault="004318DD" w:rsidP="007B2D80">
            <w:pPr>
              <w:rPr>
                <w:b/>
              </w:rPr>
            </w:pPr>
            <w:r>
              <w:rPr>
                <w:b/>
              </w:rPr>
              <w:t>Quantités présumées</w:t>
            </w:r>
          </w:p>
        </w:tc>
        <w:tc>
          <w:tcPr>
            <w:tcW w:w="2126" w:type="dxa"/>
            <w:shd w:val="clear" w:color="auto" w:fill="E7E6E6" w:themeFill="background2"/>
            <w:noWrap/>
          </w:tcPr>
          <w:p w14:paraId="321D61D7" w14:textId="4AF7D776" w:rsidR="004318DD" w:rsidRPr="00706D74" w:rsidRDefault="004318DD" w:rsidP="007B2D80">
            <w:pPr>
              <w:rPr>
                <w:b/>
                <w:bCs/>
              </w:rPr>
            </w:pPr>
            <w:r>
              <w:rPr>
                <w:b/>
              </w:rPr>
              <w:t>Prix unitaire en euros HTVA</w:t>
            </w:r>
          </w:p>
        </w:tc>
        <w:tc>
          <w:tcPr>
            <w:tcW w:w="1701" w:type="dxa"/>
            <w:shd w:val="clear" w:color="auto" w:fill="E7E6E6" w:themeFill="background2"/>
          </w:tcPr>
          <w:p w14:paraId="2C3F4D86" w14:textId="33ED328D" w:rsidR="004318DD" w:rsidRPr="00706D74" w:rsidRDefault="004318DD" w:rsidP="007B2D80">
            <w:pPr>
              <w:rPr>
                <w:b/>
                <w:bCs/>
              </w:rPr>
            </w:pPr>
            <w:r>
              <w:rPr>
                <w:b/>
              </w:rPr>
              <w:t>Prix total HTVA</w:t>
            </w:r>
          </w:p>
        </w:tc>
        <w:tc>
          <w:tcPr>
            <w:tcW w:w="1843" w:type="dxa"/>
            <w:shd w:val="clear" w:color="auto" w:fill="E7E6E6" w:themeFill="background2"/>
          </w:tcPr>
          <w:p w14:paraId="138DCE0C" w14:textId="5E09ED83" w:rsidR="004318DD" w:rsidRPr="00181A74" w:rsidRDefault="004318DD" w:rsidP="007B2D80">
            <w:pPr>
              <w:rPr>
                <w:b/>
                <w:bCs/>
              </w:rPr>
            </w:pPr>
            <w:r>
              <w:rPr>
                <w:b/>
              </w:rPr>
              <w:t>Taux de TVA applicable</w:t>
            </w:r>
          </w:p>
        </w:tc>
      </w:tr>
      <w:tr w:rsidR="004318DD" w:rsidRPr="00F3378A" w14:paraId="5304BD17" w14:textId="77777777" w:rsidTr="004318DD">
        <w:trPr>
          <w:trHeight w:val="300"/>
        </w:trPr>
        <w:tc>
          <w:tcPr>
            <w:tcW w:w="2972" w:type="dxa"/>
            <w:noWrap/>
          </w:tcPr>
          <w:p w14:paraId="32BBF813" w14:textId="5E5C88B4" w:rsidR="004318DD" w:rsidRDefault="00E67DD2" w:rsidP="00B6528F">
            <w:pPr>
              <w:jc w:val="both"/>
            </w:pPr>
            <w:proofErr w:type="spellStart"/>
            <w:r>
              <w:t>Expert·e</w:t>
            </w:r>
            <w:proofErr w:type="spellEnd"/>
          </w:p>
        </w:tc>
        <w:tc>
          <w:tcPr>
            <w:tcW w:w="1701" w:type="dxa"/>
            <w:noWrap/>
          </w:tcPr>
          <w:p w14:paraId="7028B396" w14:textId="3F2E0BA6" w:rsidR="004318DD" w:rsidRDefault="004318DD" w:rsidP="00181A74">
            <w:pPr>
              <w:jc w:val="center"/>
            </w:pPr>
            <w:r>
              <w:t>Personne-jour</w:t>
            </w:r>
          </w:p>
        </w:tc>
        <w:tc>
          <w:tcPr>
            <w:tcW w:w="2126" w:type="dxa"/>
          </w:tcPr>
          <w:p w14:paraId="2D9DDCA9" w14:textId="5B3FF1E6" w:rsidR="004318DD" w:rsidRDefault="00AF5734" w:rsidP="00AF5734">
            <w:pPr>
              <w:jc w:val="center"/>
            </w:pPr>
            <w:r>
              <w:t>50</w:t>
            </w:r>
          </w:p>
        </w:tc>
        <w:tc>
          <w:tcPr>
            <w:tcW w:w="2126" w:type="dxa"/>
            <w:shd w:val="clear" w:color="auto" w:fill="auto"/>
            <w:noWrap/>
          </w:tcPr>
          <w:p w14:paraId="624E31E9" w14:textId="440FCFA6" w:rsidR="004318DD" w:rsidRDefault="004318DD" w:rsidP="00181A74">
            <w:pPr>
              <w:jc w:val="right"/>
            </w:pPr>
            <w:r>
              <w:t>€</w:t>
            </w:r>
          </w:p>
        </w:tc>
        <w:tc>
          <w:tcPr>
            <w:tcW w:w="1701" w:type="dxa"/>
            <w:shd w:val="clear" w:color="auto" w:fill="auto"/>
          </w:tcPr>
          <w:p w14:paraId="6CDDB286" w14:textId="4552A616" w:rsidR="004318DD" w:rsidRDefault="004318DD" w:rsidP="00181A74">
            <w:pPr>
              <w:jc w:val="right"/>
            </w:pPr>
            <w:r>
              <w:t>€</w:t>
            </w:r>
          </w:p>
        </w:tc>
        <w:tc>
          <w:tcPr>
            <w:tcW w:w="1843" w:type="dxa"/>
            <w:shd w:val="clear" w:color="auto" w:fill="auto"/>
          </w:tcPr>
          <w:p w14:paraId="1016BAB0" w14:textId="0EBA708A" w:rsidR="004318DD" w:rsidRDefault="004318DD" w:rsidP="00181A74">
            <w:pPr>
              <w:jc w:val="right"/>
            </w:pPr>
            <w:r>
              <w:t>%</w:t>
            </w:r>
          </w:p>
        </w:tc>
      </w:tr>
      <w:tr w:rsidR="009C776F" w:rsidRPr="00F3378A" w14:paraId="2EA6E340" w14:textId="77777777" w:rsidTr="007328AF">
        <w:trPr>
          <w:trHeight w:val="300"/>
        </w:trPr>
        <w:tc>
          <w:tcPr>
            <w:tcW w:w="2972" w:type="dxa"/>
            <w:noWrap/>
          </w:tcPr>
          <w:p w14:paraId="6E5837D2" w14:textId="2DCBE007" w:rsidR="009C776F" w:rsidRDefault="009C776F" w:rsidP="00B6528F">
            <w:pPr>
              <w:jc w:val="both"/>
            </w:pPr>
            <w:r>
              <w:t>Prix total TVAC</w:t>
            </w:r>
          </w:p>
        </w:tc>
        <w:tc>
          <w:tcPr>
            <w:tcW w:w="9497" w:type="dxa"/>
            <w:gridSpan w:val="5"/>
            <w:noWrap/>
          </w:tcPr>
          <w:p w14:paraId="0CD3A67E" w14:textId="0EF4467F" w:rsidR="009C776F" w:rsidRDefault="0041071C" w:rsidP="00181A74">
            <w:pPr>
              <w:jc w:val="right"/>
            </w:pPr>
            <w:r>
              <w:t>€</w:t>
            </w:r>
          </w:p>
        </w:tc>
      </w:tr>
    </w:tbl>
    <w:p w14:paraId="3BC408EC" w14:textId="77777777" w:rsidR="00044FAE" w:rsidRDefault="00044FAE" w:rsidP="00AF5734">
      <w:pPr>
        <w:pStyle w:val="BodyText"/>
        <w:spacing w:before="60" w:after="60"/>
        <w:rPr>
          <w:rFonts w:ascii="Georgia" w:eastAsia="Calibri" w:hAnsi="Georgia" w:cs="Times New Roman"/>
          <w:color w:val="585756"/>
          <w:szCs w:val="20"/>
          <w:u w:val="single"/>
        </w:rPr>
      </w:pPr>
    </w:p>
    <w:p w14:paraId="66C67EB8" w14:textId="5B96FE31" w:rsidR="00AF5734" w:rsidRDefault="00AF5734" w:rsidP="00AF5734">
      <w:pPr>
        <w:pStyle w:val="Heading3"/>
      </w:pPr>
      <w:bookmarkStart w:id="320" w:name="_Toc160610299"/>
      <w:r>
        <w:t>Lot 2 : Autorisation de mise sur le marché (AMM)</w:t>
      </w:r>
      <w:bookmarkEnd w:id="320"/>
    </w:p>
    <w:p w14:paraId="31887902" w14:textId="77777777" w:rsidR="00AF5734" w:rsidRDefault="00AF5734" w:rsidP="00AF5734">
      <w:pPr>
        <w:jc w:val="both"/>
        <w:rPr>
          <w:rFonts w:asciiTheme="minorHAnsi" w:hAnsiTheme="minorHAnsi" w:cstheme="minorHAnsi"/>
          <w:b/>
          <w:bCs/>
          <w:sz w:val="24"/>
          <w:szCs w:val="24"/>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0E2C7B87" w14:textId="77777777" w:rsidTr="00646E2D">
        <w:trPr>
          <w:trHeight w:val="785"/>
        </w:trPr>
        <w:tc>
          <w:tcPr>
            <w:tcW w:w="2972" w:type="dxa"/>
            <w:shd w:val="clear" w:color="auto" w:fill="E7E6E6" w:themeFill="background2"/>
            <w:noWrap/>
            <w:hideMark/>
          </w:tcPr>
          <w:p w14:paraId="438C109E" w14:textId="77777777" w:rsidR="00AF5734" w:rsidRPr="00706D74" w:rsidRDefault="00AF5734" w:rsidP="00646E2D">
            <w:pPr>
              <w:rPr>
                <w:b/>
                <w:bCs/>
              </w:rPr>
            </w:pPr>
            <w:r>
              <w:rPr>
                <w:b/>
              </w:rPr>
              <w:t>Poste</w:t>
            </w:r>
          </w:p>
        </w:tc>
        <w:tc>
          <w:tcPr>
            <w:tcW w:w="1701" w:type="dxa"/>
            <w:shd w:val="clear" w:color="auto" w:fill="E7E6E6" w:themeFill="background2"/>
            <w:noWrap/>
            <w:hideMark/>
          </w:tcPr>
          <w:p w14:paraId="6F6661BA" w14:textId="77777777" w:rsidR="00AF5734" w:rsidRPr="00706D74" w:rsidRDefault="00AF5734" w:rsidP="00646E2D">
            <w:pPr>
              <w:rPr>
                <w:b/>
                <w:bCs/>
              </w:rPr>
            </w:pPr>
            <w:r>
              <w:rPr>
                <w:b/>
              </w:rPr>
              <w:t>Unité</w:t>
            </w:r>
          </w:p>
        </w:tc>
        <w:tc>
          <w:tcPr>
            <w:tcW w:w="2126" w:type="dxa"/>
            <w:shd w:val="clear" w:color="auto" w:fill="E7E6E6" w:themeFill="background2"/>
          </w:tcPr>
          <w:p w14:paraId="45BFFEBA" w14:textId="77777777" w:rsidR="00AF5734" w:rsidRDefault="00AF5734" w:rsidP="00646E2D">
            <w:pPr>
              <w:rPr>
                <w:b/>
              </w:rPr>
            </w:pPr>
            <w:r>
              <w:rPr>
                <w:b/>
              </w:rPr>
              <w:t>Quantités présumées</w:t>
            </w:r>
          </w:p>
        </w:tc>
        <w:tc>
          <w:tcPr>
            <w:tcW w:w="2126" w:type="dxa"/>
            <w:shd w:val="clear" w:color="auto" w:fill="E7E6E6" w:themeFill="background2"/>
            <w:noWrap/>
          </w:tcPr>
          <w:p w14:paraId="719BFD9C" w14:textId="77777777" w:rsidR="00AF5734" w:rsidRPr="00706D74" w:rsidRDefault="00AF5734" w:rsidP="00646E2D">
            <w:pPr>
              <w:rPr>
                <w:b/>
                <w:bCs/>
              </w:rPr>
            </w:pPr>
            <w:r>
              <w:rPr>
                <w:b/>
              </w:rPr>
              <w:t>Prix unitaire en euros HTVA</w:t>
            </w:r>
          </w:p>
        </w:tc>
        <w:tc>
          <w:tcPr>
            <w:tcW w:w="1701" w:type="dxa"/>
            <w:shd w:val="clear" w:color="auto" w:fill="E7E6E6" w:themeFill="background2"/>
          </w:tcPr>
          <w:p w14:paraId="085D33ED" w14:textId="77777777" w:rsidR="00AF5734" w:rsidRPr="00706D74" w:rsidRDefault="00AF5734" w:rsidP="00646E2D">
            <w:pPr>
              <w:rPr>
                <w:b/>
                <w:bCs/>
              </w:rPr>
            </w:pPr>
            <w:r>
              <w:rPr>
                <w:b/>
              </w:rPr>
              <w:t>Prix total HTVA</w:t>
            </w:r>
          </w:p>
        </w:tc>
        <w:tc>
          <w:tcPr>
            <w:tcW w:w="1843" w:type="dxa"/>
            <w:shd w:val="clear" w:color="auto" w:fill="E7E6E6" w:themeFill="background2"/>
          </w:tcPr>
          <w:p w14:paraId="7A9DAE16" w14:textId="77777777" w:rsidR="00AF5734" w:rsidRPr="00181A74" w:rsidRDefault="00AF5734" w:rsidP="00646E2D">
            <w:pPr>
              <w:rPr>
                <w:b/>
                <w:bCs/>
              </w:rPr>
            </w:pPr>
            <w:r>
              <w:rPr>
                <w:b/>
              </w:rPr>
              <w:t>Taux de TVA applicable</w:t>
            </w:r>
          </w:p>
        </w:tc>
      </w:tr>
      <w:tr w:rsidR="00AF5734" w14:paraId="387AABA9" w14:textId="77777777" w:rsidTr="00646E2D">
        <w:trPr>
          <w:trHeight w:val="300"/>
        </w:trPr>
        <w:tc>
          <w:tcPr>
            <w:tcW w:w="2972" w:type="dxa"/>
            <w:noWrap/>
          </w:tcPr>
          <w:p w14:paraId="5B8BB57F" w14:textId="1EF54100" w:rsidR="00AF5734" w:rsidRDefault="00AF5734" w:rsidP="00646E2D">
            <w:pPr>
              <w:jc w:val="both"/>
            </w:pPr>
            <w:proofErr w:type="spellStart"/>
            <w:r>
              <w:t>Expert·e</w:t>
            </w:r>
            <w:proofErr w:type="spellEnd"/>
          </w:p>
        </w:tc>
        <w:tc>
          <w:tcPr>
            <w:tcW w:w="1701" w:type="dxa"/>
            <w:noWrap/>
          </w:tcPr>
          <w:p w14:paraId="19BE9F9B" w14:textId="77777777" w:rsidR="00AF5734" w:rsidRDefault="00AF5734" w:rsidP="00646E2D">
            <w:pPr>
              <w:jc w:val="center"/>
            </w:pPr>
            <w:r>
              <w:t>Personne-jour</w:t>
            </w:r>
          </w:p>
        </w:tc>
        <w:tc>
          <w:tcPr>
            <w:tcW w:w="2126" w:type="dxa"/>
          </w:tcPr>
          <w:p w14:paraId="40FDC850" w14:textId="77777777" w:rsidR="00AF5734" w:rsidRDefault="00AF5734" w:rsidP="00646E2D">
            <w:pPr>
              <w:jc w:val="center"/>
            </w:pPr>
            <w:r>
              <w:t>50</w:t>
            </w:r>
          </w:p>
        </w:tc>
        <w:tc>
          <w:tcPr>
            <w:tcW w:w="2126" w:type="dxa"/>
            <w:shd w:val="clear" w:color="auto" w:fill="auto"/>
            <w:noWrap/>
          </w:tcPr>
          <w:p w14:paraId="62FA7815" w14:textId="77777777" w:rsidR="00AF5734" w:rsidRDefault="00AF5734" w:rsidP="00646E2D">
            <w:pPr>
              <w:jc w:val="right"/>
            </w:pPr>
            <w:r>
              <w:t>€</w:t>
            </w:r>
          </w:p>
        </w:tc>
        <w:tc>
          <w:tcPr>
            <w:tcW w:w="1701" w:type="dxa"/>
            <w:shd w:val="clear" w:color="auto" w:fill="auto"/>
          </w:tcPr>
          <w:p w14:paraId="3DDDA15C" w14:textId="77777777" w:rsidR="00AF5734" w:rsidRDefault="00AF5734" w:rsidP="00646E2D">
            <w:pPr>
              <w:jc w:val="right"/>
            </w:pPr>
            <w:r>
              <w:t>€</w:t>
            </w:r>
          </w:p>
        </w:tc>
        <w:tc>
          <w:tcPr>
            <w:tcW w:w="1843" w:type="dxa"/>
            <w:shd w:val="clear" w:color="auto" w:fill="auto"/>
          </w:tcPr>
          <w:p w14:paraId="7A841731" w14:textId="77777777" w:rsidR="00AF5734" w:rsidRDefault="00AF5734" w:rsidP="00646E2D">
            <w:pPr>
              <w:jc w:val="right"/>
            </w:pPr>
            <w:r>
              <w:t>%</w:t>
            </w:r>
          </w:p>
        </w:tc>
      </w:tr>
      <w:tr w:rsidR="009C776F" w14:paraId="6584F55A" w14:textId="77777777" w:rsidTr="003754E3">
        <w:trPr>
          <w:trHeight w:val="300"/>
        </w:trPr>
        <w:tc>
          <w:tcPr>
            <w:tcW w:w="2972" w:type="dxa"/>
            <w:noWrap/>
          </w:tcPr>
          <w:p w14:paraId="24C4139F" w14:textId="273895F9" w:rsidR="009C776F" w:rsidRDefault="009C776F" w:rsidP="00646E2D">
            <w:pPr>
              <w:jc w:val="both"/>
            </w:pPr>
            <w:r>
              <w:t>Prix total TVAC</w:t>
            </w:r>
          </w:p>
        </w:tc>
        <w:tc>
          <w:tcPr>
            <w:tcW w:w="9497" w:type="dxa"/>
            <w:gridSpan w:val="5"/>
            <w:noWrap/>
          </w:tcPr>
          <w:p w14:paraId="13274B6B" w14:textId="27D91E35" w:rsidR="009C776F" w:rsidRDefault="0041071C" w:rsidP="00646E2D">
            <w:pPr>
              <w:jc w:val="right"/>
            </w:pPr>
            <w:r>
              <w:t>€</w:t>
            </w:r>
          </w:p>
        </w:tc>
      </w:tr>
    </w:tbl>
    <w:p w14:paraId="71BB8FE4" w14:textId="77777777" w:rsidR="00AF5734" w:rsidRDefault="00AF5734" w:rsidP="00AF5734">
      <w:pPr>
        <w:jc w:val="both"/>
        <w:rPr>
          <w:rFonts w:asciiTheme="minorHAnsi" w:hAnsiTheme="minorHAnsi" w:cstheme="minorHAnsi"/>
          <w:b/>
          <w:bCs/>
          <w:sz w:val="24"/>
          <w:szCs w:val="24"/>
        </w:rPr>
      </w:pPr>
    </w:p>
    <w:p w14:paraId="0C4E29F9" w14:textId="77777777" w:rsidR="00AF5734" w:rsidRDefault="00AF5734" w:rsidP="00AF5734">
      <w:pPr>
        <w:jc w:val="both"/>
        <w:rPr>
          <w:rFonts w:asciiTheme="minorHAnsi" w:hAnsiTheme="minorHAnsi" w:cstheme="minorHAnsi"/>
          <w:b/>
          <w:bCs/>
          <w:sz w:val="24"/>
          <w:szCs w:val="24"/>
        </w:rPr>
      </w:pPr>
    </w:p>
    <w:p w14:paraId="67F85081" w14:textId="6F7A2C69" w:rsidR="00AF5734" w:rsidRDefault="00AF5734" w:rsidP="00AF5734">
      <w:pPr>
        <w:pStyle w:val="Heading3"/>
        <w:rPr>
          <w:szCs w:val="21"/>
        </w:rPr>
      </w:pPr>
      <w:bookmarkStart w:id="321" w:name="_Toc160610300"/>
      <w:r>
        <w:lastRenderedPageBreak/>
        <w:t>Lot 3 : Propriété intellectuelle (PI)</w:t>
      </w:r>
      <w:bookmarkEnd w:id="321"/>
    </w:p>
    <w:p w14:paraId="4B02F0D3" w14:textId="77777777" w:rsidR="00AF5734"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5B0EE643" w14:textId="77777777" w:rsidTr="00646E2D">
        <w:trPr>
          <w:trHeight w:val="785"/>
        </w:trPr>
        <w:tc>
          <w:tcPr>
            <w:tcW w:w="2972" w:type="dxa"/>
            <w:shd w:val="clear" w:color="auto" w:fill="E7E6E6" w:themeFill="background2"/>
            <w:noWrap/>
            <w:hideMark/>
          </w:tcPr>
          <w:p w14:paraId="0AE81DD5" w14:textId="77777777" w:rsidR="00AF5734" w:rsidRPr="00706D74" w:rsidRDefault="00AF5734" w:rsidP="00646E2D">
            <w:pPr>
              <w:rPr>
                <w:b/>
                <w:bCs/>
              </w:rPr>
            </w:pPr>
            <w:r>
              <w:rPr>
                <w:b/>
              </w:rPr>
              <w:t>Poste</w:t>
            </w:r>
          </w:p>
        </w:tc>
        <w:tc>
          <w:tcPr>
            <w:tcW w:w="1701" w:type="dxa"/>
            <w:shd w:val="clear" w:color="auto" w:fill="E7E6E6" w:themeFill="background2"/>
            <w:noWrap/>
            <w:hideMark/>
          </w:tcPr>
          <w:p w14:paraId="05CD210A" w14:textId="77777777" w:rsidR="00AF5734" w:rsidRPr="00706D74" w:rsidRDefault="00AF5734" w:rsidP="00646E2D">
            <w:pPr>
              <w:rPr>
                <w:b/>
                <w:bCs/>
              </w:rPr>
            </w:pPr>
            <w:r>
              <w:rPr>
                <w:b/>
              </w:rPr>
              <w:t>Unité</w:t>
            </w:r>
          </w:p>
        </w:tc>
        <w:tc>
          <w:tcPr>
            <w:tcW w:w="2126" w:type="dxa"/>
            <w:shd w:val="clear" w:color="auto" w:fill="E7E6E6" w:themeFill="background2"/>
          </w:tcPr>
          <w:p w14:paraId="29793A00" w14:textId="77777777" w:rsidR="00AF5734" w:rsidRDefault="00AF5734" w:rsidP="00646E2D">
            <w:pPr>
              <w:rPr>
                <w:b/>
              </w:rPr>
            </w:pPr>
            <w:r>
              <w:rPr>
                <w:b/>
              </w:rPr>
              <w:t>Quantités présumées</w:t>
            </w:r>
          </w:p>
        </w:tc>
        <w:tc>
          <w:tcPr>
            <w:tcW w:w="2126" w:type="dxa"/>
            <w:shd w:val="clear" w:color="auto" w:fill="E7E6E6" w:themeFill="background2"/>
            <w:noWrap/>
          </w:tcPr>
          <w:p w14:paraId="2AB2E2C6" w14:textId="77777777" w:rsidR="00AF5734" w:rsidRPr="00706D74" w:rsidRDefault="00AF5734" w:rsidP="00646E2D">
            <w:pPr>
              <w:rPr>
                <w:b/>
                <w:bCs/>
              </w:rPr>
            </w:pPr>
            <w:r>
              <w:rPr>
                <w:b/>
              </w:rPr>
              <w:t>Prix unitaire en euros HTVA</w:t>
            </w:r>
          </w:p>
        </w:tc>
        <w:tc>
          <w:tcPr>
            <w:tcW w:w="1701" w:type="dxa"/>
            <w:shd w:val="clear" w:color="auto" w:fill="E7E6E6" w:themeFill="background2"/>
          </w:tcPr>
          <w:p w14:paraId="2BB2986D" w14:textId="77777777" w:rsidR="00AF5734" w:rsidRPr="00706D74" w:rsidRDefault="00AF5734" w:rsidP="00646E2D">
            <w:pPr>
              <w:rPr>
                <w:b/>
                <w:bCs/>
              </w:rPr>
            </w:pPr>
            <w:r>
              <w:rPr>
                <w:b/>
              </w:rPr>
              <w:t>Prix total HTVA</w:t>
            </w:r>
          </w:p>
        </w:tc>
        <w:tc>
          <w:tcPr>
            <w:tcW w:w="1843" w:type="dxa"/>
            <w:shd w:val="clear" w:color="auto" w:fill="E7E6E6" w:themeFill="background2"/>
          </w:tcPr>
          <w:p w14:paraId="7D8E66E9" w14:textId="77777777" w:rsidR="00AF5734" w:rsidRPr="00181A74" w:rsidRDefault="00AF5734" w:rsidP="00646E2D">
            <w:pPr>
              <w:rPr>
                <w:b/>
                <w:bCs/>
              </w:rPr>
            </w:pPr>
            <w:r>
              <w:rPr>
                <w:b/>
              </w:rPr>
              <w:t>Taux de TVA applicable</w:t>
            </w:r>
          </w:p>
        </w:tc>
      </w:tr>
      <w:tr w:rsidR="00AF5734" w14:paraId="65A719A2" w14:textId="77777777" w:rsidTr="00646E2D">
        <w:trPr>
          <w:trHeight w:val="300"/>
        </w:trPr>
        <w:tc>
          <w:tcPr>
            <w:tcW w:w="2972" w:type="dxa"/>
            <w:noWrap/>
          </w:tcPr>
          <w:p w14:paraId="65A48EA6" w14:textId="41CB6E26" w:rsidR="00AF5734" w:rsidRDefault="00AF5734" w:rsidP="00646E2D">
            <w:pPr>
              <w:jc w:val="both"/>
            </w:pPr>
            <w:proofErr w:type="spellStart"/>
            <w:r>
              <w:t>Expert·e</w:t>
            </w:r>
            <w:proofErr w:type="spellEnd"/>
          </w:p>
        </w:tc>
        <w:tc>
          <w:tcPr>
            <w:tcW w:w="1701" w:type="dxa"/>
            <w:noWrap/>
          </w:tcPr>
          <w:p w14:paraId="75016F3C" w14:textId="77777777" w:rsidR="00AF5734" w:rsidRDefault="00AF5734" w:rsidP="00646E2D">
            <w:pPr>
              <w:jc w:val="center"/>
            </w:pPr>
            <w:r>
              <w:t>Personne-jour</w:t>
            </w:r>
          </w:p>
        </w:tc>
        <w:tc>
          <w:tcPr>
            <w:tcW w:w="2126" w:type="dxa"/>
          </w:tcPr>
          <w:p w14:paraId="53155771" w14:textId="77777777" w:rsidR="00AF5734" w:rsidRDefault="00AF5734" w:rsidP="00646E2D">
            <w:pPr>
              <w:jc w:val="center"/>
            </w:pPr>
            <w:r>
              <w:t>50</w:t>
            </w:r>
          </w:p>
        </w:tc>
        <w:tc>
          <w:tcPr>
            <w:tcW w:w="2126" w:type="dxa"/>
            <w:shd w:val="clear" w:color="auto" w:fill="auto"/>
            <w:noWrap/>
          </w:tcPr>
          <w:p w14:paraId="74C8739F" w14:textId="77777777" w:rsidR="00AF5734" w:rsidRDefault="00AF5734" w:rsidP="00646E2D">
            <w:pPr>
              <w:jc w:val="right"/>
            </w:pPr>
            <w:r>
              <w:t>€</w:t>
            </w:r>
          </w:p>
        </w:tc>
        <w:tc>
          <w:tcPr>
            <w:tcW w:w="1701" w:type="dxa"/>
            <w:shd w:val="clear" w:color="auto" w:fill="auto"/>
          </w:tcPr>
          <w:p w14:paraId="49089857" w14:textId="77777777" w:rsidR="00AF5734" w:rsidRDefault="00AF5734" w:rsidP="00646E2D">
            <w:pPr>
              <w:jc w:val="right"/>
            </w:pPr>
            <w:r>
              <w:t>€</w:t>
            </w:r>
          </w:p>
        </w:tc>
        <w:tc>
          <w:tcPr>
            <w:tcW w:w="1843" w:type="dxa"/>
            <w:shd w:val="clear" w:color="auto" w:fill="auto"/>
          </w:tcPr>
          <w:p w14:paraId="69C92BED" w14:textId="77777777" w:rsidR="00AF5734" w:rsidRDefault="00AF5734" w:rsidP="00646E2D">
            <w:pPr>
              <w:jc w:val="right"/>
            </w:pPr>
            <w:r>
              <w:t>%</w:t>
            </w:r>
          </w:p>
        </w:tc>
      </w:tr>
      <w:tr w:rsidR="009C776F" w14:paraId="2FCEFAEE" w14:textId="77777777" w:rsidTr="000001C1">
        <w:trPr>
          <w:trHeight w:val="300"/>
        </w:trPr>
        <w:tc>
          <w:tcPr>
            <w:tcW w:w="2972" w:type="dxa"/>
            <w:noWrap/>
          </w:tcPr>
          <w:p w14:paraId="379C5182" w14:textId="0119FDF2" w:rsidR="009C776F" w:rsidRDefault="009C776F" w:rsidP="00646E2D">
            <w:pPr>
              <w:jc w:val="both"/>
            </w:pPr>
            <w:r>
              <w:t>Prix total TVAC</w:t>
            </w:r>
          </w:p>
        </w:tc>
        <w:tc>
          <w:tcPr>
            <w:tcW w:w="9497" w:type="dxa"/>
            <w:gridSpan w:val="5"/>
            <w:noWrap/>
          </w:tcPr>
          <w:p w14:paraId="276D8689" w14:textId="3045C667" w:rsidR="009C776F" w:rsidRDefault="0041071C" w:rsidP="00646E2D">
            <w:pPr>
              <w:jc w:val="right"/>
            </w:pPr>
            <w:r>
              <w:t>€</w:t>
            </w:r>
          </w:p>
        </w:tc>
      </w:tr>
    </w:tbl>
    <w:p w14:paraId="5E3461B3" w14:textId="77777777" w:rsidR="00AF5734" w:rsidRDefault="00AF5734" w:rsidP="00AF5734"/>
    <w:p w14:paraId="3C3541C6" w14:textId="0604EDD0" w:rsidR="00AF5734" w:rsidRDefault="00AF5734" w:rsidP="00AF5734">
      <w:pPr>
        <w:pStyle w:val="Heading3"/>
        <w:rPr>
          <w:szCs w:val="21"/>
        </w:rPr>
      </w:pPr>
      <w:bookmarkStart w:id="322" w:name="_Toc160610301"/>
      <w:r>
        <w:t>Lot 4 : Contrôle de la qualité (CQ)</w:t>
      </w:r>
      <w:bookmarkEnd w:id="322"/>
    </w:p>
    <w:p w14:paraId="0B0AD290" w14:textId="77777777" w:rsidR="00AF5734"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181A74" w14:paraId="4E35129E" w14:textId="77777777" w:rsidTr="00646E2D">
        <w:trPr>
          <w:trHeight w:val="785"/>
        </w:trPr>
        <w:tc>
          <w:tcPr>
            <w:tcW w:w="2972" w:type="dxa"/>
            <w:shd w:val="clear" w:color="auto" w:fill="E7E6E6" w:themeFill="background2"/>
            <w:noWrap/>
            <w:hideMark/>
          </w:tcPr>
          <w:p w14:paraId="35F960B1" w14:textId="77777777" w:rsidR="00AF5734" w:rsidRPr="00706D74" w:rsidRDefault="00AF5734" w:rsidP="00646E2D">
            <w:pPr>
              <w:rPr>
                <w:b/>
                <w:bCs/>
              </w:rPr>
            </w:pPr>
            <w:r>
              <w:rPr>
                <w:b/>
              </w:rPr>
              <w:t>Poste</w:t>
            </w:r>
          </w:p>
        </w:tc>
        <w:tc>
          <w:tcPr>
            <w:tcW w:w="1701" w:type="dxa"/>
            <w:shd w:val="clear" w:color="auto" w:fill="E7E6E6" w:themeFill="background2"/>
            <w:noWrap/>
            <w:hideMark/>
          </w:tcPr>
          <w:p w14:paraId="3AFF2A30" w14:textId="77777777" w:rsidR="00AF5734" w:rsidRPr="00706D74" w:rsidRDefault="00AF5734" w:rsidP="00646E2D">
            <w:pPr>
              <w:rPr>
                <w:b/>
                <w:bCs/>
              </w:rPr>
            </w:pPr>
            <w:r>
              <w:rPr>
                <w:b/>
              </w:rPr>
              <w:t>Unité</w:t>
            </w:r>
          </w:p>
        </w:tc>
        <w:tc>
          <w:tcPr>
            <w:tcW w:w="2126" w:type="dxa"/>
            <w:shd w:val="clear" w:color="auto" w:fill="E7E6E6" w:themeFill="background2"/>
          </w:tcPr>
          <w:p w14:paraId="6A023CA4" w14:textId="77777777" w:rsidR="00AF5734" w:rsidRDefault="00AF5734" w:rsidP="00646E2D">
            <w:pPr>
              <w:rPr>
                <w:b/>
              </w:rPr>
            </w:pPr>
            <w:r>
              <w:rPr>
                <w:b/>
              </w:rPr>
              <w:t>Quantités présumées</w:t>
            </w:r>
          </w:p>
        </w:tc>
        <w:tc>
          <w:tcPr>
            <w:tcW w:w="2126" w:type="dxa"/>
            <w:shd w:val="clear" w:color="auto" w:fill="E7E6E6" w:themeFill="background2"/>
            <w:noWrap/>
          </w:tcPr>
          <w:p w14:paraId="72DD4B2C" w14:textId="77777777" w:rsidR="00AF5734" w:rsidRPr="00706D74" w:rsidRDefault="00AF5734" w:rsidP="00646E2D">
            <w:pPr>
              <w:rPr>
                <w:b/>
                <w:bCs/>
              </w:rPr>
            </w:pPr>
            <w:r>
              <w:rPr>
                <w:b/>
              </w:rPr>
              <w:t>Prix unitaire en euros HTVA</w:t>
            </w:r>
          </w:p>
        </w:tc>
        <w:tc>
          <w:tcPr>
            <w:tcW w:w="1701" w:type="dxa"/>
            <w:shd w:val="clear" w:color="auto" w:fill="E7E6E6" w:themeFill="background2"/>
          </w:tcPr>
          <w:p w14:paraId="2E99D0E5" w14:textId="77777777" w:rsidR="00AF5734" w:rsidRPr="00706D74" w:rsidRDefault="00AF5734" w:rsidP="00646E2D">
            <w:pPr>
              <w:rPr>
                <w:b/>
                <w:bCs/>
              </w:rPr>
            </w:pPr>
            <w:r>
              <w:rPr>
                <w:b/>
              </w:rPr>
              <w:t>Prix total HTVA</w:t>
            </w:r>
          </w:p>
        </w:tc>
        <w:tc>
          <w:tcPr>
            <w:tcW w:w="1843" w:type="dxa"/>
            <w:shd w:val="clear" w:color="auto" w:fill="E7E6E6" w:themeFill="background2"/>
          </w:tcPr>
          <w:p w14:paraId="5DEFA90C" w14:textId="77777777" w:rsidR="00AF5734" w:rsidRPr="00181A74" w:rsidRDefault="00AF5734" w:rsidP="00646E2D">
            <w:pPr>
              <w:rPr>
                <w:b/>
                <w:bCs/>
              </w:rPr>
            </w:pPr>
            <w:r>
              <w:rPr>
                <w:b/>
              </w:rPr>
              <w:t>Taux de TVA applicable</w:t>
            </w:r>
          </w:p>
        </w:tc>
      </w:tr>
      <w:tr w:rsidR="00AF5734" w14:paraId="6E4EB4F9" w14:textId="77777777" w:rsidTr="00646E2D">
        <w:trPr>
          <w:trHeight w:val="300"/>
        </w:trPr>
        <w:tc>
          <w:tcPr>
            <w:tcW w:w="2972" w:type="dxa"/>
            <w:noWrap/>
          </w:tcPr>
          <w:p w14:paraId="65180865" w14:textId="344D76C8" w:rsidR="00AF5734" w:rsidRDefault="00AF5734" w:rsidP="00646E2D">
            <w:pPr>
              <w:jc w:val="both"/>
            </w:pPr>
            <w:proofErr w:type="spellStart"/>
            <w:r>
              <w:t>Expert·e</w:t>
            </w:r>
            <w:proofErr w:type="spellEnd"/>
          </w:p>
        </w:tc>
        <w:tc>
          <w:tcPr>
            <w:tcW w:w="1701" w:type="dxa"/>
            <w:noWrap/>
          </w:tcPr>
          <w:p w14:paraId="6606F217" w14:textId="77777777" w:rsidR="00AF5734" w:rsidRDefault="00AF5734" w:rsidP="00646E2D">
            <w:pPr>
              <w:jc w:val="center"/>
            </w:pPr>
            <w:r>
              <w:t>Personne-jour</w:t>
            </w:r>
          </w:p>
        </w:tc>
        <w:tc>
          <w:tcPr>
            <w:tcW w:w="2126" w:type="dxa"/>
          </w:tcPr>
          <w:p w14:paraId="33824FAC" w14:textId="77777777" w:rsidR="00AF5734" w:rsidRDefault="00AF5734" w:rsidP="00646E2D">
            <w:pPr>
              <w:jc w:val="center"/>
            </w:pPr>
            <w:r>
              <w:t>50</w:t>
            </w:r>
          </w:p>
        </w:tc>
        <w:tc>
          <w:tcPr>
            <w:tcW w:w="2126" w:type="dxa"/>
            <w:shd w:val="clear" w:color="auto" w:fill="auto"/>
            <w:noWrap/>
          </w:tcPr>
          <w:p w14:paraId="293741DE" w14:textId="77777777" w:rsidR="00AF5734" w:rsidRDefault="00AF5734" w:rsidP="00646E2D">
            <w:pPr>
              <w:jc w:val="right"/>
            </w:pPr>
            <w:r>
              <w:t>€</w:t>
            </w:r>
          </w:p>
        </w:tc>
        <w:tc>
          <w:tcPr>
            <w:tcW w:w="1701" w:type="dxa"/>
            <w:shd w:val="clear" w:color="auto" w:fill="auto"/>
          </w:tcPr>
          <w:p w14:paraId="47E6A6F5" w14:textId="77777777" w:rsidR="00AF5734" w:rsidRDefault="00AF5734" w:rsidP="00646E2D">
            <w:pPr>
              <w:jc w:val="right"/>
            </w:pPr>
            <w:r>
              <w:t>€</w:t>
            </w:r>
          </w:p>
        </w:tc>
        <w:tc>
          <w:tcPr>
            <w:tcW w:w="1843" w:type="dxa"/>
            <w:shd w:val="clear" w:color="auto" w:fill="auto"/>
          </w:tcPr>
          <w:p w14:paraId="769FDF84" w14:textId="77777777" w:rsidR="00AF5734" w:rsidRDefault="00AF5734" w:rsidP="00646E2D">
            <w:pPr>
              <w:jc w:val="right"/>
            </w:pPr>
            <w:r>
              <w:t>%</w:t>
            </w:r>
          </w:p>
        </w:tc>
      </w:tr>
      <w:tr w:rsidR="00AA4BDB" w14:paraId="5F16DA41" w14:textId="77777777" w:rsidTr="00211425">
        <w:trPr>
          <w:trHeight w:val="300"/>
        </w:trPr>
        <w:tc>
          <w:tcPr>
            <w:tcW w:w="2972" w:type="dxa"/>
            <w:noWrap/>
          </w:tcPr>
          <w:p w14:paraId="3911748E" w14:textId="2E2D7174" w:rsidR="00AA4BDB" w:rsidRDefault="00AA4BDB" w:rsidP="00646E2D">
            <w:pPr>
              <w:jc w:val="both"/>
            </w:pPr>
            <w:r>
              <w:t>Prix total TVAC</w:t>
            </w:r>
          </w:p>
        </w:tc>
        <w:tc>
          <w:tcPr>
            <w:tcW w:w="9497" w:type="dxa"/>
            <w:gridSpan w:val="5"/>
            <w:noWrap/>
          </w:tcPr>
          <w:p w14:paraId="4ABA1079" w14:textId="4840FC55" w:rsidR="00AA4BDB" w:rsidRDefault="0041071C" w:rsidP="00646E2D">
            <w:pPr>
              <w:jc w:val="right"/>
            </w:pPr>
            <w:r>
              <w:t>€</w:t>
            </w:r>
          </w:p>
        </w:tc>
      </w:tr>
    </w:tbl>
    <w:p w14:paraId="623C14DE" w14:textId="77777777" w:rsidR="00AF5734" w:rsidRDefault="00AF5734" w:rsidP="00AF5734"/>
    <w:p w14:paraId="62292BC2" w14:textId="315AB765" w:rsidR="00AF5734" w:rsidRDefault="00AF5734" w:rsidP="00A81304">
      <w:pPr>
        <w:pStyle w:val="Heading3"/>
        <w:rPr>
          <w:szCs w:val="21"/>
        </w:rPr>
      </w:pPr>
      <w:bookmarkStart w:id="323" w:name="_Toc160610302"/>
      <w:r>
        <w:t>Lot 5 : Pharmacovigilance (PV) et sécurité des médicaments/vaccins</w:t>
      </w:r>
      <w:bookmarkEnd w:id="323"/>
    </w:p>
    <w:p w14:paraId="010D49BB" w14:textId="77777777" w:rsid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13AF11AE" w14:textId="77777777" w:rsidTr="00646E2D">
        <w:trPr>
          <w:trHeight w:val="785"/>
        </w:trPr>
        <w:tc>
          <w:tcPr>
            <w:tcW w:w="2972" w:type="dxa"/>
            <w:shd w:val="clear" w:color="auto" w:fill="E7E6E6" w:themeFill="background2"/>
            <w:noWrap/>
            <w:hideMark/>
          </w:tcPr>
          <w:p w14:paraId="2BA97401" w14:textId="77777777" w:rsidR="00A81304" w:rsidRPr="00706D74" w:rsidRDefault="00A81304" w:rsidP="00646E2D">
            <w:pPr>
              <w:rPr>
                <w:b/>
                <w:bCs/>
              </w:rPr>
            </w:pPr>
            <w:r>
              <w:rPr>
                <w:b/>
              </w:rPr>
              <w:t>Poste</w:t>
            </w:r>
          </w:p>
        </w:tc>
        <w:tc>
          <w:tcPr>
            <w:tcW w:w="1701" w:type="dxa"/>
            <w:shd w:val="clear" w:color="auto" w:fill="E7E6E6" w:themeFill="background2"/>
            <w:noWrap/>
            <w:hideMark/>
          </w:tcPr>
          <w:p w14:paraId="1ED42614" w14:textId="77777777" w:rsidR="00A81304" w:rsidRPr="00706D74" w:rsidRDefault="00A81304" w:rsidP="00646E2D">
            <w:pPr>
              <w:rPr>
                <w:b/>
                <w:bCs/>
              </w:rPr>
            </w:pPr>
            <w:r>
              <w:rPr>
                <w:b/>
              </w:rPr>
              <w:t>Unité</w:t>
            </w:r>
          </w:p>
        </w:tc>
        <w:tc>
          <w:tcPr>
            <w:tcW w:w="2126" w:type="dxa"/>
            <w:shd w:val="clear" w:color="auto" w:fill="E7E6E6" w:themeFill="background2"/>
          </w:tcPr>
          <w:p w14:paraId="4BC58D54" w14:textId="77777777" w:rsidR="00A81304" w:rsidRDefault="00A81304" w:rsidP="00646E2D">
            <w:pPr>
              <w:rPr>
                <w:b/>
              </w:rPr>
            </w:pPr>
            <w:r>
              <w:rPr>
                <w:b/>
              </w:rPr>
              <w:t>Quantités présumées</w:t>
            </w:r>
          </w:p>
        </w:tc>
        <w:tc>
          <w:tcPr>
            <w:tcW w:w="2126" w:type="dxa"/>
            <w:shd w:val="clear" w:color="auto" w:fill="E7E6E6" w:themeFill="background2"/>
            <w:noWrap/>
          </w:tcPr>
          <w:p w14:paraId="74CBB4F7" w14:textId="77777777" w:rsidR="00A81304" w:rsidRPr="00706D74" w:rsidRDefault="00A81304" w:rsidP="00646E2D">
            <w:pPr>
              <w:rPr>
                <w:b/>
                <w:bCs/>
              </w:rPr>
            </w:pPr>
            <w:r>
              <w:rPr>
                <w:b/>
              </w:rPr>
              <w:t>Prix unitaire en euros HTVA</w:t>
            </w:r>
          </w:p>
        </w:tc>
        <w:tc>
          <w:tcPr>
            <w:tcW w:w="1701" w:type="dxa"/>
            <w:shd w:val="clear" w:color="auto" w:fill="E7E6E6" w:themeFill="background2"/>
          </w:tcPr>
          <w:p w14:paraId="45EA65AF" w14:textId="77777777" w:rsidR="00A81304" w:rsidRPr="00706D74" w:rsidRDefault="00A81304" w:rsidP="00646E2D">
            <w:pPr>
              <w:rPr>
                <w:b/>
                <w:bCs/>
              </w:rPr>
            </w:pPr>
            <w:r>
              <w:rPr>
                <w:b/>
              </w:rPr>
              <w:t>Prix total HTVA</w:t>
            </w:r>
          </w:p>
        </w:tc>
        <w:tc>
          <w:tcPr>
            <w:tcW w:w="1843" w:type="dxa"/>
            <w:shd w:val="clear" w:color="auto" w:fill="E7E6E6" w:themeFill="background2"/>
          </w:tcPr>
          <w:p w14:paraId="4C4BD173" w14:textId="77777777" w:rsidR="00A81304" w:rsidRPr="00181A74" w:rsidRDefault="00A81304" w:rsidP="00646E2D">
            <w:pPr>
              <w:rPr>
                <w:b/>
                <w:bCs/>
              </w:rPr>
            </w:pPr>
            <w:r>
              <w:rPr>
                <w:b/>
              </w:rPr>
              <w:t>Taux de TVA applicable</w:t>
            </w:r>
          </w:p>
        </w:tc>
      </w:tr>
      <w:tr w:rsidR="00A81304" w14:paraId="0568EBEA" w14:textId="77777777" w:rsidTr="00646E2D">
        <w:trPr>
          <w:trHeight w:val="300"/>
        </w:trPr>
        <w:tc>
          <w:tcPr>
            <w:tcW w:w="2972" w:type="dxa"/>
            <w:noWrap/>
          </w:tcPr>
          <w:p w14:paraId="3E45FF14" w14:textId="1AD29B5E" w:rsidR="00A81304" w:rsidRDefault="00A81304" w:rsidP="00646E2D">
            <w:pPr>
              <w:jc w:val="both"/>
            </w:pPr>
            <w:proofErr w:type="spellStart"/>
            <w:r>
              <w:t>Expert·e</w:t>
            </w:r>
            <w:proofErr w:type="spellEnd"/>
          </w:p>
        </w:tc>
        <w:tc>
          <w:tcPr>
            <w:tcW w:w="1701" w:type="dxa"/>
            <w:noWrap/>
          </w:tcPr>
          <w:p w14:paraId="1E5764F4" w14:textId="77777777" w:rsidR="00A81304" w:rsidRDefault="00A81304" w:rsidP="00646E2D">
            <w:pPr>
              <w:jc w:val="center"/>
            </w:pPr>
            <w:r>
              <w:t>Personne-jour</w:t>
            </w:r>
          </w:p>
        </w:tc>
        <w:tc>
          <w:tcPr>
            <w:tcW w:w="2126" w:type="dxa"/>
          </w:tcPr>
          <w:p w14:paraId="19C8B172" w14:textId="77777777" w:rsidR="00A81304" w:rsidRDefault="00A81304" w:rsidP="00646E2D">
            <w:pPr>
              <w:jc w:val="center"/>
            </w:pPr>
            <w:r>
              <w:t>50</w:t>
            </w:r>
          </w:p>
        </w:tc>
        <w:tc>
          <w:tcPr>
            <w:tcW w:w="2126" w:type="dxa"/>
            <w:shd w:val="clear" w:color="auto" w:fill="auto"/>
            <w:noWrap/>
          </w:tcPr>
          <w:p w14:paraId="434C1CDC" w14:textId="77777777" w:rsidR="00A81304" w:rsidRDefault="00A81304" w:rsidP="00646E2D">
            <w:pPr>
              <w:jc w:val="right"/>
            </w:pPr>
            <w:r>
              <w:t>€</w:t>
            </w:r>
          </w:p>
        </w:tc>
        <w:tc>
          <w:tcPr>
            <w:tcW w:w="1701" w:type="dxa"/>
            <w:shd w:val="clear" w:color="auto" w:fill="auto"/>
          </w:tcPr>
          <w:p w14:paraId="59FBF179" w14:textId="77777777" w:rsidR="00A81304" w:rsidRDefault="00A81304" w:rsidP="00646E2D">
            <w:pPr>
              <w:jc w:val="right"/>
            </w:pPr>
            <w:r>
              <w:t>€</w:t>
            </w:r>
          </w:p>
        </w:tc>
        <w:tc>
          <w:tcPr>
            <w:tcW w:w="1843" w:type="dxa"/>
            <w:shd w:val="clear" w:color="auto" w:fill="auto"/>
          </w:tcPr>
          <w:p w14:paraId="316B88B9" w14:textId="77777777" w:rsidR="00A81304" w:rsidRDefault="00A81304" w:rsidP="00646E2D">
            <w:pPr>
              <w:jc w:val="right"/>
            </w:pPr>
            <w:r>
              <w:t>%</w:t>
            </w:r>
          </w:p>
        </w:tc>
      </w:tr>
      <w:tr w:rsidR="00AA4BDB" w14:paraId="17BB3E43" w14:textId="77777777" w:rsidTr="006A1597">
        <w:trPr>
          <w:trHeight w:val="300"/>
        </w:trPr>
        <w:tc>
          <w:tcPr>
            <w:tcW w:w="2972" w:type="dxa"/>
            <w:noWrap/>
          </w:tcPr>
          <w:p w14:paraId="0C238103" w14:textId="23C024F5" w:rsidR="00AA4BDB" w:rsidRDefault="00AA4BDB" w:rsidP="00646E2D">
            <w:pPr>
              <w:jc w:val="both"/>
            </w:pPr>
            <w:r>
              <w:t>Prix total TVAC</w:t>
            </w:r>
          </w:p>
        </w:tc>
        <w:tc>
          <w:tcPr>
            <w:tcW w:w="9497" w:type="dxa"/>
            <w:gridSpan w:val="5"/>
            <w:noWrap/>
          </w:tcPr>
          <w:p w14:paraId="444149DB" w14:textId="724BEFC7" w:rsidR="00AA4BDB" w:rsidRDefault="0041071C" w:rsidP="00646E2D">
            <w:pPr>
              <w:jc w:val="right"/>
            </w:pPr>
            <w:r>
              <w:t>€</w:t>
            </w:r>
          </w:p>
        </w:tc>
      </w:tr>
    </w:tbl>
    <w:p w14:paraId="60818404" w14:textId="77777777" w:rsidR="0041071C" w:rsidRDefault="0041071C" w:rsidP="00A81304"/>
    <w:p w14:paraId="3BAAF61F" w14:textId="77777777" w:rsidR="00A81304" w:rsidRDefault="00A81304" w:rsidP="00A81304"/>
    <w:p w14:paraId="6080A1B8" w14:textId="267C4F9D" w:rsidR="00AF5734" w:rsidRDefault="00AF5734" w:rsidP="00A81304">
      <w:pPr>
        <w:pStyle w:val="Heading3"/>
        <w:rPr>
          <w:szCs w:val="21"/>
        </w:rPr>
      </w:pPr>
      <w:bookmarkStart w:id="324" w:name="_Toc160610303"/>
      <w:r>
        <w:lastRenderedPageBreak/>
        <w:t>Lot 6 : Transfert technologique</w:t>
      </w:r>
      <w:bookmarkEnd w:id="324"/>
    </w:p>
    <w:p w14:paraId="23B08C52" w14:textId="77777777" w:rsidR="00A81304" w:rsidRP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712EA51C" w14:textId="77777777" w:rsidTr="00646E2D">
        <w:trPr>
          <w:trHeight w:val="785"/>
        </w:trPr>
        <w:tc>
          <w:tcPr>
            <w:tcW w:w="2972" w:type="dxa"/>
            <w:shd w:val="clear" w:color="auto" w:fill="E7E6E6" w:themeFill="background2"/>
            <w:noWrap/>
            <w:hideMark/>
          </w:tcPr>
          <w:p w14:paraId="2B8F8B33" w14:textId="77777777" w:rsidR="00A81304" w:rsidRPr="00706D74" w:rsidRDefault="00A81304" w:rsidP="00646E2D">
            <w:pPr>
              <w:rPr>
                <w:b/>
                <w:bCs/>
              </w:rPr>
            </w:pPr>
            <w:r>
              <w:rPr>
                <w:b/>
              </w:rPr>
              <w:t>Poste</w:t>
            </w:r>
          </w:p>
        </w:tc>
        <w:tc>
          <w:tcPr>
            <w:tcW w:w="1701" w:type="dxa"/>
            <w:shd w:val="clear" w:color="auto" w:fill="E7E6E6" w:themeFill="background2"/>
            <w:noWrap/>
            <w:hideMark/>
          </w:tcPr>
          <w:p w14:paraId="3CDBE2C4" w14:textId="77777777" w:rsidR="00A81304" w:rsidRPr="00706D74" w:rsidRDefault="00A81304" w:rsidP="00646E2D">
            <w:pPr>
              <w:rPr>
                <w:b/>
                <w:bCs/>
              </w:rPr>
            </w:pPr>
            <w:r>
              <w:rPr>
                <w:b/>
              </w:rPr>
              <w:t>Unité</w:t>
            </w:r>
          </w:p>
        </w:tc>
        <w:tc>
          <w:tcPr>
            <w:tcW w:w="2126" w:type="dxa"/>
            <w:shd w:val="clear" w:color="auto" w:fill="E7E6E6" w:themeFill="background2"/>
          </w:tcPr>
          <w:p w14:paraId="5A975EBB" w14:textId="77777777" w:rsidR="00A81304" w:rsidRDefault="00A81304" w:rsidP="00646E2D">
            <w:pPr>
              <w:rPr>
                <w:b/>
              </w:rPr>
            </w:pPr>
            <w:r>
              <w:rPr>
                <w:b/>
              </w:rPr>
              <w:t>Quantités présumées</w:t>
            </w:r>
          </w:p>
        </w:tc>
        <w:tc>
          <w:tcPr>
            <w:tcW w:w="2126" w:type="dxa"/>
            <w:shd w:val="clear" w:color="auto" w:fill="E7E6E6" w:themeFill="background2"/>
            <w:noWrap/>
          </w:tcPr>
          <w:p w14:paraId="7C1A0A7D" w14:textId="77777777" w:rsidR="00A81304" w:rsidRPr="00706D74" w:rsidRDefault="00A81304" w:rsidP="00646E2D">
            <w:pPr>
              <w:rPr>
                <w:b/>
                <w:bCs/>
              </w:rPr>
            </w:pPr>
            <w:r>
              <w:rPr>
                <w:b/>
              </w:rPr>
              <w:t>Prix unitaire en euros HTVA</w:t>
            </w:r>
          </w:p>
        </w:tc>
        <w:tc>
          <w:tcPr>
            <w:tcW w:w="1701" w:type="dxa"/>
            <w:shd w:val="clear" w:color="auto" w:fill="E7E6E6" w:themeFill="background2"/>
          </w:tcPr>
          <w:p w14:paraId="0E116675" w14:textId="77777777" w:rsidR="00A81304" w:rsidRPr="00706D74" w:rsidRDefault="00A81304" w:rsidP="00646E2D">
            <w:pPr>
              <w:rPr>
                <w:b/>
                <w:bCs/>
              </w:rPr>
            </w:pPr>
            <w:r>
              <w:rPr>
                <w:b/>
              </w:rPr>
              <w:t>Prix total HTVA</w:t>
            </w:r>
          </w:p>
        </w:tc>
        <w:tc>
          <w:tcPr>
            <w:tcW w:w="1843" w:type="dxa"/>
            <w:shd w:val="clear" w:color="auto" w:fill="E7E6E6" w:themeFill="background2"/>
          </w:tcPr>
          <w:p w14:paraId="4C945285" w14:textId="77777777" w:rsidR="00A81304" w:rsidRPr="00181A74" w:rsidRDefault="00A81304" w:rsidP="00646E2D">
            <w:pPr>
              <w:rPr>
                <w:b/>
                <w:bCs/>
              </w:rPr>
            </w:pPr>
            <w:r>
              <w:rPr>
                <w:b/>
              </w:rPr>
              <w:t>Taux de TVA applicable</w:t>
            </w:r>
          </w:p>
        </w:tc>
      </w:tr>
      <w:tr w:rsidR="00A81304" w14:paraId="74C0AB23" w14:textId="77777777" w:rsidTr="00646E2D">
        <w:trPr>
          <w:trHeight w:val="300"/>
        </w:trPr>
        <w:tc>
          <w:tcPr>
            <w:tcW w:w="2972" w:type="dxa"/>
            <w:noWrap/>
          </w:tcPr>
          <w:p w14:paraId="2581197C" w14:textId="1C9F2E48" w:rsidR="00A81304" w:rsidRDefault="00A81304" w:rsidP="00646E2D">
            <w:pPr>
              <w:jc w:val="both"/>
            </w:pPr>
            <w:proofErr w:type="spellStart"/>
            <w:r>
              <w:t>Expert·e</w:t>
            </w:r>
            <w:proofErr w:type="spellEnd"/>
          </w:p>
        </w:tc>
        <w:tc>
          <w:tcPr>
            <w:tcW w:w="1701" w:type="dxa"/>
            <w:noWrap/>
          </w:tcPr>
          <w:p w14:paraId="64BB7CB1" w14:textId="77777777" w:rsidR="00A81304" w:rsidRDefault="00A81304" w:rsidP="00646E2D">
            <w:pPr>
              <w:jc w:val="center"/>
            </w:pPr>
            <w:r>
              <w:t>Personne-jour</w:t>
            </w:r>
          </w:p>
        </w:tc>
        <w:tc>
          <w:tcPr>
            <w:tcW w:w="2126" w:type="dxa"/>
          </w:tcPr>
          <w:p w14:paraId="07AB798E" w14:textId="77777777" w:rsidR="00A81304" w:rsidRDefault="00A81304" w:rsidP="00646E2D">
            <w:pPr>
              <w:jc w:val="center"/>
            </w:pPr>
            <w:r>
              <w:t>50</w:t>
            </w:r>
          </w:p>
        </w:tc>
        <w:tc>
          <w:tcPr>
            <w:tcW w:w="2126" w:type="dxa"/>
            <w:shd w:val="clear" w:color="auto" w:fill="auto"/>
            <w:noWrap/>
          </w:tcPr>
          <w:p w14:paraId="5862FB99" w14:textId="77777777" w:rsidR="00A81304" w:rsidRDefault="00A81304" w:rsidP="00646E2D">
            <w:pPr>
              <w:jc w:val="right"/>
            </w:pPr>
            <w:r>
              <w:t>€</w:t>
            </w:r>
          </w:p>
        </w:tc>
        <w:tc>
          <w:tcPr>
            <w:tcW w:w="1701" w:type="dxa"/>
            <w:shd w:val="clear" w:color="auto" w:fill="auto"/>
          </w:tcPr>
          <w:p w14:paraId="685B1391" w14:textId="77777777" w:rsidR="00A81304" w:rsidRDefault="00A81304" w:rsidP="00646E2D">
            <w:pPr>
              <w:jc w:val="right"/>
            </w:pPr>
            <w:r>
              <w:t>€</w:t>
            </w:r>
          </w:p>
        </w:tc>
        <w:tc>
          <w:tcPr>
            <w:tcW w:w="1843" w:type="dxa"/>
            <w:shd w:val="clear" w:color="auto" w:fill="auto"/>
          </w:tcPr>
          <w:p w14:paraId="090A8C9A" w14:textId="77777777" w:rsidR="00A81304" w:rsidRDefault="00A81304" w:rsidP="00646E2D">
            <w:pPr>
              <w:jc w:val="right"/>
            </w:pPr>
            <w:r>
              <w:t>%</w:t>
            </w:r>
          </w:p>
        </w:tc>
      </w:tr>
      <w:tr w:rsidR="00AA4BDB" w14:paraId="107356D0" w14:textId="77777777" w:rsidTr="00EA703A">
        <w:trPr>
          <w:trHeight w:val="300"/>
        </w:trPr>
        <w:tc>
          <w:tcPr>
            <w:tcW w:w="2972" w:type="dxa"/>
            <w:noWrap/>
          </w:tcPr>
          <w:p w14:paraId="71B54145" w14:textId="0C3622D8" w:rsidR="00AA4BDB" w:rsidRDefault="00AA4BDB" w:rsidP="00646E2D">
            <w:pPr>
              <w:jc w:val="both"/>
            </w:pPr>
            <w:r>
              <w:t>Prix total TVAC</w:t>
            </w:r>
          </w:p>
        </w:tc>
        <w:tc>
          <w:tcPr>
            <w:tcW w:w="9497" w:type="dxa"/>
            <w:gridSpan w:val="5"/>
            <w:noWrap/>
          </w:tcPr>
          <w:p w14:paraId="50957341" w14:textId="6F2E647E" w:rsidR="00AA4BDB" w:rsidRDefault="0041071C" w:rsidP="00646E2D">
            <w:pPr>
              <w:jc w:val="right"/>
            </w:pPr>
            <w:r>
              <w:t>€</w:t>
            </w:r>
          </w:p>
        </w:tc>
      </w:tr>
    </w:tbl>
    <w:p w14:paraId="4BCEDE58" w14:textId="77777777" w:rsidR="00A81304" w:rsidRDefault="00A81304" w:rsidP="00A81304"/>
    <w:p w14:paraId="41C8ED6E" w14:textId="5AFD42D8" w:rsidR="00AF5734" w:rsidRDefault="00AF5734" w:rsidP="00A81304">
      <w:pPr>
        <w:pStyle w:val="Heading3"/>
        <w:rPr>
          <w:szCs w:val="21"/>
        </w:rPr>
      </w:pPr>
      <w:bookmarkStart w:id="325" w:name="_Toc160610304"/>
      <w:r>
        <w:t>Lot 7 : Façonnage du marché, demande &amp; facilitation du commerce</w:t>
      </w:r>
      <w:bookmarkEnd w:id="325"/>
    </w:p>
    <w:p w14:paraId="5A60073F" w14:textId="77777777" w:rsidR="00A81304"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181A74" w14:paraId="042AD0C5" w14:textId="77777777" w:rsidTr="00646E2D">
        <w:trPr>
          <w:trHeight w:val="785"/>
        </w:trPr>
        <w:tc>
          <w:tcPr>
            <w:tcW w:w="2972" w:type="dxa"/>
            <w:shd w:val="clear" w:color="auto" w:fill="E7E6E6" w:themeFill="background2"/>
            <w:noWrap/>
            <w:hideMark/>
          </w:tcPr>
          <w:p w14:paraId="6A3D83ED" w14:textId="77777777" w:rsidR="00A81304" w:rsidRPr="00706D74" w:rsidRDefault="00A81304" w:rsidP="00646E2D">
            <w:pPr>
              <w:rPr>
                <w:b/>
                <w:bCs/>
              </w:rPr>
            </w:pPr>
            <w:r>
              <w:rPr>
                <w:b/>
              </w:rPr>
              <w:t>Poste</w:t>
            </w:r>
          </w:p>
        </w:tc>
        <w:tc>
          <w:tcPr>
            <w:tcW w:w="1701" w:type="dxa"/>
            <w:shd w:val="clear" w:color="auto" w:fill="E7E6E6" w:themeFill="background2"/>
            <w:noWrap/>
            <w:hideMark/>
          </w:tcPr>
          <w:p w14:paraId="54FB0618" w14:textId="77777777" w:rsidR="00A81304" w:rsidRPr="00706D74" w:rsidRDefault="00A81304" w:rsidP="00646E2D">
            <w:pPr>
              <w:rPr>
                <w:b/>
                <w:bCs/>
              </w:rPr>
            </w:pPr>
            <w:r>
              <w:rPr>
                <w:b/>
              </w:rPr>
              <w:t>Unité</w:t>
            </w:r>
          </w:p>
        </w:tc>
        <w:tc>
          <w:tcPr>
            <w:tcW w:w="2126" w:type="dxa"/>
            <w:shd w:val="clear" w:color="auto" w:fill="E7E6E6" w:themeFill="background2"/>
          </w:tcPr>
          <w:p w14:paraId="3D25AF3F" w14:textId="77777777" w:rsidR="00A81304" w:rsidRDefault="00A81304" w:rsidP="00646E2D">
            <w:pPr>
              <w:rPr>
                <w:b/>
              </w:rPr>
            </w:pPr>
            <w:r>
              <w:rPr>
                <w:b/>
              </w:rPr>
              <w:t>Quantités présumées</w:t>
            </w:r>
          </w:p>
        </w:tc>
        <w:tc>
          <w:tcPr>
            <w:tcW w:w="2126" w:type="dxa"/>
            <w:shd w:val="clear" w:color="auto" w:fill="E7E6E6" w:themeFill="background2"/>
            <w:noWrap/>
          </w:tcPr>
          <w:p w14:paraId="69C0C645" w14:textId="77777777" w:rsidR="00A81304" w:rsidRPr="00706D74" w:rsidRDefault="00A81304" w:rsidP="00646E2D">
            <w:pPr>
              <w:rPr>
                <w:b/>
                <w:bCs/>
              </w:rPr>
            </w:pPr>
            <w:r>
              <w:rPr>
                <w:b/>
              </w:rPr>
              <w:t>Prix unitaire en euros HTVA</w:t>
            </w:r>
          </w:p>
        </w:tc>
        <w:tc>
          <w:tcPr>
            <w:tcW w:w="1701" w:type="dxa"/>
            <w:shd w:val="clear" w:color="auto" w:fill="E7E6E6" w:themeFill="background2"/>
          </w:tcPr>
          <w:p w14:paraId="238342B9" w14:textId="77777777" w:rsidR="00A81304" w:rsidRPr="00706D74" w:rsidRDefault="00A81304" w:rsidP="00646E2D">
            <w:pPr>
              <w:rPr>
                <w:b/>
                <w:bCs/>
              </w:rPr>
            </w:pPr>
            <w:r>
              <w:rPr>
                <w:b/>
              </w:rPr>
              <w:t>Prix total HTVA</w:t>
            </w:r>
          </w:p>
        </w:tc>
        <w:tc>
          <w:tcPr>
            <w:tcW w:w="1843" w:type="dxa"/>
            <w:shd w:val="clear" w:color="auto" w:fill="E7E6E6" w:themeFill="background2"/>
          </w:tcPr>
          <w:p w14:paraId="7DA37E22" w14:textId="77777777" w:rsidR="00A81304" w:rsidRPr="00181A74" w:rsidRDefault="00A81304" w:rsidP="00646E2D">
            <w:pPr>
              <w:rPr>
                <w:b/>
                <w:bCs/>
              </w:rPr>
            </w:pPr>
            <w:r>
              <w:rPr>
                <w:b/>
              </w:rPr>
              <w:t>Taux de TVA applicable</w:t>
            </w:r>
          </w:p>
        </w:tc>
      </w:tr>
      <w:tr w:rsidR="00A81304" w14:paraId="063745F8" w14:textId="77777777" w:rsidTr="00646E2D">
        <w:trPr>
          <w:trHeight w:val="300"/>
        </w:trPr>
        <w:tc>
          <w:tcPr>
            <w:tcW w:w="2972" w:type="dxa"/>
            <w:noWrap/>
          </w:tcPr>
          <w:p w14:paraId="7997D720" w14:textId="21BF3E6D" w:rsidR="00A81304" w:rsidRDefault="00A81304" w:rsidP="00646E2D">
            <w:pPr>
              <w:jc w:val="both"/>
            </w:pPr>
            <w:proofErr w:type="spellStart"/>
            <w:r>
              <w:t>Expert·e</w:t>
            </w:r>
            <w:proofErr w:type="spellEnd"/>
          </w:p>
        </w:tc>
        <w:tc>
          <w:tcPr>
            <w:tcW w:w="1701" w:type="dxa"/>
            <w:noWrap/>
          </w:tcPr>
          <w:p w14:paraId="5124E45B" w14:textId="77777777" w:rsidR="00A81304" w:rsidRDefault="00A81304" w:rsidP="00646E2D">
            <w:pPr>
              <w:jc w:val="center"/>
            </w:pPr>
            <w:r>
              <w:t>Personne-jour</w:t>
            </w:r>
          </w:p>
        </w:tc>
        <w:tc>
          <w:tcPr>
            <w:tcW w:w="2126" w:type="dxa"/>
          </w:tcPr>
          <w:p w14:paraId="0F59491C" w14:textId="77777777" w:rsidR="00A81304" w:rsidRDefault="00A81304" w:rsidP="00646E2D">
            <w:pPr>
              <w:jc w:val="center"/>
            </w:pPr>
            <w:r>
              <w:t>50</w:t>
            </w:r>
          </w:p>
        </w:tc>
        <w:tc>
          <w:tcPr>
            <w:tcW w:w="2126" w:type="dxa"/>
            <w:shd w:val="clear" w:color="auto" w:fill="auto"/>
            <w:noWrap/>
          </w:tcPr>
          <w:p w14:paraId="6F5666AD" w14:textId="77777777" w:rsidR="00A81304" w:rsidRDefault="00A81304" w:rsidP="00646E2D">
            <w:pPr>
              <w:jc w:val="right"/>
            </w:pPr>
            <w:r>
              <w:t>€</w:t>
            </w:r>
          </w:p>
        </w:tc>
        <w:tc>
          <w:tcPr>
            <w:tcW w:w="1701" w:type="dxa"/>
            <w:shd w:val="clear" w:color="auto" w:fill="auto"/>
          </w:tcPr>
          <w:p w14:paraId="60ADDAD4" w14:textId="77777777" w:rsidR="00A81304" w:rsidRDefault="00A81304" w:rsidP="00646E2D">
            <w:pPr>
              <w:jc w:val="right"/>
            </w:pPr>
            <w:r>
              <w:t>€</w:t>
            </w:r>
          </w:p>
        </w:tc>
        <w:tc>
          <w:tcPr>
            <w:tcW w:w="1843" w:type="dxa"/>
            <w:shd w:val="clear" w:color="auto" w:fill="auto"/>
          </w:tcPr>
          <w:p w14:paraId="08B0EB15" w14:textId="77777777" w:rsidR="00A81304" w:rsidRDefault="00A81304" w:rsidP="00646E2D">
            <w:pPr>
              <w:jc w:val="right"/>
            </w:pPr>
            <w:r>
              <w:t>%</w:t>
            </w:r>
          </w:p>
        </w:tc>
      </w:tr>
      <w:tr w:rsidR="00AA4BDB" w14:paraId="67BFD9A8" w14:textId="77777777" w:rsidTr="007769F2">
        <w:trPr>
          <w:trHeight w:val="300"/>
        </w:trPr>
        <w:tc>
          <w:tcPr>
            <w:tcW w:w="2972" w:type="dxa"/>
            <w:noWrap/>
          </w:tcPr>
          <w:p w14:paraId="73A1D862" w14:textId="1AB8B1AF" w:rsidR="00AA4BDB" w:rsidRDefault="00AA4BDB" w:rsidP="00646E2D">
            <w:pPr>
              <w:jc w:val="both"/>
            </w:pPr>
            <w:r>
              <w:t>Prix total TVAC</w:t>
            </w:r>
          </w:p>
        </w:tc>
        <w:tc>
          <w:tcPr>
            <w:tcW w:w="9497" w:type="dxa"/>
            <w:gridSpan w:val="5"/>
            <w:noWrap/>
          </w:tcPr>
          <w:p w14:paraId="6B2E3BFA" w14:textId="1615332F" w:rsidR="00AA4BDB" w:rsidRDefault="0041071C" w:rsidP="00646E2D">
            <w:pPr>
              <w:jc w:val="right"/>
            </w:pPr>
            <w:r>
              <w:t>€</w:t>
            </w:r>
          </w:p>
        </w:tc>
      </w:tr>
    </w:tbl>
    <w:p w14:paraId="591DE094" w14:textId="77777777" w:rsidR="00A81304" w:rsidRDefault="00A81304" w:rsidP="00A81304"/>
    <w:p w14:paraId="544969C7" w14:textId="5FE464EF" w:rsidR="00AF5734" w:rsidRDefault="00AF5734" w:rsidP="00A81304">
      <w:pPr>
        <w:pStyle w:val="Heading3"/>
        <w:rPr>
          <w:szCs w:val="21"/>
        </w:rPr>
      </w:pPr>
      <w:bookmarkStart w:id="326" w:name="_Toc160610305"/>
      <w:r>
        <w:t>Lot 8 : Gestion de la chaîne d’approvisionnement</w:t>
      </w:r>
      <w:bookmarkEnd w:id="326"/>
    </w:p>
    <w:p w14:paraId="3D3023A6" w14:textId="77777777" w:rsidR="00BC7323" w:rsidRDefault="00BC7323" w:rsidP="00BC7323"/>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BC7323" w:rsidRPr="00181A74" w14:paraId="502E0153" w14:textId="77777777" w:rsidTr="00646E2D">
        <w:trPr>
          <w:trHeight w:val="785"/>
        </w:trPr>
        <w:tc>
          <w:tcPr>
            <w:tcW w:w="2972" w:type="dxa"/>
            <w:shd w:val="clear" w:color="auto" w:fill="E7E6E6" w:themeFill="background2"/>
            <w:noWrap/>
            <w:hideMark/>
          </w:tcPr>
          <w:p w14:paraId="24446E43" w14:textId="77777777" w:rsidR="00BC7323" w:rsidRPr="00706D74" w:rsidRDefault="00BC7323" w:rsidP="00646E2D">
            <w:pPr>
              <w:rPr>
                <w:b/>
                <w:bCs/>
              </w:rPr>
            </w:pPr>
            <w:r>
              <w:rPr>
                <w:b/>
              </w:rPr>
              <w:t>Poste</w:t>
            </w:r>
          </w:p>
        </w:tc>
        <w:tc>
          <w:tcPr>
            <w:tcW w:w="1701" w:type="dxa"/>
            <w:shd w:val="clear" w:color="auto" w:fill="E7E6E6" w:themeFill="background2"/>
            <w:noWrap/>
            <w:hideMark/>
          </w:tcPr>
          <w:p w14:paraId="7046D502" w14:textId="77777777" w:rsidR="00BC7323" w:rsidRPr="00706D74" w:rsidRDefault="00BC7323" w:rsidP="00646E2D">
            <w:pPr>
              <w:rPr>
                <w:b/>
                <w:bCs/>
              </w:rPr>
            </w:pPr>
            <w:r>
              <w:rPr>
                <w:b/>
              </w:rPr>
              <w:t>Unité</w:t>
            </w:r>
          </w:p>
        </w:tc>
        <w:tc>
          <w:tcPr>
            <w:tcW w:w="2126" w:type="dxa"/>
            <w:shd w:val="clear" w:color="auto" w:fill="E7E6E6" w:themeFill="background2"/>
          </w:tcPr>
          <w:p w14:paraId="6866914E" w14:textId="77777777" w:rsidR="00BC7323" w:rsidRDefault="00BC7323" w:rsidP="00646E2D">
            <w:pPr>
              <w:rPr>
                <w:b/>
              </w:rPr>
            </w:pPr>
            <w:r>
              <w:rPr>
                <w:b/>
              </w:rPr>
              <w:t>Quantités présumées</w:t>
            </w:r>
          </w:p>
        </w:tc>
        <w:tc>
          <w:tcPr>
            <w:tcW w:w="2126" w:type="dxa"/>
            <w:shd w:val="clear" w:color="auto" w:fill="E7E6E6" w:themeFill="background2"/>
            <w:noWrap/>
          </w:tcPr>
          <w:p w14:paraId="41E1469C" w14:textId="77777777" w:rsidR="00BC7323" w:rsidRPr="00706D74" w:rsidRDefault="00BC7323" w:rsidP="00646E2D">
            <w:pPr>
              <w:rPr>
                <w:b/>
                <w:bCs/>
              </w:rPr>
            </w:pPr>
            <w:r>
              <w:rPr>
                <w:b/>
              </w:rPr>
              <w:t>Prix unitaire en euros HTVA</w:t>
            </w:r>
          </w:p>
        </w:tc>
        <w:tc>
          <w:tcPr>
            <w:tcW w:w="1701" w:type="dxa"/>
            <w:shd w:val="clear" w:color="auto" w:fill="E7E6E6" w:themeFill="background2"/>
          </w:tcPr>
          <w:p w14:paraId="7A5EB060" w14:textId="77777777" w:rsidR="00BC7323" w:rsidRPr="00706D74" w:rsidRDefault="00BC7323" w:rsidP="00646E2D">
            <w:pPr>
              <w:rPr>
                <w:b/>
                <w:bCs/>
              </w:rPr>
            </w:pPr>
            <w:r>
              <w:rPr>
                <w:b/>
              </w:rPr>
              <w:t>Prix total HTVA</w:t>
            </w:r>
          </w:p>
        </w:tc>
        <w:tc>
          <w:tcPr>
            <w:tcW w:w="1843" w:type="dxa"/>
            <w:shd w:val="clear" w:color="auto" w:fill="E7E6E6" w:themeFill="background2"/>
          </w:tcPr>
          <w:p w14:paraId="1DA14DAF" w14:textId="77777777" w:rsidR="00BC7323" w:rsidRPr="00181A74" w:rsidRDefault="00BC7323" w:rsidP="00646E2D">
            <w:pPr>
              <w:rPr>
                <w:b/>
                <w:bCs/>
              </w:rPr>
            </w:pPr>
            <w:r>
              <w:rPr>
                <w:b/>
              </w:rPr>
              <w:t>Taux de TVA applicable</w:t>
            </w:r>
          </w:p>
        </w:tc>
      </w:tr>
      <w:tr w:rsidR="00BC7323" w14:paraId="6D81AF39" w14:textId="77777777" w:rsidTr="00646E2D">
        <w:trPr>
          <w:trHeight w:val="300"/>
        </w:trPr>
        <w:tc>
          <w:tcPr>
            <w:tcW w:w="2972" w:type="dxa"/>
            <w:noWrap/>
          </w:tcPr>
          <w:p w14:paraId="0FF5A353" w14:textId="40CA8CE7" w:rsidR="00BC7323" w:rsidRDefault="00BC7323" w:rsidP="00646E2D">
            <w:pPr>
              <w:jc w:val="both"/>
            </w:pPr>
            <w:proofErr w:type="spellStart"/>
            <w:r>
              <w:t>Expert·e</w:t>
            </w:r>
            <w:proofErr w:type="spellEnd"/>
          </w:p>
        </w:tc>
        <w:tc>
          <w:tcPr>
            <w:tcW w:w="1701" w:type="dxa"/>
            <w:noWrap/>
          </w:tcPr>
          <w:p w14:paraId="5D875648" w14:textId="77777777" w:rsidR="00BC7323" w:rsidRDefault="00BC7323" w:rsidP="00646E2D">
            <w:pPr>
              <w:jc w:val="center"/>
            </w:pPr>
            <w:r>
              <w:t>Personne-jour</w:t>
            </w:r>
          </w:p>
        </w:tc>
        <w:tc>
          <w:tcPr>
            <w:tcW w:w="2126" w:type="dxa"/>
          </w:tcPr>
          <w:p w14:paraId="2C05EBAA" w14:textId="77777777" w:rsidR="00BC7323" w:rsidRDefault="00BC7323" w:rsidP="00646E2D">
            <w:pPr>
              <w:jc w:val="center"/>
            </w:pPr>
            <w:r>
              <w:t>50</w:t>
            </w:r>
          </w:p>
        </w:tc>
        <w:tc>
          <w:tcPr>
            <w:tcW w:w="2126" w:type="dxa"/>
            <w:shd w:val="clear" w:color="auto" w:fill="auto"/>
            <w:noWrap/>
          </w:tcPr>
          <w:p w14:paraId="7A2E949F" w14:textId="77777777" w:rsidR="00BC7323" w:rsidRDefault="00BC7323" w:rsidP="00646E2D">
            <w:pPr>
              <w:jc w:val="right"/>
            </w:pPr>
            <w:r>
              <w:t>€</w:t>
            </w:r>
          </w:p>
        </w:tc>
        <w:tc>
          <w:tcPr>
            <w:tcW w:w="1701" w:type="dxa"/>
            <w:shd w:val="clear" w:color="auto" w:fill="auto"/>
          </w:tcPr>
          <w:p w14:paraId="68089CFB" w14:textId="77777777" w:rsidR="00BC7323" w:rsidRDefault="00BC7323" w:rsidP="00646E2D">
            <w:pPr>
              <w:jc w:val="right"/>
            </w:pPr>
            <w:r>
              <w:t>€</w:t>
            </w:r>
          </w:p>
        </w:tc>
        <w:tc>
          <w:tcPr>
            <w:tcW w:w="1843" w:type="dxa"/>
            <w:shd w:val="clear" w:color="auto" w:fill="auto"/>
          </w:tcPr>
          <w:p w14:paraId="2D7B47E4" w14:textId="77777777" w:rsidR="00BC7323" w:rsidRDefault="00BC7323" w:rsidP="00646E2D">
            <w:pPr>
              <w:jc w:val="right"/>
            </w:pPr>
            <w:r>
              <w:t>%</w:t>
            </w:r>
          </w:p>
        </w:tc>
      </w:tr>
      <w:tr w:rsidR="00AA4BDB" w:rsidRPr="00AA4BDB" w14:paraId="295B58CB" w14:textId="77777777" w:rsidTr="00504530">
        <w:trPr>
          <w:trHeight w:val="300"/>
        </w:trPr>
        <w:tc>
          <w:tcPr>
            <w:tcW w:w="2972" w:type="dxa"/>
            <w:noWrap/>
          </w:tcPr>
          <w:p w14:paraId="14D3BE3D" w14:textId="049B256A" w:rsidR="00AA4BDB" w:rsidRPr="009332B3" w:rsidRDefault="00AA4BDB" w:rsidP="00646E2D">
            <w:pPr>
              <w:jc w:val="both"/>
              <w:rPr>
                <w:b/>
                <w:bCs/>
              </w:rPr>
            </w:pPr>
            <w:r>
              <w:t>Prix total TVAC</w:t>
            </w:r>
          </w:p>
        </w:tc>
        <w:tc>
          <w:tcPr>
            <w:tcW w:w="9497" w:type="dxa"/>
            <w:gridSpan w:val="5"/>
            <w:noWrap/>
          </w:tcPr>
          <w:p w14:paraId="23FFDA03" w14:textId="4E656CD1" w:rsidR="00AA4BDB" w:rsidRPr="009332B3" w:rsidRDefault="0041071C" w:rsidP="00646E2D">
            <w:pPr>
              <w:jc w:val="right"/>
              <w:rPr>
                <w:b/>
                <w:bCs/>
              </w:rPr>
            </w:pPr>
            <w:r>
              <w:t>€</w:t>
            </w:r>
          </w:p>
        </w:tc>
      </w:tr>
    </w:tbl>
    <w:p w14:paraId="42CBECB3" w14:textId="77777777" w:rsidR="00BC7323" w:rsidRDefault="00BC7323" w:rsidP="00BC7323"/>
    <w:p w14:paraId="415C3F90" w14:textId="77777777" w:rsidR="00EE0CD1" w:rsidRPr="00BC7323" w:rsidRDefault="00EE0CD1" w:rsidP="00BC7323"/>
    <w:p w14:paraId="1F6BE8D0" w14:textId="4FBFCDA6" w:rsidR="00AF5734" w:rsidRDefault="00AF5734" w:rsidP="00EE0CD1">
      <w:pPr>
        <w:pStyle w:val="Heading3"/>
      </w:pPr>
      <w:bookmarkStart w:id="327" w:name="_Toc160610306"/>
      <w:r>
        <w:lastRenderedPageBreak/>
        <w:t>Lot 9 : Recherche &amp; développement (R&amp;D)</w:t>
      </w:r>
      <w:bookmarkEnd w:id="327"/>
    </w:p>
    <w:p w14:paraId="3DF4B15D"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47CD3D3C" w14:textId="77777777" w:rsidTr="00646E2D">
        <w:trPr>
          <w:trHeight w:val="785"/>
        </w:trPr>
        <w:tc>
          <w:tcPr>
            <w:tcW w:w="2972" w:type="dxa"/>
            <w:shd w:val="clear" w:color="auto" w:fill="E7E6E6" w:themeFill="background2"/>
            <w:noWrap/>
            <w:hideMark/>
          </w:tcPr>
          <w:p w14:paraId="3C4F26C0" w14:textId="77777777" w:rsidR="00EE0CD1" w:rsidRPr="00706D74" w:rsidRDefault="00EE0CD1" w:rsidP="00646E2D">
            <w:pPr>
              <w:rPr>
                <w:b/>
                <w:bCs/>
              </w:rPr>
            </w:pPr>
            <w:r>
              <w:rPr>
                <w:b/>
              </w:rPr>
              <w:t>Poste</w:t>
            </w:r>
          </w:p>
        </w:tc>
        <w:tc>
          <w:tcPr>
            <w:tcW w:w="1701" w:type="dxa"/>
            <w:shd w:val="clear" w:color="auto" w:fill="E7E6E6" w:themeFill="background2"/>
            <w:noWrap/>
            <w:hideMark/>
          </w:tcPr>
          <w:p w14:paraId="438E5996" w14:textId="77777777" w:rsidR="00EE0CD1" w:rsidRPr="00706D74" w:rsidRDefault="00EE0CD1" w:rsidP="00646E2D">
            <w:pPr>
              <w:rPr>
                <w:b/>
                <w:bCs/>
              </w:rPr>
            </w:pPr>
            <w:r>
              <w:rPr>
                <w:b/>
              </w:rPr>
              <w:t>Unité</w:t>
            </w:r>
          </w:p>
        </w:tc>
        <w:tc>
          <w:tcPr>
            <w:tcW w:w="2126" w:type="dxa"/>
            <w:shd w:val="clear" w:color="auto" w:fill="E7E6E6" w:themeFill="background2"/>
          </w:tcPr>
          <w:p w14:paraId="470F9985" w14:textId="77777777" w:rsidR="00EE0CD1" w:rsidRDefault="00EE0CD1" w:rsidP="00646E2D">
            <w:pPr>
              <w:rPr>
                <w:b/>
              </w:rPr>
            </w:pPr>
            <w:r>
              <w:rPr>
                <w:b/>
              </w:rPr>
              <w:t>Quantités présumées</w:t>
            </w:r>
          </w:p>
        </w:tc>
        <w:tc>
          <w:tcPr>
            <w:tcW w:w="2126" w:type="dxa"/>
            <w:shd w:val="clear" w:color="auto" w:fill="E7E6E6" w:themeFill="background2"/>
            <w:noWrap/>
          </w:tcPr>
          <w:p w14:paraId="3C816ED7"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4C85FAAF" w14:textId="77777777" w:rsidR="00EE0CD1" w:rsidRPr="00706D74" w:rsidRDefault="00EE0CD1" w:rsidP="00646E2D">
            <w:pPr>
              <w:rPr>
                <w:b/>
                <w:bCs/>
              </w:rPr>
            </w:pPr>
            <w:r>
              <w:rPr>
                <w:b/>
              </w:rPr>
              <w:t>Prix total HTVA</w:t>
            </w:r>
          </w:p>
        </w:tc>
        <w:tc>
          <w:tcPr>
            <w:tcW w:w="1843" w:type="dxa"/>
            <w:shd w:val="clear" w:color="auto" w:fill="E7E6E6" w:themeFill="background2"/>
          </w:tcPr>
          <w:p w14:paraId="4AEED77A" w14:textId="77777777" w:rsidR="00EE0CD1" w:rsidRPr="00181A74" w:rsidRDefault="00EE0CD1" w:rsidP="00646E2D">
            <w:pPr>
              <w:rPr>
                <w:b/>
                <w:bCs/>
              </w:rPr>
            </w:pPr>
            <w:r>
              <w:rPr>
                <w:b/>
              </w:rPr>
              <w:t>Taux de TVA applicable</w:t>
            </w:r>
          </w:p>
        </w:tc>
      </w:tr>
      <w:tr w:rsidR="00EE0CD1" w14:paraId="043585B2" w14:textId="77777777" w:rsidTr="00646E2D">
        <w:trPr>
          <w:trHeight w:val="300"/>
        </w:trPr>
        <w:tc>
          <w:tcPr>
            <w:tcW w:w="2972" w:type="dxa"/>
            <w:noWrap/>
          </w:tcPr>
          <w:p w14:paraId="27B2FF70" w14:textId="60B2EAF6" w:rsidR="00EE0CD1" w:rsidRDefault="00EE0CD1" w:rsidP="00F5050E">
            <w:pPr>
              <w:tabs>
                <w:tab w:val="center" w:pos="1378"/>
              </w:tabs>
              <w:jc w:val="both"/>
            </w:pPr>
            <w:proofErr w:type="spellStart"/>
            <w:r>
              <w:t>Expert·e</w:t>
            </w:r>
            <w:proofErr w:type="spellEnd"/>
            <w:r>
              <w:tab/>
            </w:r>
          </w:p>
        </w:tc>
        <w:tc>
          <w:tcPr>
            <w:tcW w:w="1701" w:type="dxa"/>
            <w:noWrap/>
          </w:tcPr>
          <w:p w14:paraId="18FE40F5" w14:textId="77777777" w:rsidR="00EE0CD1" w:rsidRDefault="00EE0CD1" w:rsidP="00646E2D">
            <w:pPr>
              <w:jc w:val="center"/>
            </w:pPr>
            <w:r>
              <w:t>Personne-jour</w:t>
            </w:r>
          </w:p>
        </w:tc>
        <w:tc>
          <w:tcPr>
            <w:tcW w:w="2126" w:type="dxa"/>
          </w:tcPr>
          <w:p w14:paraId="6D0EC59A" w14:textId="77777777" w:rsidR="00EE0CD1" w:rsidRDefault="00EE0CD1" w:rsidP="00646E2D">
            <w:pPr>
              <w:jc w:val="center"/>
            </w:pPr>
            <w:r>
              <w:t>50</w:t>
            </w:r>
          </w:p>
        </w:tc>
        <w:tc>
          <w:tcPr>
            <w:tcW w:w="2126" w:type="dxa"/>
            <w:shd w:val="clear" w:color="auto" w:fill="auto"/>
            <w:noWrap/>
          </w:tcPr>
          <w:p w14:paraId="6ABF938A" w14:textId="77777777" w:rsidR="00EE0CD1" w:rsidRDefault="00EE0CD1" w:rsidP="00646E2D">
            <w:pPr>
              <w:jc w:val="right"/>
            </w:pPr>
            <w:r>
              <w:t>€</w:t>
            </w:r>
          </w:p>
        </w:tc>
        <w:tc>
          <w:tcPr>
            <w:tcW w:w="1701" w:type="dxa"/>
            <w:shd w:val="clear" w:color="auto" w:fill="auto"/>
          </w:tcPr>
          <w:p w14:paraId="528BF2DE" w14:textId="77777777" w:rsidR="00EE0CD1" w:rsidRDefault="00EE0CD1" w:rsidP="00646E2D">
            <w:pPr>
              <w:jc w:val="right"/>
            </w:pPr>
            <w:r>
              <w:t>€</w:t>
            </w:r>
          </w:p>
        </w:tc>
        <w:tc>
          <w:tcPr>
            <w:tcW w:w="1843" w:type="dxa"/>
            <w:shd w:val="clear" w:color="auto" w:fill="auto"/>
          </w:tcPr>
          <w:p w14:paraId="5DF11167" w14:textId="77777777" w:rsidR="00EE0CD1" w:rsidRDefault="00EE0CD1" w:rsidP="00646E2D">
            <w:pPr>
              <w:jc w:val="right"/>
            </w:pPr>
            <w:r>
              <w:t>%</w:t>
            </w:r>
          </w:p>
        </w:tc>
      </w:tr>
      <w:tr w:rsidR="00AA4BDB" w14:paraId="138296A5" w14:textId="77777777" w:rsidTr="00906AFC">
        <w:trPr>
          <w:trHeight w:val="300"/>
        </w:trPr>
        <w:tc>
          <w:tcPr>
            <w:tcW w:w="2972" w:type="dxa"/>
            <w:noWrap/>
          </w:tcPr>
          <w:p w14:paraId="24892F14" w14:textId="3E280B9D" w:rsidR="00AA4BDB" w:rsidRDefault="00AA4BDB" w:rsidP="00F5050E">
            <w:pPr>
              <w:tabs>
                <w:tab w:val="center" w:pos="1378"/>
              </w:tabs>
              <w:jc w:val="both"/>
            </w:pPr>
            <w:r>
              <w:t>Prix total TVAC</w:t>
            </w:r>
          </w:p>
        </w:tc>
        <w:tc>
          <w:tcPr>
            <w:tcW w:w="9497" w:type="dxa"/>
            <w:gridSpan w:val="5"/>
            <w:noWrap/>
          </w:tcPr>
          <w:p w14:paraId="307F0228" w14:textId="050E1B6B" w:rsidR="00AA4BDB" w:rsidRDefault="0041071C" w:rsidP="00646E2D">
            <w:pPr>
              <w:jc w:val="right"/>
            </w:pPr>
            <w:r>
              <w:t>€</w:t>
            </w:r>
          </w:p>
        </w:tc>
      </w:tr>
    </w:tbl>
    <w:p w14:paraId="00BF0C7F" w14:textId="77777777" w:rsidR="00EE0CD1" w:rsidRPr="00EE0CD1" w:rsidRDefault="00EE0CD1" w:rsidP="00EE0CD1"/>
    <w:p w14:paraId="09CF2E29" w14:textId="7DEAD8D4" w:rsidR="00AF5734" w:rsidRDefault="00AF5734" w:rsidP="00EE0CD1">
      <w:pPr>
        <w:pStyle w:val="Heading3"/>
      </w:pPr>
      <w:bookmarkStart w:id="328" w:name="_Toc160610307"/>
      <w:r>
        <w:t>Lot 10 : Enseignement supérieur et compétences</w:t>
      </w:r>
      <w:bookmarkEnd w:id="328"/>
    </w:p>
    <w:p w14:paraId="1DD1C16C"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3E9FC1A2" w14:textId="77777777" w:rsidTr="00646E2D">
        <w:trPr>
          <w:trHeight w:val="785"/>
        </w:trPr>
        <w:tc>
          <w:tcPr>
            <w:tcW w:w="2972" w:type="dxa"/>
            <w:shd w:val="clear" w:color="auto" w:fill="E7E6E6" w:themeFill="background2"/>
            <w:noWrap/>
            <w:hideMark/>
          </w:tcPr>
          <w:p w14:paraId="350A23EC" w14:textId="77777777" w:rsidR="00EE0CD1" w:rsidRPr="00706D74" w:rsidRDefault="00EE0CD1" w:rsidP="00646E2D">
            <w:pPr>
              <w:rPr>
                <w:b/>
                <w:bCs/>
              </w:rPr>
            </w:pPr>
            <w:r>
              <w:rPr>
                <w:b/>
              </w:rPr>
              <w:t>Poste</w:t>
            </w:r>
          </w:p>
        </w:tc>
        <w:tc>
          <w:tcPr>
            <w:tcW w:w="1701" w:type="dxa"/>
            <w:shd w:val="clear" w:color="auto" w:fill="E7E6E6" w:themeFill="background2"/>
            <w:noWrap/>
            <w:hideMark/>
          </w:tcPr>
          <w:p w14:paraId="6110E488" w14:textId="77777777" w:rsidR="00EE0CD1" w:rsidRPr="00706D74" w:rsidRDefault="00EE0CD1" w:rsidP="00646E2D">
            <w:pPr>
              <w:rPr>
                <w:b/>
                <w:bCs/>
              </w:rPr>
            </w:pPr>
            <w:r>
              <w:rPr>
                <w:b/>
              </w:rPr>
              <w:t>Unité</w:t>
            </w:r>
          </w:p>
        </w:tc>
        <w:tc>
          <w:tcPr>
            <w:tcW w:w="2126" w:type="dxa"/>
            <w:shd w:val="clear" w:color="auto" w:fill="E7E6E6" w:themeFill="background2"/>
          </w:tcPr>
          <w:p w14:paraId="601C2067" w14:textId="77777777" w:rsidR="00EE0CD1" w:rsidRDefault="00EE0CD1" w:rsidP="00646E2D">
            <w:pPr>
              <w:rPr>
                <w:b/>
              </w:rPr>
            </w:pPr>
            <w:r>
              <w:rPr>
                <w:b/>
              </w:rPr>
              <w:t>Quantités présumées</w:t>
            </w:r>
          </w:p>
        </w:tc>
        <w:tc>
          <w:tcPr>
            <w:tcW w:w="2126" w:type="dxa"/>
            <w:shd w:val="clear" w:color="auto" w:fill="E7E6E6" w:themeFill="background2"/>
            <w:noWrap/>
          </w:tcPr>
          <w:p w14:paraId="3213F7F2"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431BC14D" w14:textId="77777777" w:rsidR="00EE0CD1" w:rsidRPr="00706D74" w:rsidRDefault="00EE0CD1" w:rsidP="00646E2D">
            <w:pPr>
              <w:rPr>
                <w:b/>
                <w:bCs/>
              </w:rPr>
            </w:pPr>
            <w:r>
              <w:rPr>
                <w:b/>
              </w:rPr>
              <w:t>Prix total HTVA</w:t>
            </w:r>
          </w:p>
        </w:tc>
        <w:tc>
          <w:tcPr>
            <w:tcW w:w="1843" w:type="dxa"/>
            <w:shd w:val="clear" w:color="auto" w:fill="E7E6E6" w:themeFill="background2"/>
          </w:tcPr>
          <w:p w14:paraId="1AD37E44" w14:textId="77777777" w:rsidR="00EE0CD1" w:rsidRPr="00181A74" w:rsidRDefault="00EE0CD1" w:rsidP="00646E2D">
            <w:pPr>
              <w:rPr>
                <w:b/>
                <w:bCs/>
              </w:rPr>
            </w:pPr>
            <w:r>
              <w:rPr>
                <w:b/>
              </w:rPr>
              <w:t>Taux de TVA applicable</w:t>
            </w:r>
          </w:p>
        </w:tc>
      </w:tr>
      <w:tr w:rsidR="00EE0CD1" w14:paraId="7DB7C242" w14:textId="77777777" w:rsidTr="00646E2D">
        <w:trPr>
          <w:trHeight w:val="300"/>
        </w:trPr>
        <w:tc>
          <w:tcPr>
            <w:tcW w:w="2972" w:type="dxa"/>
            <w:noWrap/>
          </w:tcPr>
          <w:p w14:paraId="11D42FE8" w14:textId="4AECC917" w:rsidR="00EE0CD1" w:rsidRDefault="00EE0CD1" w:rsidP="00646E2D">
            <w:pPr>
              <w:jc w:val="both"/>
            </w:pPr>
            <w:proofErr w:type="spellStart"/>
            <w:r>
              <w:t>Expert·e</w:t>
            </w:r>
            <w:proofErr w:type="spellEnd"/>
          </w:p>
        </w:tc>
        <w:tc>
          <w:tcPr>
            <w:tcW w:w="1701" w:type="dxa"/>
            <w:noWrap/>
          </w:tcPr>
          <w:p w14:paraId="143E98C6" w14:textId="77777777" w:rsidR="00EE0CD1" w:rsidRDefault="00EE0CD1" w:rsidP="00646E2D">
            <w:pPr>
              <w:jc w:val="center"/>
            </w:pPr>
            <w:r>
              <w:t>Personne-jour</w:t>
            </w:r>
          </w:p>
        </w:tc>
        <w:tc>
          <w:tcPr>
            <w:tcW w:w="2126" w:type="dxa"/>
          </w:tcPr>
          <w:p w14:paraId="40778DF7" w14:textId="77777777" w:rsidR="00EE0CD1" w:rsidRDefault="00EE0CD1" w:rsidP="00646E2D">
            <w:pPr>
              <w:jc w:val="center"/>
            </w:pPr>
            <w:r>
              <w:t>50</w:t>
            </w:r>
          </w:p>
        </w:tc>
        <w:tc>
          <w:tcPr>
            <w:tcW w:w="2126" w:type="dxa"/>
            <w:shd w:val="clear" w:color="auto" w:fill="auto"/>
            <w:noWrap/>
          </w:tcPr>
          <w:p w14:paraId="458E12C0" w14:textId="77777777" w:rsidR="00EE0CD1" w:rsidRDefault="00EE0CD1" w:rsidP="00646E2D">
            <w:pPr>
              <w:jc w:val="right"/>
            </w:pPr>
            <w:r>
              <w:t>€</w:t>
            </w:r>
          </w:p>
        </w:tc>
        <w:tc>
          <w:tcPr>
            <w:tcW w:w="1701" w:type="dxa"/>
            <w:shd w:val="clear" w:color="auto" w:fill="auto"/>
          </w:tcPr>
          <w:p w14:paraId="7672174E" w14:textId="77777777" w:rsidR="00EE0CD1" w:rsidRDefault="00EE0CD1" w:rsidP="00646E2D">
            <w:pPr>
              <w:jc w:val="right"/>
            </w:pPr>
            <w:r>
              <w:t>€</w:t>
            </w:r>
          </w:p>
        </w:tc>
        <w:tc>
          <w:tcPr>
            <w:tcW w:w="1843" w:type="dxa"/>
            <w:shd w:val="clear" w:color="auto" w:fill="auto"/>
          </w:tcPr>
          <w:p w14:paraId="11F4F716" w14:textId="77777777" w:rsidR="00EE0CD1" w:rsidRDefault="00EE0CD1" w:rsidP="00646E2D">
            <w:pPr>
              <w:jc w:val="right"/>
            </w:pPr>
            <w:r>
              <w:t>%</w:t>
            </w:r>
          </w:p>
        </w:tc>
      </w:tr>
      <w:tr w:rsidR="00AA4BDB" w14:paraId="01ACEBCA" w14:textId="77777777" w:rsidTr="00EA207A">
        <w:trPr>
          <w:trHeight w:val="300"/>
        </w:trPr>
        <w:tc>
          <w:tcPr>
            <w:tcW w:w="2972" w:type="dxa"/>
            <w:noWrap/>
          </w:tcPr>
          <w:p w14:paraId="61521478" w14:textId="1D07BBAA" w:rsidR="00AA4BDB" w:rsidRDefault="00AA4BDB" w:rsidP="00646E2D">
            <w:pPr>
              <w:jc w:val="both"/>
            </w:pPr>
            <w:r>
              <w:t>Prix total TVAC</w:t>
            </w:r>
          </w:p>
        </w:tc>
        <w:tc>
          <w:tcPr>
            <w:tcW w:w="9497" w:type="dxa"/>
            <w:gridSpan w:val="5"/>
            <w:noWrap/>
          </w:tcPr>
          <w:p w14:paraId="727806E1" w14:textId="70E1F1DF" w:rsidR="00AA4BDB" w:rsidRDefault="0041071C" w:rsidP="00646E2D">
            <w:pPr>
              <w:jc w:val="right"/>
            </w:pPr>
            <w:r>
              <w:t>€</w:t>
            </w:r>
          </w:p>
        </w:tc>
      </w:tr>
    </w:tbl>
    <w:p w14:paraId="04B87FC4" w14:textId="77777777" w:rsidR="00EE0CD1" w:rsidRPr="00EE0CD1" w:rsidRDefault="00EE0CD1" w:rsidP="00EE0CD1"/>
    <w:p w14:paraId="6C2A9004" w14:textId="181C957E" w:rsidR="00AF5734" w:rsidRDefault="00AF5734" w:rsidP="00EE0CD1">
      <w:pPr>
        <w:pStyle w:val="Heading3"/>
      </w:pPr>
      <w:bookmarkStart w:id="329" w:name="_Toc160610308"/>
      <w:r>
        <w:t>Lot 11 : Accès au financement et partenariat</w:t>
      </w:r>
      <w:bookmarkEnd w:id="329"/>
    </w:p>
    <w:p w14:paraId="584510C0"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1DE83E91" w14:textId="77777777" w:rsidTr="00646E2D">
        <w:trPr>
          <w:trHeight w:val="785"/>
        </w:trPr>
        <w:tc>
          <w:tcPr>
            <w:tcW w:w="2972" w:type="dxa"/>
            <w:shd w:val="clear" w:color="auto" w:fill="E7E6E6" w:themeFill="background2"/>
            <w:noWrap/>
            <w:hideMark/>
          </w:tcPr>
          <w:p w14:paraId="604BE8E7" w14:textId="77777777" w:rsidR="00EE0CD1" w:rsidRPr="00706D74" w:rsidRDefault="00EE0CD1" w:rsidP="00646E2D">
            <w:pPr>
              <w:rPr>
                <w:b/>
                <w:bCs/>
              </w:rPr>
            </w:pPr>
            <w:r>
              <w:rPr>
                <w:b/>
              </w:rPr>
              <w:t>Poste</w:t>
            </w:r>
          </w:p>
        </w:tc>
        <w:tc>
          <w:tcPr>
            <w:tcW w:w="1701" w:type="dxa"/>
            <w:shd w:val="clear" w:color="auto" w:fill="E7E6E6" w:themeFill="background2"/>
            <w:noWrap/>
            <w:hideMark/>
          </w:tcPr>
          <w:p w14:paraId="5B32D15D" w14:textId="77777777" w:rsidR="00EE0CD1" w:rsidRPr="00706D74" w:rsidRDefault="00EE0CD1" w:rsidP="00646E2D">
            <w:pPr>
              <w:rPr>
                <w:b/>
                <w:bCs/>
              </w:rPr>
            </w:pPr>
            <w:r>
              <w:rPr>
                <w:b/>
              </w:rPr>
              <w:t>Unité</w:t>
            </w:r>
          </w:p>
        </w:tc>
        <w:tc>
          <w:tcPr>
            <w:tcW w:w="2126" w:type="dxa"/>
            <w:shd w:val="clear" w:color="auto" w:fill="E7E6E6" w:themeFill="background2"/>
          </w:tcPr>
          <w:p w14:paraId="4796C8C2" w14:textId="77777777" w:rsidR="00EE0CD1" w:rsidRDefault="00EE0CD1" w:rsidP="00646E2D">
            <w:pPr>
              <w:rPr>
                <w:b/>
              </w:rPr>
            </w:pPr>
            <w:r>
              <w:rPr>
                <w:b/>
              </w:rPr>
              <w:t>Quantités présumées</w:t>
            </w:r>
          </w:p>
        </w:tc>
        <w:tc>
          <w:tcPr>
            <w:tcW w:w="2126" w:type="dxa"/>
            <w:shd w:val="clear" w:color="auto" w:fill="E7E6E6" w:themeFill="background2"/>
            <w:noWrap/>
          </w:tcPr>
          <w:p w14:paraId="7EA08A7F"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6FEE2A09" w14:textId="77777777" w:rsidR="00EE0CD1" w:rsidRPr="00706D74" w:rsidRDefault="00EE0CD1" w:rsidP="00646E2D">
            <w:pPr>
              <w:rPr>
                <w:b/>
                <w:bCs/>
              </w:rPr>
            </w:pPr>
            <w:r>
              <w:rPr>
                <w:b/>
              </w:rPr>
              <w:t>Prix total HTVA</w:t>
            </w:r>
          </w:p>
        </w:tc>
        <w:tc>
          <w:tcPr>
            <w:tcW w:w="1843" w:type="dxa"/>
            <w:shd w:val="clear" w:color="auto" w:fill="E7E6E6" w:themeFill="background2"/>
          </w:tcPr>
          <w:p w14:paraId="1ECF9DDF" w14:textId="77777777" w:rsidR="00EE0CD1" w:rsidRPr="00181A74" w:rsidRDefault="00EE0CD1" w:rsidP="00646E2D">
            <w:pPr>
              <w:rPr>
                <w:b/>
                <w:bCs/>
              </w:rPr>
            </w:pPr>
            <w:r>
              <w:rPr>
                <w:b/>
              </w:rPr>
              <w:t>Taux de TVA applicable</w:t>
            </w:r>
          </w:p>
        </w:tc>
      </w:tr>
      <w:tr w:rsidR="00EE0CD1" w14:paraId="0B27E159" w14:textId="77777777" w:rsidTr="00646E2D">
        <w:trPr>
          <w:trHeight w:val="300"/>
        </w:trPr>
        <w:tc>
          <w:tcPr>
            <w:tcW w:w="2972" w:type="dxa"/>
            <w:noWrap/>
          </w:tcPr>
          <w:p w14:paraId="71B5103F" w14:textId="7848C94E" w:rsidR="00EE0CD1" w:rsidRDefault="00EE0CD1" w:rsidP="00F5050E">
            <w:pPr>
              <w:tabs>
                <w:tab w:val="center" w:pos="1378"/>
              </w:tabs>
              <w:jc w:val="both"/>
            </w:pPr>
            <w:proofErr w:type="spellStart"/>
            <w:r>
              <w:t>Expert·e</w:t>
            </w:r>
            <w:proofErr w:type="spellEnd"/>
            <w:r>
              <w:tab/>
            </w:r>
          </w:p>
        </w:tc>
        <w:tc>
          <w:tcPr>
            <w:tcW w:w="1701" w:type="dxa"/>
            <w:noWrap/>
          </w:tcPr>
          <w:p w14:paraId="4A3D3D58" w14:textId="77777777" w:rsidR="00EE0CD1" w:rsidRDefault="00EE0CD1" w:rsidP="00646E2D">
            <w:pPr>
              <w:jc w:val="center"/>
            </w:pPr>
            <w:r>
              <w:t>Personne-jour</w:t>
            </w:r>
          </w:p>
        </w:tc>
        <w:tc>
          <w:tcPr>
            <w:tcW w:w="2126" w:type="dxa"/>
          </w:tcPr>
          <w:p w14:paraId="2A672792" w14:textId="77777777" w:rsidR="00EE0CD1" w:rsidRDefault="00EE0CD1" w:rsidP="00646E2D">
            <w:pPr>
              <w:jc w:val="center"/>
            </w:pPr>
            <w:r>
              <w:t>50</w:t>
            </w:r>
          </w:p>
        </w:tc>
        <w:tc>
          <w:tcPr>
            <w:tcW w:w="2126" w:type="dxa"/>
            <w:shd w:val="clear" w:color="auto" w:fill="auto"/>
            <w:noWrap/>
          </w:tcPr>
          <w:p w14:paraId="5265D445" w14:textId="77777777" w:rsidR="00EE0CD1" w:rsidRDefault="00EE0CD1" w:rsidP="00646E2D">
            <w:pPr>
              <w:jc w:val="right"/>
            </w:pPr>
            <w:r>
              <w:t>€</w:t>
            </w:r>
          </w:p>
        </w:tc>
        <w:tc>
          <w:tcPr>
            <w:tcW w:w="1701" w:type="dxa"/>
            <w:shd w:val="clear" w:color="auto" w:fill="auto"/>
          </w:tcPr>
          <w:p w14:paraId="278D38CE" w14:textId="77777777" w:rsidR="00EE0CD1" w:rsidRDefault="00EE0CD1" w:rsidP="00646E2D">
            <w:pPr>
              <w:jc w:val="right"/>
            </w:pPr>
            <w:r>
              <w:t>€</w:t>
            </w:r>
          </w:p>
        </w:tc>
        <w:tc>
          <w:tcPr>
            <w:tcW w:w="1843" w:type="dxa"/>
            <w:shd w:val="clear" w:color="auto" w:fill="auto"/>
          </w:tcPr>
          <w:p w14:paraId="6FC8F33A" w14:textId="77777777" w:rsidR="00EE0CD1" w:rsidRDefault="00EE0CD1" w:rsidP="00646E2D">
            <w:pPr>
              <w:jc w:val="right"/>
            </w:pPr>
            <w:r>
              <w:t>%</w:t>
            </w:r>
          </w:p>
        </w:tc>
      </w:tr>
      <w:tr w:rsidR="00AA4BDB" w14:paraId="619D3DDF" w14:textId="77777777" w:rsidTr="00A63E0F">
        <w:trPr>
          <w:trHeight w:val="300"/>
        </w:trPr>
        <w:tc>
          <w:tcPr>
            <w:tcW w:w="2972" w:type="dxa"/>
            <w:noWrap/>
          </w:tcPr>
          <w:p w14:paraId="17F79986" w14:textId="1860677B" w:rsidR="00AA4BDB" w:rsidRDefault="00AA4BDB" w:rsidP="00F5050E">
            <w:pPr>
              <w:tabs>
                <w:tab w:val="center" w:pos="1378"/>
              </w:tabs>
              <w:jc w:val="both"/>
            </w:pPr>
            <w:r>
              <w:t>Prix total TVAC</w:t>
            </w:r>
          </w:p>
        </w:tc>
        <w:tc>
          <w:tcPr>
            <w:tcW w:w="9497" w:type="dxa"/>
            <w:gridSpan w:val="5"/>
            <w:noWrap/>
          </w:tcPr>
          <w:p w14:paraId="1D51AE6D" w14:textId="0815C1E0" w:rsidR="00AA4BDB" w:rsidRDefault="0041071C" w:rsidP="00646E2D">
            <w:pPr>
              <w:jc w:val="right"/>
            </w:pPr>
            <w:r>
              <w:t>€</w:t>
            </w:r>
          </w:p>
        </w:tc>
      </w:tr>
    </w:tbl>
    <w:p w14:paraId="62C5FB70" w14:textId="77777777" w:rsidR="00EE0CD1" w:rsidRDefault="00EE0CD1" w:rsidP="00EE0CD1"/>
    <w:p w14:paraId="582F4641" w14:textId="77777777" w:rsidR="00FC1D24" w:rsidRPr="00EE0CD1" w:rsidRDefault="00FC1D24" w:rsidP="00EE0CD1"/>
    <w:p w14:paraId="37E3E157" w14:textId="6E454A05" w:rsidR="00AF5734" w:rsidRDefault="00AF5734" w:rsidP="00EE0CD1">
      <w:pPr>
        <w:pStyle w:val="Heading3"/>
      </w:pPr>
      <w:bookmarkStart w:id="330" w:name="_Toc160610309"/>
      <w:r>
        <w:lastRenderedPageBreak/>
        <w:t>Lot 12 : Industrialisation</w:t>
      </w:r>
      <w:bookmarkEnd w:id="330"/>
    </w:p>
    <w:p w14:paraId="6728DE84"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339733BE" w14:textId="77777777" w:rsidTr="00646E2D">
        <w:trPr>
          <w:trHeight w:val="785"/>
        </w:trPr>
        <w:tc>
          <w:tcPr>
            <w:tcW w:w="2972" w:type="dxa"/>
            <w:shd w:val="clear" w:color="auto" w:fill="E7E6E6" w:themeFill="background2"/>
            <w:noWrap/>
            <w:hideMark/>
          </w:tcPr>
          <w:p w14:paraId="3C74DA7D" w14:textId="77777777" w:rsidR="00EE0CD1" w:rsidRPr="00706D74" w:rsidRDefault="00EE0CD1" w:rsidP="00646E2D">
            <w:pPr>
              <w:rPr>
                <w:b/>
                <w:bCs/>
              </w:rPr>
            </w:pPr>
            <w:r>
              <w:rPr>
                <w:b/>
              </w:rPr>
              <w:t>Poste</w:t>
            </w:r>
          </w:p>
        </w:tc>
        <w:tc>
          <w:tcPr>
            <w:tcW w:w="1701" w:type="dxa"/>
            <w:shd w:val="clear" w:color="auto" w:fill="E7E6E6" w:themeFill="background2"/>
            <w:noWrap/>
            <w:hideMark/>
          </w:tcPr>
          <w:p w14:paraId="69EECE11" w14:textId="77777777" w:rsidR="00EE0CD1" w:rsidRPr="00706D74" w:rsidRDefault="00EE0CD1" w:rsidP="00646E2D">
            <w:pPr>
              <w:rPr>
                <w:b/>
                <w:bCs/>
              </w:rPr>
            </w:pPr>
            <w:r>
              <w:rPr>
                <w:b/>
              </w:rPr>
              <w:t>Unité</w:t>
            </w:r>
          </w:p>
        </w:tc>
        <w:tc>
          <w:tcPr>
            <w:tcW w:w="2126" w:type="dxa"/>
            <w:shd w:val="clear" w:color="auto" w:fill="E7E6E6" w:themeFill="background2"/>
          </w:tcPr>
          <w:p w14:paraId="09644828" w14:textId="77777777" w:rsidR="00EE0CD1" w:rsidRDefault="00EE0CD1" w:rsidP="00646E2D">
            <w:pPr>
              <w:rPr>
                <w:b/>
              </w:rPr>
            </w:pPr>
            <w:r>
              <w:rPr>
                <w:b/>
              </w:rPr>
              <w:t>Quantités présumées</w:t>
            </w:r>
          </w:p>
        </w:tc>
        <w:tc>
          <w:tcPr>
            <w:tcW w:w="2126" w:type="dxa"/>
            <w:shd w:val="clear" w:color="auto" w:fill="E7E6E6" w:themeFill="background2"/>
            <w:noWrap/>
          </w:tcPr>
          <w:p w14:paraId="6730E22C"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5961A24D" w14:textId="77777777" w:rsidR="00EE0CD1" w:rsidRPr="00706D74" w:rsidRDefault="00EE0CD1" w:rsidP="00646E2D">
            <w:pPr>
              <w:rPr>
                <w:b/>
                <w:bCs/>
              </w:rPr>
            </w:pPr>
            <w:r>
              <w:rPr>
                <w:b/>
              </w:rPr>
              <w:t>Prix total HTVA</w:t>
            </w:r>
          </w:p>
        </w:tc>
        <w:tc>
          <w:tcPr>
            <w:tcW w:w="1843" w:type="dxa"/>
            <w:shd w:val="clear" w:color="auto" w:fill="E7E6E6" w:themeFill="background2"/>
          </w:tcPr>
          <w:p w14:paraId="119C4888" w14:textId="77777777" w:rsidR="00EE0CD1" w:rsidRPr="00181A74" w:rsidRDefault="00EE0CD1" w:rsidP="00646E2D">
            <w:pPr>
              <w:rPr>
                <w:b/>
                <w:bCs/>
              </w:rPr>
            </w:pPr>
            <w:r>
              <w:rPr>
                <w:b/>
              </w:rPr>
              <w:t>Taux de TVA applicable</w:t>
            </w:r>
          </w:p>
        </w:tc>
      </w:tr>
      <w:tr w:rsidR="00EE0CD1" w14:paraId="1EA98167" w14:textId="77777777" w:rsidTr="00646E2D">
        <w:trPr>
          <w:trHeight w:val="300"/>
        </w:trPr>
        <w:tc>
          <w:tcPr>
            <w:tcW w:w="2972" w:type="dxa"/>
            <w:noWrap/>
          </w:tcPr>
          <w:p w14:paraId="4AA8CB8D" w14:textId="1B5FACB3" w:rsidR="00EE0CD1" w:rsidRDefault="00EE0CD1" w:rsidP="00646E2D">
            <w:pPr>
              <w:jc w:val="both"/>
            </w:pPr>
            <w:proofErr w:type="spellStart"/>
            <w:r>
              <w:t>Expert·e</w:t>
            </w:r>
            <w:proofErr w:type="spellEnd"/>
          </w:p>
        </w:tc>
        <w:tc>
          <w:tcPr>
            <w:tcW w:w="1701" w:type="dxa"/>
            <w:noWrap/>
          </w:tcPr>
          <w:p w14:paraId="4895BDA8" w14:textId="77777777" w:rsidR="00EE0CD1" w:rsidRDefault="00EE0CD1" w:rsidP="00646E2D">
            <w:pPr>
              <w:jc w:val="center"/>
            </w:pPr>
            <w:r>
              <w:t>Personne-jour</w:t>
            </w:r>
          </w:p>
        </w:tc>
        <w:tc>
          <w:tcPr>
            <w:tcW w:w="2126" w:type="dxa"/>
          </w:tcPr>
          <w:p w14:paraId="3399C347" w14:textId="77777777" w:rsidR="00EE0CD1" w:rsidRDefault="00EE0CD1" w:rsidP="00646E2D">
            <w:pPr>
              <w:jc w:val="center"/>
            </w:pPr>
            <w:r>
              <w:t>50</w:t>
            </w:r>
          </w:p>
        </w:tc>
        <w:tc>
          <w:tcPr>
            <w:tcW w:w="2126" w:type="dxa"/>
            <w:shd w:val="clear" w:color="auto" w:fill="auto"/>
            <w:noWrap/>
          </w:tcPr>
          <w:p w14:paraId="2CE54E31" w14:textId="77777777" w:rsidR="00EE0CD1" w:rsidRDefault="00EE0CD1" w:rsidP="00646E2D">
            <w:pPr>
              <w:jc w:val="right"/>
            </w:pPr>
            <w:r>
              <w:t>€</w:t>
            </w:r>
          </w:p>
        </w:tc>
        <w:tc>
          <w:tcPr>
            <w:tcW w:w="1701" w:type="dxa"/>
            <w:shd w:val="clear" w:color="auto" w:fill="auto"/>
          </w:tcPr>
          <w:p w14:paraId="73F567A5" w14:textId="77777777" w:rsidR="00EE0CD1" w:rsidRDefault="00EE0CD1" w:rsidP="00646E2D">
            <w:pPr>
              <w:jc w:val="right"/>
            </w:pPr>
            <w:r>
              <w:t>€</w:t>
            </w:r>
          </w:p>
        </w:tc>
        <w:tc>
          <w:tcPr>
            <w:tcW w:w="1843" w:type="dxa"/>
            <w:shd w:val="clear" w:color="auto" w:fill="auto"/>
          </w:tcPr>
          <w:p w14:paraId="28960779" w14:textId="77777777" w:rsidR="00EE0CD1" w:rsidRDefault="00EE0CD1" w:rsidP="00646E2D">
            <w:pPr>
              <w:jc w:val="right"/>
            </w:pPr>
            <w:r>
              <w:t>%</w:t>
            </w:r>
          </w:p>
        </w:tc>
      </w:tr>
      <w:tr w:rsidR="00393A99" w14:paraId="13846A17" w14:textId="77777777" w:rsidTr="00BA432E">
        <w:trPr>
          <w:trHeight w:val="300"/>
        </w:trPr>
        <w:tc>
          <w:tcPr>
            <w:tcW w:w="2972" w:type="dxa"/>
            <w:noWrap/>
          </w:tcPr>
          <w:p w14:paraId="623F1219" w14:textId="171DB05C" w:rsidR="00393A99" w:rsidRDefault="00393A99" w:rsidP="00646E2D">
            <w:pPr>
              <w:jc w:val="both"/>
            </w:pPr>
            <w:r>
              <w:t>Prix total TVAC</w:t>
            </w:r>
          </w:p>
        </w:tc>
        <w:tc>
          <w:tcPr>
            <w:tcW w:w="9497" w:type="dxa"/>
            <w:gridSpan w:val="5"/>
            <w:noWrap/>
          </w:tcPr>
          <w:p w14:paraId="7581E6E9" w14:textId="47975387" w:rsidR="00393A99" w:rsidRDefault="0041071C" w:rsidP="00646E2D">
            <w:pPr>
              <w:jc w:val="right"/>
            </w:pPr>
            <w:r>
              <w:t>€</w:t>
            </w:r>
          </w:p>
        </w:tc>
      </w:tr>
    </w:tbl>
    <w:p w14:paraId="1DC22792" w14:textId="77777777" w:rsidR="00EE0CD1" w:rsidRPr="00EE0CD1" w:rsidRDefault="00EE0CD1" w:rsidP="00EE0CD1"/>
    <w:p w14:paraId="3C48920F" w14:textId="2BE6014A" w:rsidR="00AF5734" w:rsidRDefault="00AF5734" w:rsidP="00EE0CD1">
      <w:pPr>
        <w:pStyle w:val="Heading3"/>
      </w:pPr>
      <w:bookmarkStart w:id="331" w:name="_Toc160610310"/>
      <w:r>
        <w:t>Lot 13 : Développement et mobilisation du secteur privé</w:t>
      </w:r>
      <w:bookmarkEnd w:id="331"/>
    </w:p>
    <w:p w14:paraId="5D66E824" w14:textId="77777777" w:rsidR="00EE0CD1" w:rsidRP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6CE10F72" w14:textId="77777777" w:rsidTr="00646E2D">
        <w:trPr>
          <w:trHeight w:val="785"/>
        </w:trPr>
        <w:tc>
          <w:tcPr>
            <w:tcW w:w="2972" w:type="dxa"/>
            <w:shd w:val="clear" w:color="auto" w:fill="E7E6E6" w:themeFill="background2"/>
            <w:noWrap/>
            <w:hideMark/>
          </w:tcPr>
          <w:p w14:paraId="5748D216" w14:textId="77777777" w:rsidR="00EE0CD1" w:rsidRPr="00706D74" w:rsidRDefault="00EE0CD1" w:rsidP="00646E2D">
            <w:pPr>
              <w:rPr>
                <w:b/>
                <w:bCs/>
              </w:rPr>
            </w:pPr>
            <w:r>
              <w:rPr>
                <w:b/>
              </w:rPr>
              <w:t>Poste</w:t>
            </w:r>
          </w:p>
        </w:tc>
        <w:tc>
          <w:tcPr>
            <w:tcW w:w="1701" w:type="dxa"/>
            <w:shd w:val="clear" w:color="auto" w:fill="E7E6E6" w:themeFill="background2"/>
            <w:noWrap/>
            <w:hideMark/>
          </w:tcPr>
          <w:p w14:paraId="1FB070A9" w14:textId="77777777" w:rsidR="00EE0CD1" w:rsidRPr="00706D74" w:rsidRDefault="00EE0CD1" w:rsidP="00646E2D">
            <w:pPr>
              <w:rPr>
                <w:b/>
                <w:bCs/>
              </w:rPr>
            </w:pPr>
            <w:r>
              <w:rPr>
                <w:b/>
              </w:rPr>
              <w:t>Unité</w:t>
            </w:r>
          </w:p>
        </w:tc>
        <w:tc>
          <w:tcPr>
            <w:tcW w:w="2126" w:type="dxa"/>
            <w:shd w:val="clear" w:color="auto" w:fill="E7E6E6" w:themeFill="background2"/>
          </w:tcPr>
          <w:p w14:paraId="4EDEC5A1" w14:textId="77777777" w:rsidR="00EE0CD1" w:rsidRDefault="00EE0CD1" w:rsidP="00646E2D">
            <w:pPr>
              <w:rPr>
                <w:b/>
              </w:rPr>
            </w:pPr>
            <w:r>
              <w:rPr>
                <w:b/>
              </w:rPr>
              <w:t>Quantités présumées</w:t>
            </w:r>
          </w:p>
        </w:tc>
        <w:tc>
          <w:tcPr>
            <w:tcW w:w="2126" w:type="dxa"/>
            <w:shd w:val="clear" w:color="auto" w:fill="E7E6E6" w:themeFill="background2"/>
            <w:noWrap/>
          </w:tcPr>
          <w:p w14:paraId="5350A135"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5745416C" w14:textId="77777777" w:rsidR="00EE0CD1" w:rsidRPr="00706D74" w:rsidRDefault="00EE0CD1" w:rsidP="00646E2D">
            <w:pPr>
              <w:rPr>
                <w:b/>
                <w:bCs/>
              </w:rPr>
            </w:pPr>
            <w:r>
              <w:rPr>
                <w:b/>
              </w:rPr>
              <w:t>Prix total HTVA</w:t>
            </w:r>
          </w:p>
        </w:tc>
        <w:tc>
          <w:tcPr>
            <w:tcW w:w="1843" w:type="dxa"/>
            <w:shd w:val="clear" w:color="auto" w:fill="E7E6E6" w:themeFill="background2"/>
          </w:tcPr>
          <w:p w14:paraId="16EBBDE7" w14:textId="77777777" w:rsidR="00EE0CD1" w:rsidRPr="00181A74" w:rsidRDefault="00EE0CD1" w:rsidP="00646E2D">
            <w:pPr>
              <w:rPr>
                <w:b/>
                <w:bCs/>
              </w:rPr>
            </w:pPr>
            <w:r>
              <w:rPr>
                <w:b/>
              </w:rPr>
              <w:t>Taux de TVA applicable</w:t>
            </w:r>
          </w:p>
        </w:tc>
      </w:tr>
      <w:tr w:rsidR="00EE0CD1" w14:paraId="300B5EE2" w14:textId="77777777" w:rsidTr="00646E2D">
        <w:trPr>
          <w:trHeight w:val="300"/>
        </w:trPr>
        <w:tc>
          <w:tcPr>
            <w:tcW w:w="2972" w:type="dxa"/>
            <w:noWrap/>
          </w:tcPr>
          <w:p w14:paraId="111A8207" w14:textId="40711024" w:rsidR="00EE0CD1" w:rsidRDefault="00EE0CD1" w:rsidP="00646E2D">
            <w:pPr>
              <w:jc w:val="both"/>
            </w:pPr>
            <w:proofErr w:type="spellStart"/>
            <w:r>
              <w:t>Expert·e</w:t>
            </w:r>
            <w:proofErr w:type="spellEnd"/>
          </w:p>
        </w:tc>
        <w:tc>
          <w:tcPr>
            <w:tcW w:w="1701" w:type="dxa"/>
            <w:noWrap/>
          </w:tcPr>
          <w:p w14:paraId="40FAF287" w14:textId="77777777" w:rsidR="00EE0CD1" w:rsidRDefault="00EE0CD1" w:rsidP="00646E2D">
            <w:pPr>
              <w:jc w:val="center"/>
            </w:pPr>
            <w:r>
              <w:t>Personne-jour</w:t>
            </w:r>
          </w:p>
        </w:tc>
        <w:tc>
          <w:tcPr>
            <w:tcW w:w="2126" w:type="dxa"/>
          </w:tcPr>
          <w:p w14:paraId="7636F06B" w14:textId="77777777" w:rsidR="00EE0CD1" w:rsidRDefault="00EE0CD1" w:rsidP="00646E2D">
            <w:pPr>
              <w:jc w:val="center"/>
            </w:pPr>
            <w:r>
              <w:t>50</w:t>
            </w:r>
          </w:p>
        </w:tc>
        <w:tc>
          <w:tcPr>
            <w:tcW w:w="2126" w:type="dxa"/>
            <w:shd w:val="clear" w:color="auto" w:fill="auto"/>
            <w:noWrap/>
          </w:tcPr>
          <w:p w14:paraId="34B22EBC" w14:textId="77777777" w:rsidR="00EE0CD1" w:rsidRDefault="00EE0CD1" w:rsidP="00646E2D">
            <w:pPr>
              <w:jc w:val="right"/>
            </w:pPr>
            <w:r>
              <w:t>€</w:t>
            </w:r>
          </w:p>
        </w:tc>
        <w:tc>
          <w:tcPr>
            <w:tcW w:w="1701" w:type="dxa"/>
            <w:shd w:val="clear" w:color="auto" w:fill="auto"/>
          </w:tcPr>
          <w:p w14:paraId="32B7B17F" w14:textId="77777777" w:rsidR="00EE0CD1" w:rsidRDefault="00EE0CD1" w:rsidP="00646E2D">
            <w:pPr>
              <w:jc w:val="right"/>
            </w:pPr>
            <w:r>
              <w:t>€</w:t>
            </w:r>
          </w:p>
        </w:tc>
        <w:tc>
          <w:tcPr>
            <w:tcW w:w="1843" w:type="dxa"/>
            <w:shd w:val="clear" w:color="auto" w:fill="auto"/>
          </w:tcPr>
          <w:p w14:paraId="4C212EC0" w14:textId="77777777" w:rsidR="00EE0CD1" w:rsidRDefault="00EE0CD1" w:rsidP="00646E2D">
            <w:pPr>
              <w:jc w:val="right"/>
            </w:pPr>
            <w:r>
              <w:t>%</w:t>
            </w:r>
          </w:p>
        </w:tc>
      </w:tr>
      <w:tr w:rsidR="00393A99" w14:paraId="107719B2" w14:textId="77777777" w:rsidTr="004C46E3">
        <w:trPr>
          <w:trHeight w:val="300"/>
        </w:trPr>
        <w:tc>
          <w:tcPr>
            <w:tcW w:w="2972" w:type="dxa"/>
            <w:noWrap/>
          </w:tcPr>
          <w:p w14:paraId="7F50D1E7" w14:textId="1926A5F9" w:rsidR="00393A99" w:rsidRDefault="00393A99" w:rsidP="00646E2D">
            <w:pPr>
              <w:jc w:val="both"/>
            </w:pPr>
            <w:r>
              <w:t>Prix total TVAC</w:t>
            </w:r>
          </w:p>
        </w:tc>
        <w:tc>
          <w:tcPr>
            <w:tcW w:w="9497" w:type="dxa"/>
            <w:gridSpan w:val="5"/>
            <w:noWrap/>
          </w:tcPr>
          <w:p w14:paraId="65DAA84A" w14:textId="4815D34B" w:rsidR="00393A99" w:rsidRDefault="0041071C" w:rsidP="00646E2D">
            <w:pPr>
              <w:jc w:val="right"/>
            </w:pPr>
            <w:r>
              <w:t>€</w:t>
            </w:r>
          </w:p>
        </w:tc>
      </w:tr>
    </w:tbl>
    <w:p w14:paraId="02BAE751" w14:textId="77777777" w:rsidR="00EE0CD1" w:rsidRPr="00EE0CD1" w:rsidRDefault="00EE0CD1" w:rsidP="00EE0CD1"/>
    <w:p w14:paraId="47181FEB" w14:textId="0E99E5B7" w:rsidR="00AF5734" w:rsidRDefault="00AF5734" w:rsidP="00EE0CD1">
      <w:pPr>
        <w:pStyle w:val="Heading3"/>
      </w:pPr>
      <w:bookmarkStart w:id="332" w:name="_Toc160610311"/>
      <w:r>
        <w:t>Lot 14 : Monitoring &amp; Évaluation</w:t>
      </w:r>
      <w:bookmarkEnd w:id="332"/>
    </w:p>
    <w:p w14:paraId="74B91EF1"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74C63822" w14:textId="77777777" w:rsidTr="00646E2D">
        <w:trPr>
          <w:trHeight w:val="785"/>
        </w:trPr>
        <w:tc>
          <w:tcPr>
            <w:tcW w:w="2972" w:type="dxa"/>
            <w:shd w:val="clear" w:color="auto" w:fill="E7E6E6" w:themeFill="background2"/>
            <w:noWrap/>
            <w:hideMark/>
          </w:tcPr>
          <w:p w14:paraId="6DC99990" w14:textId="77777777" w:rsidR="00EE0CD1" w:rsidRPr="00706D74" w:rsidRDefault="00EE0CD1" w:rsidP="00646E2D">
            <w:pPr>
              <w:rPr>
                <w:b/>
                <w:bCs/>
              </w:rPr>
            </w:pPr>
            <w:r>
              <w:rPr>
                <w:b/>
              </w:rPr>
              <w:t>Poste</w:t>
            </w:r>
          </w:p>
        </w:tc>
        <w:tc>
          <w:tcPr>
            <w:tcW w:w="1701" w:type="dxa"/>
            <w:shd w:val="clear" w:color="auto" w:fill="E7E6E6" w:themeFill="background2"/>
            <w:noWrap/>
            <w:hideMark/>
          </w:tcPr>
          <w:p w14:paraId="6A150F70" w14:textId="77777777" w:rsidR="00EE0CD1" w:rsidRPr="00706D74" w:rsidRDefault="00EE0CD1" w:rsidP="00646E2D">
            <w:pPr>
              <w:rPr>
                <w:b/>
                <w:bCs/>
              </w:rPr>
            </w:pPr>
            <w:r>
              <w:rPr>
                <w:b/>
              </w:rPr>
              <w:t>Unité</w:t>
            </w:r>
          </w:p>
        </w:tc>
        <w:tc>
          <w:tcPr>
            <w:tcW w:w="2126" w:type="dxa"/>
            <w:shd w:val="clear" w:color="auto" w:fill="E7E6E6" w:themeFill="background2"/>
          </w:tcPr>
          <w:p w14:paraId="44FE2BB5" w14:textId="77777777" w:rsidR="00EE0CD1" w:rsidRDefault="00EE0CD1" w:rsidP="00646E2D">
            <w:pPr>
              <w:rPr>
                <w:b/>
              </w:rPr>
            </w:pPr>
            <w:r>
              <w:rPr>
                <w:b/>
              </w:rPr>
              <w:t>Quantités présumées</w:t>
            </w:r>
          </w:p>
        </w:tc>
        <w:tc>
          <w:tcPr>
            <w:tcW w:w="2126" w:type="dxa"/>
            <w:shd w:val="clear" w:color="auto" w:fill="E7E6E6" w:themeFill="background2"/>
            <w:noWrap/>
          </w:tcPr>
          <w:p w14:paraId="65DF876F"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4B5B8E81" w14:textId="77777777" w:rsidR="00EE0CD1" w:rsidRPr="00706D74" w:rsidRDefault="00EE0CD1" w:rsidP="00646E2D">
            <w:pPr>
              <w:rPr>
                <w:b/>
                <w:bCs/>
              </w:rPr>
            </w:pPr>
            <w:r>
              <w:rPr>
                <w:b/>
              </w:rPr>
              <w:t>Prix total HTVA</w:t>
            </w:r>
          </w:p>
        </w:tc>
        <w:tc>
          <w:tcPr>
            <w:tcW w:w="1843" w:type="dxa"/>
            <w:shd w:val="clear" w:color="auto" w:fill="E7E6E6" w:themeFill="background2"/>
          </w:tcPr>
          <w:p w14:paraId="1276DB42" w14:textId="77777777" w:rsidR="00EE0CD1" w:rsidRPr="00181A74" w:rsidRDefault="00EE0CD1" w:rsidP="00646E2D">
            <w:pPr>
              <w:rPr>
                <w:b/>
                <w:bCs/>
              </w:rPr>
            </w:pPr>
            <w:r>
              <w:rPr>
                <w:b/>
              </w:rPr>
              <w:t>Taux de TVA applicable</w:t>
            </w:r>
          </w:p>
        </w:tc>
      </w:tr>
      <w:tr w:rsidR="00EE0CD1" w14:paraId="2F3C3829" w14:textId="77777777" w:rsidTr="00646E2D">
        <w:trPr>
          <w:trHeight w:val="300"/>
        </w:trPr>
        <w:tc>
          <w:tcPr>
            <w:tcW w:w="2972" w:type="dxa"/>
            <w:noWrap/>
          </w:tcPr>
          <w:p w14:paraId="7364634A" w14:textId="4C8508FF" w:rsidR="00EE0CD1" w:rsidRDefault="00EE0CD1" w:rsidP="00646E2D">
            <w:pPr>
              <w:jc w:val="both"/>
            </w:pPr>
            <w:proofErr w:type="spellStart"/>
            <w:r>
              <w:t>Expert·e</w:t>
            </w:r>
            <w:proofErr w:type="spellEnd"/>
          </w:p>
        </w:tc>
        <w:tc>
          <w:tcPr>
            <w:tcW w:w="1701" w:type="dxa"/>
            <w:noWrap/>
          </w:tcPr>
          <w:p w14:paraId="6D42004C" w14:textId="77777777" w:rsidR="00EE0CD1" w:rsidRDefault="00EE0CD1" w:rsidP="00646E2D">
            <w:pPr>
              <w:jc w:val="center"/>
            </w:pPr>
            <w:r>
              <w:t>Personne-jour</w:t>
            </w:r>
          </w:p>
        </w:tc>
        <w:tc>
          <w:tcPr>
            <w:tcW w:w="2126" w:type="dxa"/>
          </w:tcPr>
          <w:p w14:paraId="18124B8A" w14:textId="77777777" w:rsidR="00EE0CD1" w:rsidRDefault="00EE0CD1" w:rsidP="00646E2D">
            <w:pPr>
              <w:jc w:val="center"/>
            </w:pPr>
            <w:r>
              <w:t>50</w:t>
            </w:r>
          </w:p>
        </w:tc>
        <w:tc>
          <w:tcPr>
            <w:tcW w:w="2126" w:type="dxa"/>
            <w:shd w:val="clear" w:color="auto" w:fill="auto"/>
            <w:noWrap/>
          </w:tcPr>
          <w:p w14:paraId="10E89E37" w14:textId="77777777" w:rsidR="00EE0CD1" w:rsidRDefault="00EE0CD1" w:rsidP="00646E2D">
            <w:pPr>
              <w:jc w:val="right"/>
            </w:pPr>
            <w:r>
              <w:t>€</w:t>
            </w:r>
          </w:p>
        </w:tc>
        <w:tc>
          <w:tcPr>
            <w:tcW w:w="1701" w:type="dxa"/>
            <w:shd w:val="clear" w:color="auto" w:fill="auto"/>
          </w:tcPr>
          <w:p w14:paraId="470A567B" w14:textId="77777777" w:rsidR="00EE0CD1" w:rsidRDefault="00EE0CD1" w:rsidP="00646E2D">
            <w:pPr>
              <w:jc w:val="right"/>
            </w:pPr>
            <w:r>
              <w:t>€</w:t>
            </w:r>
          </w:p>
        </w:tc>
        <w:tc>
          <w:tcPr>
            <w:tcW w:w="1843" w:type="dxa"/>
            <w:shd w:val="clear" w:color="auto" w:fill="auto"/>
          </w:tcPr>
          <w:p w14:paraId="72A496DB" w14:textId="77777777" w:rsidR="00EE0CD1" w:rsidRDefault="00EE0CD1" w:rsidP="00646E2D">
            <w:pPr>
              <w:jc w:val="right"/>
            </w:pPr>
            <w:r>
              <w:t>%</w:t>
            </w:r>
          </w:p>
        </w:tc>
      </w:tr>
      <w:tr w:rsidR="00393A99" w14:paraId="61EAD6D3" w14:textId="77777777" w:rsidTr="00493F26">
        <w:trPr>
          <w:trHeight w:val="300"/>
        </w:trPr>
        <w:tc>
          <w:tcPr>
            <w:tcW w:w="2972" w:type="dxa"/>
            <w:noWrap/>
          </w:tcPr>
          <w:p w14:paraId="7054606A" w14:textId="4EADB588" w:rsidR="00393A99" w:rsidRDefault="00393A99" w:rsidP="00646E2D">
            <w:pPr>
              <w:jc w:val="both"/>
            </w:pPr>
            <w:r>
              <w:t>Prix total TVAC</w:t>
            </w:r>
          </w:p>
        </w:tc>
        <w:tc>
          <w:tcPr>
            <w:tcW w:w="9497" w:type="dxa"/>
            <w:gridSpan w:val="5"/>
            <w:noWrap/>
          </w:tcPr>
          <w:p w14:paraId="66DA5B3B" w14:textId="263829D9" w:rsidR="00393A99" w:rsidRDefault="0041071C" w:rsidP="00646E2D">
            <w:pPr>
              <w:jc w:val="right"/>
            </w:pPr>
            <w:r>
              <w:t>€</w:t>
            </w:r>
          </w:p>
        </w:tc>
      </w:tr>
    </w:tbl>
    <w:p w14:paraId="794F2EF6" w14:textId="77777777" w:rsidR="00EE0CD1" w:rsidRDefault="00EE0CD1" w:rsidP="00EE0CD1"/>
    <w:p w14:paraId="26FC6129" w14:textId="77777777" w:rsidR="00FC1D24" w:rsidRPr="00EE0CD1" w:rsidRDefault="00FC1D24" w:rsidP="00EE0CD1"/>
    <w:p w14:paraId="038D4561" w14:textId="23BB7207" w:rsidR="00AF5734" w:rsidRDefault="00AF5734" w:rsidP="00EE0CD1">
      <w:pPr>
        <w:pStyle w:val="Heading3"/>
      </w:pPr>
      <w:bookmarkStart w:id="333" w:name="_Toc160610312"/>
      <w:r>
        <w:lastRenderedPageBreak/>
        <w:t>Lot 15 : Soutien managérial, institutionnel et auxiliaire</w:t>
      </w:r>
      <w:bookmarkEnd w:id="333"/>
    </w:p>
    <w:p w14:paraId="7D1BA2DC" w14:textId="77777777" w:rsidR="00EE0CD1"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181A74" w14:paraId="176BAD1F" w14:textId="77777777" w:rsidTr="00646E2D">
        <w:trPr>
          <w:trHeight w:val="785"/>
        </w:trPr>
        <w:tc>
          <w:tcPr>
            <w:tcW w:w="2972" w:type="dxa"/>
            <w:shd w:val="clear" w:color="auto" w:fill="E7E6E6" w:themeFill="background2"/>
            <w:noWrap/>
            <w:hideMark/>
          </w:tcPr>
          <w:p w14:paraId="2E6FD265" w14:textId="77777777" w:rsidR="00EE0CD1" w:rsidRPr="00706D74" w:rsidRDefault="00EE0CD1" w:rsidP="00646E2D">
            <w:pPr>
              <w:rPr>
                <w:b/>
                <w:bCs/>
              </w:rPr>
            </w:pPr>
            <w:r>
              <w:rPr>
                <w:b/>
              </w:rPr>
              <w:t>Poste</w:t>
            </w:r>
          </w:p>
        </w:tc>
        <w:tc>
          <w:tcPr>
            <w:tcW w:w="1701" w:type="dxa"/>
            <w:shd w:val="clear" w:color="auto" w:fill="E7E6E6" w:themeFill="background2"/>
            <w:noWrap/>
            <w:hideMark/>
          </w:tcPr>
          <w:p w14:paraId="12E73659" w14:textId="77777777" w:rsidR="00EE0CD1" w:rsidRPr="00706D74" w:rsidRDefault="00EE0CD1" w:rsidP="00646E2D">
            <w:pPr>
              <w:rPr>
                <w:b/>
                <w:bCs/>
              </w:rPr>
            </w:pPr>
            <w:r>
              <w:rPr>
                <w:b/>
              </w:rPr>
              <w:t>Unité</w:t>
            </w:r>
          </w:p>
        </w:tc>
        <w:tc>
          <w:tcPr>
            <w:tcW w:w="2126" w:type="dxa"/>
            <w:shd w:val="clear" w:color="auto" w:fill="E7E6E6" w:themeFill="background2"/>
          </w:tcPr>
          <w:p w14:paraId="4B1CBD03" w14:textId="77777777" w:rsidR="00EE0CD1" w:rsidRDefault="00EE0CD1" w:rsidP="00646E2D">
            <w:pPr>
              <w:rPr>
                <w:b/>
              </w:rPr>
            </w:pPr>
            <w:r>
              <w:rPr>
                <w:b/>
              </w:rPr>
              <w:t>Quantités présumées</w:t>
            </w:r>
          </w:p>
        </w:tc>
        <w:tc>
          <w:tcPr>
            <w:tcW w:w="2126" w:type="dxa"/>
            <w:shd w:val="clear" w:color="auto" w:fill="E7E6E6" w:themeFill="background2"/>
            <w:noWrap/>
          </w:tcPr>
          <w:p w14:paraId="288BFD46" w14:textId="77777777" w:rsidR="00EE0CD1" w:rsidRPr="00706D74" w:rsidRDefault="00EE0CD1" w:rsidP="00646E2D">
            <w:pPr>
              <w:rPr>
                <w:b/>
                <w:bCs/>
              </w:rPr>
            </w:pPr>
            <w:r>
              <w:rPr>
                <w:b/>
              </w:rPr>
              <w:t>Prix unitaire en euros HTVA</w:t>
            </w:r>
          </w:p>
        </w:tc>
        <w:tc>
          <w:tcPr>
            <w:tcW w:w="1701" w:type="dxa"/>
            <w:shd w:val="clear" w:color="auto" w:fill="E7E6E6" w:themeFill="background2"/>
          </w:tcPr>
          <w:p w14:paraId="1D803076" w14:textId="77777777" w:rsidR="00EE0CD1" w:rsidRPr="00706D74" w:rsidRDefault="00EE0CD1" w:rsidP="00646E2D">
            <w:pPr>
              <w:rPr>
                <w:b/>
                <w:bCs/>
              </w:rPr>
            </w:pPr>
            <w:r>
              <w:rPr>
                <w:b/>
              </w:rPr>
              <w:t>Prix total HTVA</w:t>
            </w:r>
          </w:p>
        </w:tc>
        <w:tc>
          <w:tcPr>
            <w:tcW w:w="1843" w:type="dxa"/>
            <w:shd w:val="clear" w:color="auto" w:fill="E7E6E6" w:themeFill="background2"/>
          </w:tcPr>
          <w:p w14:paraId="59CFE406" w14:textId="77777777" w:rsidR="00EE0CD1" w:rsidRPr="00181A74" w:rsidRDefault="00EE0CD1" w:rsidP="00646E2D">
            <w:pPr>
              <w:rPr>
                <w:b/>
                <w:bCs/>
              </w:rPr>
            </w:pPr>
            <w:r>
              <w:rPr>
                <w:b/>
              </w:rPr>
              <w:t>Taux de TVA applicable</w:t>
            </w:r>
          </w:p>
        </w:tc>
      </w:tr>
      <w:tr w:rsidR="00EE0CD1" w14:paraId="04C07643" w14:textId="77777777" w:rsidTr="00646E2D">
        <w:trPr>
          <w:trHeight w:val="300"/>
        </w:trPr>
        <w:tc>
          <w:tcPr>
            <w:tcW w:w="2972" w:type="dxa"/>
            <w:noWrap/>
          </w:tcPr>
          <w:p w14:paraId="18DD4A2B" w14:textId="26B70943" w:rsidR="00EE0CD1" w:rsidRDefault="00EE0CD1" w:rsidP="00646E2D">
            <w:pPr>
              <w:jc w:val="both"/>
            </w:pPr>
            <w:proofErr w:type="spellStart"/>
            <w:r>
              <w:t>Expert·e</w:t>
            </w:r>
            <w:proofErr w:type="spellEnd"/>
          </w:p>
        </w:tc>
        <w:tc>
          <w:tcPr>
            <w:tcW w:w="1701" w:type="dxa"/>
            <w:noWrap/>
          </w:tcPr>
          <w:p w14:paraId="7C73072B" w14:textId="77777777" w:rsidR="00EE0CD1" w:rsidRDefault="00EE0CD1" w:rsidP="00646E2D">
            <w:pPr>
              <w:jc w:val="center"/>
            </w:pPr>
            <w:r>
              <w:t>Personne-jour</w:t>
            </w:r>
          </w:p>
        </w:tc>
        <w:tc>
          <w:tcPr>
            <w:tcW w:w="2126" w:type="dxa"/>
          </w:tcPr>
          <w:p w14:paraId="63E6FB9F" w14:textId="77777777" w:rsidR="00EE0CD1" w:rsidRDefault="00EE0CD1" w:rsidP="00646E2D">
            <w:pPr>
              <w:jc w:val="center"/>
            </w:pPr>
            <w:r>
              <w:t>50</w:t>
            </w:r>
          </w:p>
        </w:tc>
        <w:tc>
          <w:tcPr>
            <w:tcW w:w="2126" w:type="dxa"/>
            <w:shd w:val="clear" w:color="auto" w:fill="auto"/>
            <w:noWrap/>
          </w:tcPr>
          <w:p w14:paraId="2F4FFE78" w14:textId="77777777" w:rsidR="00EE0CD1" w:rsidRDefault="00EE0CD1" w:rsidP="00646E2D">
            <w:pPr>
              <w:jc w:val="right"/>
            </w:pPr>
            <w:r>
              <w:t>€</w:t>
            </w:r>
          </w:p>
        </w:tc>
        <w:tc>
          <w:tcPr>
            <w:tcW w:w="1701" w:type="dxa"/>
            <w:shd w:val="clear" w:color="auto" w:fill="auto"/>
          </w:tcPr>
          <w:p w14:paraId="2AE2172A" w14:textId="77777777" w:rsidR="00EE0CD1" w:rsidRDefault="00EE0CD1" w:rsidP="00646E2D">
            <w:pPr>
              <w:jc w:val="right"/>
            </w:pPr>
            <w:r>
              <w:t>€</w:t>
            </w:r>
          </w:p>
        </w:tc>
        <w:tc>
          <w:tcPr>
            <w:tcW w:w="1843" w:type="dxa"/>
            <w:shd w:val="clear" w:color="auto" w:fill="auto"/>
          </w:tcPr>
          <w:p w14:paraId="3E9F6A5E" w14:textId="77777777" w:rsidR="00EE0CD1" w:rsidRDefault="00EE0CD1" w:rsidP="00646E2D">
            <w:pPr>
              <w:jc w:val="right"/>
            </w:pPr>
            <w:r>
              <w:t>%</w:t>
            </w:r>
          </w:p>
        </w:tc>
      </w:tr>
      <w:tr w:rsidR="00393A99" w14:paraId="39C3FD4F" w14:textId="77777777" w:rsidTr="00C05662">
        <w:trPr>
          <w:trHeight w:val="300"/>
        </w:trPr>
        <w:tc>
          <w:tcPr>
            <w:tcW w:w="2972" w:type="dxa"/>
            <w:noWrap/>
          </w:tcPr>
          <w:p w14:paraId="7462449F" w14:textId="7A0A5909" w:rsidR="00393A99" w:rsidRDefault="00393A99" w:rsidP="00646E2D">
            <w:pPr>
              <w:jc w:val="both"/>
            </w:pPr>
            <w:r>
              <w:t>Prix total TVAC</w:t>
            </w:r>
          </w:p>
        </w:tc>
        <w:tc>
          <w:tcPr>
            <w:tcW w:w="9497" w:type="dxa"/>
            <w:gridSpan w:val="5"/>
            <w:noWrap/>
          </w:tcPr>
          <w:p w14:paraId="11D1D423" w14:textId="559CE824" w:rsidR="00393A99" w:rsidRDefault="0041071C" w:rsidP="00646E2D">
            <w:pPr>
              <w:jc w:val="right"/>
            </w:pPr>
            <w:r>
              <w:t>€</w:t>
            </w:r>
          </w:p>
        </w:tc>
      </w:tr>
    </w:tbl>
    <w:p w14:paraId="4C57BDAE" w14:textId="77777777" w:rsidR="00FC1D24" w:rsidRDefault="00FC1D24" w:rsidP="00640A42">
      <w:pPr>
        <w:rPr>
          <w:sz w:val="20"/>
        </w:rPr>
      </w:pPr>
    </w:p>
    <w:p w14:paraId="7A3D5D59" w14:textId="77777777" w:rsidR="00FC1D24" w:rsidRDefault="00FC1D24" w:rsidP="00640A42">
      <w:pPr>
        <w:rPr>
          <w:sz w:val="20"/>
        </w:rPr>
      </w:pPr>
    </w:p>
    <w:p w14:paraId="224D7E5B" w14:textId="5D1498F9" w:rsidR="00640A42" w:rsidRPr="00181A74" w:rsidRDefault="00640A42" w:rsidP="00640A42">
      <w:pPr>
        <w:rPr>
          <w:sz w:val="20"/>
          <w:szCs w:val="20"/>
        </w:rPr>
      </w:pPr>
      <w:r>
        <w:rPr>
          <w:sz w:val="20"/>
        </w:rPr>
        <w:t>En cas d’approbation de la présente offre, le cautionnement sera constitué dans les conditions et délais prescrits dans le cahier spécial des charges. Les informations confidentielles et/ou les informations qui se rapportent à des secrets techniques ou commerciaux sont clairement indiquées dans l’offre. Afin de pouvoir comparer correctement les offres, les informations ou documents dûment signés mentionnés ci-dessous doivent être joints à l’offre.</w:t>
      </w:r>
    </w:p>
    <w:p w14:paraId="11F51F29" w14:textId="77777777" w:rsidR="00640A42" w:rsidRPr="00181A74" w:rsidRDefault="00640A42" w:rsidP="00640A42">
      <w:pPr>
        <w:rPr>
          <w:sz w:val="20"/>
          <w:szCs w:val="20"/>
        </w:rPr>
      </w:pPr>
      <w:r>
        <w:rPr>
          <w:sz w:val="20"/>
        </w:rPr>
        <w:t>Le soumissionnaire déclare sur l’honneur que les informations fournies sont exactes et correctes, et qu’elles ont été établies en parfaite connaissance des conséquences de toute fausse déclaration.</w:t>
      </w:r>
    </w:p>
    <w:p w14:paraId="0F414AD2" w14:textId="7F453C2F" w:rsidR="00A31783" w:rsidRPr="00640A42" w:rsidRDefault="00A31783" w:rsidP="009E5254">
      <w:pPr>
        <w:sectPr w:rsidR="00A31783" w:rsidRPr="00640A42" w:rsidSect="00F74575">
          <w:pgSz w:w="16838" w:h="11906" w:orient="landscape"/>
          <w:pgMar w:top="1871" w:right="1418" w:bottom="1531" w:left="1418" w:header="709" w:footer="709" w:gutter="0"/>
          <w:cols w:space="708"/>
          <w:docGrid w:linePitch="360"/>
        </w:sectPr>
      </w:pPr>
    </w:p>
    <w:p w14:paraId="310F2919" w14:textId="77777777" w:rsidR="00362337" w:rsidRDefault="00362337" w:rsidP="00362337">
      <w:pPr>
        <w:pStyle w:val="Heading2"/>
      </w:pPr>
      <w:bookmarkStart w:id="334" w:name="_Hlk157611602"/>
      <w:bookmarkStart w:id="335" w:name="_Toc160610313"/>
      <w:r>
        <w:lastRenderedPageBreak/>
        <w:t>Liste des sous-traitants</w:t>
      </w:r>
      <w:bookmarkEnd w:id="335"/>
    </w:p>
    <w:bookmarkEnd w:id="334"/>
    <w:p w14:paraId="2DA88185" w14:textId="77777777" w:rsidR="00362337" w:rsidRDefault="00362337" w:rsidP="00362337"/>
    <w:tbl>
      <w:tblPr>
        <w:tblStyle w:val="TableGrid"/>
        <w:tblW w:w="0" w:type="auto"/>
        <w:tblLook w:val="04A0" w:firstRow="1" w:lastRow="0" w:firstColumn="1" w:lastColumn="0" w:noHBand="0" w:noVBand="1"/>
      </w:tblPr>
      <w:tblGrid>
        <w:gridCol w:w="2238"/>
        <w:gridCol w:w="2196"/>
        <w:gridCol w:w="2115"/>
        <w:gridCol w:w="1945"/>
      </w:tblGrid>
      <w:tr w:rsidR="00010D5D" w14:paraId="3BBB0C03" w14:textId="1E28E992" w:rsidTr="00010D5D">
        <w:tc>
          <w:tcPr>
            <w:tcW w:w="2238" w:type="dxa"/>
          </w:tcPr>
          <w:p w14:paraId="347D9233" w14:textId="77777777" w:rsidR="00010D5D" w:rsidRDefault="00010D5D" w:rsidP="007B2D80"/>
          <w:p w14:paraId="505E81EC" w14:textId="77777777" w:rsidR="00010D5D" w:rsidRDefault="00010D5D" w:rsidP="007B2D80">
            <w:r>
              <w:t>Nom et forme juridique</w:t>
            </w:r>
          </w:p>
          <w:p w14:paraId="54AB1AF1" w14:textId="77777777" w:rsidR="00010D5D" w:rsidRDefault="00010D5D" w:rsidP="007B2D80"/>
        </w:tc>
        <w:tc>
          <w:tcPr>
            <w:tcW w:w="2196" w:type="dxa"/>
          </w:tcPr>
          <w:p w14:paraId="43357215" w14:textId="77777777" w:rsidR="00010D5D" w:rsidRDefault="00010D5D" w:rsidP="007B2D80"/>
          <w:p w14:paraId="746663FF" w14:textId="77777777" w:rsidR="00010D5D" w:rsidRDefault="00010D5D" w:rsidP="007B2D80">
            <w:r>
              <w:t>Adresse / siège social</w:t>
            </w:r>
          </w:p>
        </w:tc>
        <w:tc>
          <w:tcPr>
            <w:tcW w:w="2115" w:type="dxa"/>
          </w:tcPr>
          <w:p w14:paraId="17171BB6" w14:textId="77777777" w:rsidR="00010D5D" w:rsidRDefault="00010D5D" w:rsidP="007B2D80"/>
          <w:p w14:paraId="6C8EC226" w14:textId="77777777" w:rsidR="00010D5D" w:rsidRDefault="00010D5D" w:rsidP="007B2D80">
            <w:r>
              <w:t>Objet</w:t>
            </w:r>
          </w:p>
        </w:tc>
        <w:tc>
          <w:tcPr>
            <w:tcW w:w="1945" w:type="dxa"/>
          </w:tcPr>
          <w:p w14:paraId="22953F83" w14:textId="20824616" w:rsidR="00010D5D" w:rsidRDefault="00397CB9" w:rsidP="007B2D80">
            <w:r>
              <w:t>Autre entité au sens de l’article 73, § 1</w:t>
            </w:r>
            <w:r>
              <w:rPr>
                <w:vertAlign w:val="superscript"/>
              </w:rPr>
              <w:t>er</w:t>
            </w:r>
            <w:r>
              <w:t xml:space="preserve"> de l’Arrêté royal du 18 avril 2017 (OUI/NON)*.</w:t>
            </w:r>
          </w:p>
        </w:tc>
      </w:tr>
      <w:tr w:rsidR="00010D5D" w14:paraId="55D0CFC5" w14:textId="37AB8B67" w:rsidTr="00010D5D">
        <w:trPr>
          <w:trHeight w:val="525"/>
        </w:trPr>
        <w:tc>
          <w:tcPr>
            <w:tcW w:w="2238" w:type="dxa"/>
          </w:tcPr>
          <w:p w14:paraId="11C8B1A0" w14:textId="77777777" w:rsidR="00010D5D" w:rsidRDefault="00010D5D" w:rsidP="007B2D80"/>
        </w:tc>
        <w:tc>
          <w:tcPr>
            <w:tcW w:w="2196" w:type="dxa"/>
          </w:tcPr>
          <w:p w14:paraId="5B52F521" w14:textId="77777777" w:rsidR="00010D5D" w:rsidRDefault="00010D5D" w:rsidP="007B2D80"/>
        </w:tc>
        <w:tc>
          <w:tcPr>
            <w:tcW w:w="2115" w:type="dxa"/>
          </w:tcPr>
          <w:p w14:paraId="1892E110" w14:textId="77777777" w:rsidR="00010D5D" w:rsidRDefault="00010D5D" w:rsidP="007B2D80"/>
        </w:tc>
        <w:tc>
          <w:tcPr>
            <w:tcW w:w="1945" w:type="dxa"/>
          </w:tcPr>
          <w:p w14:paraId="4B0FACFC" w14:textId="77777777" w:rsidR="00010D5D" w:rsidRDefault="00010D5D" w:rsidP="007B2D80"/>
        </w:tc>
      </w:tr>
      <w:tr w:rsidR="00010D5D" w14:paraId="53A1D602" w14:textId="17D3AB16" w:rsidTr="00010D5D">
        <w:trPr>
          <w:trHeight w:val="547"/>
        </w:trPr>
        <w:tc>
          <w:tcPr>
            <w:tcW w:w="2238" w:type="dxa"/>
          </w:tcPr>
          <w:p w14:paraId="46BF91CE" w14:textId="77777777" w:rsidR="00010D5D" w:rsidRDefault="00010D5D" w:rsidP="007B2D80"/>
        </w:tc>
        <w:tc>
          <w:tcPr>
            <w:tcW w:w="2196" w:type="dxa"/>
          </w:tcPr>
          <w:p w14:paraId="3E49727D" w14:textId="77777777" w:rsidR="00010D5D" w:rsidRDefault="00010D5D" w:rsidP="007B2D80"/>
        </w:tc>
        <w:tc>
          <w:tcPr>
            <w:tcW w:w="2115" w:type="dxa"/>
          </w:tcPr>
          <w:p w14:paraId="22B9F968" w14:textId="77777777" w:rsidR="00010D5D" w:rsidRDefault="00010D5D" w:rsidP="007B2D80"/>
        </w:tc>
        <w:tc>
          <w:tcPr>
            <w:tcW w:w="1945" w:type="dxa"/>
          </w:tcPr>
          <w:p w14:paraId="2E572045" w14:textId="77777777" w:rsidR="00010D5D" w:rsidRDefault="00010D5D" w:rsidP="007B2D80"/>
        </w:tc>
      </w:tr>
      <w:tr w:rsidR="00010D5D" w14:paraId="4957F78E" w14:textId="59BE18CF" w:rsidTr="00010D5D">
        <w:trPr>
          <w:trHeight w:val="569"/>
        </w:trPr>
        <w:tc>
          <w:tcPr>
            <w:tcW w:w="2238" w:type="dxa"/>
          </w:tcPr>
          <w:p w14:paraId="029BF2A8" w14:textId="77777777" w:rsidR="00010D5D" w:rsidRDefault="00010D5D" w:rsidP="007B2D80"/>
        </w:tc>
        <w:tc>
          <w:tcPr>
            <w:tcW w:w="2196" w:type="dxa"/>
          </w:tcPr>
          <w:p w14:paraId="33B8C809" w14:textId="77777777" w:rsidR="00010D5D" w:rsidRDefault="00010D5D" w:rsidP="007B2D80"/>
        </w:tc>
        <w:tc>
          <w:tcPr>
            <w:tcW w:w="2115" w:type="dxa"/>
          </w:tcPr>
          <w:p w14:paraId="52DED32B" w14:textId="77777777" w:rsidR="00010D5D" w:rsidRDefault="00010D5D" w:rsidP="007B2D80"/>
        </w:tc>
        <w:tc>
          <w:tcPr>
            <w:tcW w:w="1945" w:type="dxa"/>
          </w:tcPr>
          <w:p w14:paraId="6CCAA785" w14:textId="77777777" w:rsidR="00010D5D" w:rsidRDefault="00010D5D" w:rsidP="007B2D80"/>
        </w:tc>
      </w:tr>
      <w:tr w:rsidR="00010D5D" w14:paraId="4027F020" w14:textId="06FAAB26" w:rsidTr="00010D5D">
        <w:trPr>
          <w:trHeight w:val="549"/>
        </w:trPr>
        <w:tc>
          <w:tcPr>
            <w:tcW w:w="2238" w:type="dxa"/>
          </w:tcPr>
          <w:p w14:paraId="4EC0E1BF" w14:textId="77777777" w:rsidR="00010D5D" w:rsidRDefault="00010D5D" w:rsidP="007B2D80"/>
        </w:tc>
        <w:tc>
          <w:tcPr>
            <w:tcW w:w="2196" w:type="dxa"/>
          </w:tcPr>
          <w:p w14:paraId="58A12A16" w14:textId="77777777" w:rsidR="00010D5D" w:rsidRDefault="00010D5D" w:rsidP="007B2D80"/>
        </w:tc>
        <w:tc>
          <w:tcPr>
            <w:tcW w:w="2115" w:type="dxa"/>
          </w:tcPr>
          <w:p w14:paraId="39D875B2" w14:textId="77777777" w:rsidR="00010D5D" w:rsidRDefault="00010D5D" w:rsidP="007B2D80"/>
        </w:tc>
        <w:tc>
          <w:tcPr>
            <w:tcW w:w="1945" w:type="dxa"/>
          </w:tcPr>
          <w:p w14:paraId="59848CF9" w14:textId="77777777" w:rsidR="00010D5D" w:rsidRDefault="00010D5D" w:rsidP="007B2D80"/>
        </w:tc>
      </w:tr>
      <w:tr w:rsidR="00010D5D" w14:paraId="50A0DAE3" w14:textId="03086888" w:rsidTr="00010D5D">
        <w:trPr>
          <w:trHeight w:val="557"/>
        </w:trPr>
        <w:tc>
          <w:tcPr>
            <w:tcW w:w="2238" w:type="dxa"/>
          </w:tcPr>
          <w:p w14:paraId="5733D9E2" w14:textId="77777777" w:rsidR="00010D5D" w:rsidRDefault="00010D5D" w:rsidP="007B2D80"/>
        </w:tc>
        <w:tc>
          <w:tcPr>
            <w:tcW w:w="2196" w:type="dxa"/>
          </w:tcPr>
          <w:p w14:paraId="7B3AA045" w14:textId="77777777" w:rsidR="00010D5D" w:rsidRDefault="00010D5D" w:rsidP="007B2D80"/>
        </w:tc>
        <w:tc>
          <w:tcPr>
            <w:tcW w:w="2115" w:type="dxa"/>
          </w:tcPr>
          <w:p w14:paraId="132369DC" w14:textId="77777777" w:rsidR="00010D5D" w:rsidRDefault="00010D5D" w:rsidP="007B2D80"/>
        </w:tc>
        <w:tc>
          <w:tcPr>
            <w:tcW w:w="1945" w:type="dxa"/>
          </w:tcPr>
          <w:p w14:paraId="749EDC48" w14:textId="77777777" w:rsidR="00010D5D" w:rsidRDefault="00010D5D" w:rsidP="007B2D80"/>
        </w:tc>
      </w:tr>
    </w:tbl>
    <w:p w14:paraId="25FB8AEF" w14:textId="77777777" w:rsidR="00362337" w:rsidRDefault="00362337" w:rsidP="00362337">
      <w:pPr>
        <w:rPr>
          <w:sz w:val="20"/>
          <w:szCs w:val="20"/>
        </w:rPr>
      </w:pPr>
    </w:p>
    <w:p w14:paraId="7B26EFD9" w14:textId="52C18870" w:rsidR="0046189F" w:rsidRDefault="00397CB9" w:rsidP="0046189F">
      <w:r>
        <w:rPr>
          <w:sz w:val="20"/>
        </w:rPr>
        <w:t>*</w:t>
      </w:r>
      <w:r>
        <w:t xml:space="preserve"> Conformément à l’article 73 de l’A.R. du 18 avril 2017, si un opérateur économique souhaite recourir aux capacités d’autres entités (notamment des sous-traitants ou des filiales indépendantes) en ce qui concerne les critères relatifs à la capacité économique et financière et les critères relatifs aux capacités techniques et professionnelles (voir 3.5.3 Critères de sélection), il apporte au pouvoir adjudicateur la preuve qu’il disposera des moyens nécessaires, notamment en produisant l’engagement de ces entités à cet effet.</w:t>
      </w:r>
    </w:p>
    <w:p w14:paraId="7A3B06F7" w14:textId="77777777" w:rsidR="0046189F" w:rsidRDefault="0046189F" w:rsidP="0046189F">
      <w:r>
        <w:br/>
        <w:t>Lorsque le candidat ou le soumissionnaire fait appel à la capacité d’autres entités au sens du paragraphe 1</w:t>
      </w:r>
      <w:r>
        <w:rPr>
          <w:vertAlign w:val="superscript"/>
        </w:rPr>
        <w:t>er</w:t>
      </w:r>
      <w:r>
        <w:t>, le candidat ou le soumissionnaire, selon le cas, répond à la question reprise à la partie II, C, du DUME visé à l’article 38 de l’A.R. du 18 avril 2017. Il mentionne également pour quelle part du marché il fait appel à cette capacité et quelles autres entités il propose.</w:t>
      </w:r>
    </w:p>
    <w:p w14:paraId="27141538" w14:textId="1FCC4335" w:rsidR="0046189F" w:rsidRDefault="0046189F" w:rsidP="0046189F">
      <w:r>
        <w:br/>
        <w:t>L’offre comporte également un DUME séparé en ce qui concerne les entités au sens du paragraphe 1</w:t>
      </w:r>
      <w:r>
        <w:rPr>
          <w:vertAlign w:val="superscript"/>
        </w:rPr>
        <w:t>er</w:t>
      </w:r>
      <w:r>
        <w:t>.</w:t>
      </w:r>
    </w:p>
    <w:p w14:paraId="2E2478F6" w14:textId="74FBBF66" w:rsidR="00042A1B" w:rsidRDefault="00042A1B">
      <w:pPr>
        <w:spacing w:line="259" w:lineRule="auto"/>
        <w:rPr>
          <w:sz w:val="20"/>
          <w:szCs w:val="20"/>
        </w:rPr>
      </w:pPr>
      <w:r>
        <w:br w:type="page"/>
      </w:r>
    </w:p>
    <w:p w14:paraId="2B0E43AF" w14:textId="2B1AA05B" w:rsidR="00362337" w:rsidRPr="00AD683F" w:rsidRDefault="00362337" w:rsidP="00362337">
      <w:pPr>
        <w:rPr>
          <w:sz w:val="20"/>
          <w:szCs w:val="20"/>
          <w:lang w:val="fr-BE"/>
        </w:rPr>
      </w:pPr>
    </w:p>
    <w:p w14:paraId="6A8A9D2D" w14:textId="77777777" w:rsidR="007D68DE" w:rsidRPr="00E1454E" w:rsidRDefault="007D68DE" w:rsidP="007D68DE">
      <w:pPr>
        <w:pStyle w:val="Heading2"/>
        <w:rPr>
          <w:bCs/>
        </w:rPr>
      </w:pPr>
      <w:bookmarkStart w:id="336" w:name="_Toc72504156"/>
      <w:bookmarkStart w:id="337" w:name="_Toc52268503"/>
      <w:bookmarkStart w:id="338" w:name="_Toc77259280"/>
      <w:bookmarkStart w:id="339" w:name="_Toc160610314"/>
      <w:r>
        <w:t>Déclaration sur l’honneur – motifs d’exclusion</w:t>
      </w:r>
      <w:bookmarkEnd w:id="336"/>
      <w:bookmarkEnd w:id="337"/>
      <w:bookmarkEnd w:id="338"/>
      <w:bookmarkEnd w:id="339"/>
      <w:r>
        <w:t xml:space="preserve"> </w:t>
      </w:r>
    </w:p>
    <w:p w14:paraId="62BCB8A3" w14:textId="77777777" w:rsidR="007D68DE" w:rsidRDefault="007D68DE" w:rsidP="007D68DE">
      <w:pPr>
        <w:pStyle w:val="paragraph"/>
        <w:spacing w:before="0" w:beforeAutospacing="0" w:after="0" w:afterAutospacing="0"/>
        <w:jc w:val="both"/>
        <w:textAlignment w:val="baseline"/>
        <w:rPr>
          <w:rStyle w:val="normaltextrun"/>
          <w:rFonts w:ascii="Georgia" w:hAnsi="Georgia"/>
        </w:rPr>
      </w:pPr>
      <w:r>
        <w:rPr>
          <w:rStyle w:val="normaltextrun"/>
          <w:rFonts w:ascii="Georgia" w:hAnsi="Georgia"/>
          <w:sz w:val="20"/>
        </w:rPr>
        <w:t>Par la présente, je/nous, agissant en ma/notre qualité de représentant(s) légal/ légaux du soumissionnaire précité, déclare/</w:t>
      </w:r>
      <w:proofErr w:type="spellStart"/>
      <w:r>
        <w:rPr>
          <w:rStyle w:val="normaltextrun"/>
          <w:rFonts w:ascii="Georgia" w:hAnsi="Georgia"/>
          <w:sz w:val="20"/>
        </w:rPr>
        <w:t>rons</w:t>
      </w:r>
      <w:proofErr w:type="spellEnd"/>
      <w:r>
        <w:rPr>
          <w:rStyle w:val="normaltextrun"/>
          <w:rFonts w:ascii="Georgia" w:hAnsi="Georgia"/>
          <w:sz w:val="20"/>
        </w:rPr>
        <w:t xml:space="preserve"> que le soumissionnaire ne se trouve pas dans un des cas d’exclusion suivants </w:t>
      </w:r>
      <w:r>
        <w:rPr>
          <w:rStyle w:val="normaltextrun"/>
          <w:sz w:val="20"/>
        </w:rPr>
        <w:t>:</w:t>
      </w:r>
      <w:r>
        <w:rPr>
          <w:rStyle w:val="normaltextrun"/>
          <w:rFonts w:ascii="Georgia" w:hAnsi="Georgia"/>
        </w:rPr>
        <w:t> </w:t>
      </w:r>
    </w:p>
    <w:p w14:paraId="7D0437A0" w14:textId="77777777" w:rsidR="007D68DE" w:rsidRPr="005B7D75" w:rsidRDefault="007D68DE" w:rsidP="007D68DE">
      <w:pPr>
        <w:pStyle w:val="paragraph"/>
        <w:spacing w:before="0" w:beforeAutospacing="0" w:after="0" w:afterAutospacing="0"/>
        <w:jc w:val="both"/>
        <w:textAlignment w:val="baseline"/>
        <w:rPr>
          <w:rFonts w:cs="Segoe UI"/>
          <w:color w:val="585756"/>
          <w:sz w:val="20"/>
          <w:szCs w:val="20"/>
        </w:rPr>
      </w:pPr>
    </w:p>
    <w:p w14:paraId="25D70357" w14:textId="3D43A00F" w:rsidR="007D68DE" w:rsidRDefault="007D68DE">
      <w:pPr>
        <w:pStyle w:val="paragraph"/>
        <w:numPr>
          <w:ilvl w:val="0"/>
          <w:numId w:val="22"/>
        </w:numPr>
        <w:spacing w:before="0" w:beforeAutospacing="0" w:after="0" w:afterAutospacing="0"/>
        <w:jc w:val="both"/>
        <w:textAlignment w:val="baseline"/>
        <w:rPr>
          <w:rFonts w:ascii="Georgia" w:hAnsi="Georgia" w:cs="Segoe UI"/>
          <w:color w:val="585756"/>
          <w:sz w:val="20"/>
          <w:szCs w:val="20"/>
        </w:rPr>
      </w:pPr>
      <w:r>
        <w:rPr>
          <w:rStyle w:val="normaltextrun"/>
          <w:rFonts w:ascii="Georgia" w:hAnsi="Georgia"/>
          <w:sz w:val="20"/>
        </w:rPr>
        <w:t>Le soumissionnaire ni un de ses «</w:t>
      </w:r>
      <w:r w:rsidR="00AD683F">
        <w:rPr>
          <w:rStyle w:val="normaltextrun"/>
          <w:sz w:val="20"/>
        </w:rPr>
        <w:t> </w:t>
      </w:r>
      <w:r>
        <w:rPr>
          <w:rStyle w:val="normaltextrun"/>
          <w:rFonts w:ascii="Georgia" w:hAnsi="Georgia"/>
          <w:sz w:val="20"/>
        </w:rPr>
        <w:t>dirigeants</w:t>
      </w:r>
      <w:r w:rsidR="00AD683F">
        <w:rPr>
          <w:rStyle w:val="normaltextrun"/>
          <w:sz w:val="20"/>
        </w:rPr>
        <w:t> </w:t>
      </w:r>
      <w:r>
        <w:rPr>
          <w:rStyle w:val="normaltextrun"/>
          <w:rFonts w:ascii="Georgia" w:hAnsi="Georgia"/>
          <w:sz w:val="20"/>
        </w:rPr>
        <w:t xml:space="preserve">» a fait l’objet d’une condamnation prononcée par une </w:t>
      </w:r>
      <w:r>
        <w:rPr>
          <w:rStyle w:val="normaltextrun"/>
          <w:rFonts w:ascii="Georgia" w:hAnsi="Georgia"/>
          <w:sz w:val="20"/>
          <w:u w:val="single"/>
        </w:rPr>
        <w:t>décision judiciaire ayant force de chose jugée</w:t>
      </w:r>
      <w:r>
        <w:rPr>
          <w:rStyle w:val="normaltextrun"/>
          <w:rFonts w:ascii="Georgia" w:hAnsi="Georgia"/>
          <w:sz w:val="20"/>
        </w:rPr>
        <w:t xml:space="preserve"> pour l’une des infractions suivantes :</w:t>
      </w:r>
      <w:r>
        <w:rPr>
          <w:rStyle w:val="eop"/>
          <w:rFonts w:ascii="Georgia" w:hAnsi="Georgia"/>
          <w:sz w:val="20"/>
        </w:rPr>
        <w:t> </w:t>
      </w:r>
    </w:p>
    <w:p w14:paraId="44A7F127" w14:textId="77777777"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1° participation à une organisation criminelle ;</w:t>
      </w:r>
      <w:r>
        <w:rPr>
          <w:rStyle w:val="eop"/>
          <w:rFonts w:ascii="Georgia" w:hAnsi="Georgia"/>
          <w:sz w:val="20"/>
        </w:rPr>
        <w:t> </w:t>
      </w:r>
    </w:p>
    <w:p w14:paraId="79DB491E" w14:textId="77777777"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2°</w:t>
      </w:r>
      <w:r>
        <w:rPr>
          <w:rStyle w:val="contextualspellingandgrammarerror"/>
          <w:rFonts w:ascii="Georgia" w:hAnsi="Georgia"/>
          <w:color w:val="585756"/>
          <w:sz w:val="20"/>
        </w:rPr>
        <w:t xml:space="preserve"> corruption ;</w:t>
      </w:r>
      <w:r>
        <w:rPr>
          <w:rStyle w:val="eop"/>
          <w:rFonts w:ascii="Georgia" w:hAnsi="Georgia"/>
          <w:sz w:val="20"/>
        </w:rPr>
        <w:t> </w:t>
      </w:r>
    </w:p>
    <w:p w14:paraId="6C910FF0" w14:textId="77777777"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3° </w:t>
      </w:r>
      <w:r>
        <w:rPr>
          <w:rStyle w:val="contextualspellingandgrammarerror"/>
          <w:rFonts w:ascii="Georgia" w:hAnsi="Georgia"/>
          <w:color w:val="585756"/>
          <w:sz w:val="20"/>
        </w:rPr>
        <w:t>fraude ;</w:t>
      </w:r>
      <w:r>
        <w:rPr>
          <w:rStyle w:val="eop"/>
          <w:rFonts w:ascii="Georgia" w:hAnsi="Georgia"/>
          <w:sz w:val="20"/>
        </w:rPr>
        <w:t> </w:t>
      </w:r>
    </w:p>
    <w:p w14:paraId="141D56C3" w14:textId="77777777" w:rsidR="007D68DE" w:rsidRDefault="007D68DE" w:rsidP="007D68DE">
      <w:pPr>
        <w:pStyle w:val="paragraph"/>
        <w:spacing w:before="0" w:beforeAutospacing="0" w:after="0" w:afterAutospacing="0"/>
        <w:ind w:left="705"/>
        <w:jc w:val="both"/>
        <w:textAlignment w:val="baseline"/>
        <w:rPr>
          <w:rFonts w:ascii="Georgia" w:hAnsi="Georgia" w:cs="Segoe UI"/>
          <w:color w:val="585756"/>
          <w:sz w:val="20"/>
          <w:szCs w:val="20"/>
        </w:rPr>
      </w:pPr>
      <w:r>
        <w:rPr>
          <w:rFonts w:ascii="Georgia" w:hAnsi="Georgia"/>
          <w:sz w:val="20"/>
        </w:rPr>
        <w:t>4° infractions terroristes, infractions liées aux activités terroristes ou incitation à commettre une telle infraction, complicité ou tentative d’une telle infraction ;</w:t>
      </w:r>
      <w:r>
        <w:rPr>
          <w:rStyle w:val="eop"/>
          <w:rFonts w:ascii="Georgia" w:hAnsi="Georgia"/>
          <w:sz w:val="20"/>
        </w:rPr>
        <w:t> </w:t>
      </w:r>
    </w:p>
    <w:p w14:paraId="449631F5" w14:textId="77777777"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Fonts w:ascii="Georgia" w:hAnsi="Georgia"/>
          <w:sz w:val="20"/>
        </w:rPr>
        <w:t>5° blanchiment de capitaux ou financement du terrorisme ;</w:t>
      </w:r>
      <w:r>
        <w:rPr>
          <w:rStyle w:val="eop"/>
          <w:rFonts w:ascii="Georgia" w:hAnsi="Georgia"/>
          <w:sz w:val="20"/>
        </w:rPr>
        <w:t> </w:t>
      </w:r>
    </w:p>
    <w:p w14:paraId="510769E8" w14:textId="77777777"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6° travail des enfants et autres formes de traite des êtres humains ;</w:t>
      </w:r>
      <w:r>
        <w:rPr>
          <w:rStyle w:val="eop"/>
          <w:rFonts w:ascii="Georgia" w:hAnsi="Georgia"/>
          <w:sz w:val="20"/>
        </w:rPr>
        <w:t> </w:t>
      </w:r>
    </w:p>
    <w:p w14:paraId="2476C452" w14:textId="7D88BAEA" w:rsidR="007D68DE"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Pr>
          <w:rStyle w:val="normaltextrun"/>
          <w:rFonts w:ascii="Georgia" w:hAnsi="Georgia"/>
          <w:sz w:val="20"/>
        </w:rPr>
        <w:t>7° occupation de ressortissants de pays tiers en séjour illégal ;</w:t>
      </w:r>
    </w:p>
    <w:p w14:paraId="7B564BDC" w14:textId="77777777" w:rsidR="007D68DE" w:rsidRDefault="007D68DE" w:rsidP="007D68DE">
      <w:pPr>
        <w:pStyle w:val="paragraph"/>
        <w:spacing w:before="0" w:beforeAutospacing="0" w:after="0" w:afterAutospacing="0"/>
        <w:ind w:left="705"/>
        <w:jc w:val="both"/>
        <w:textAlignment w:val="baseline"/>
        <w:rPr>
          <w:rStyle w:val="normaltextrun"/>
        </w:rPr>
      </w:pPr>
      <w:r>
        <w:rPr>
          <w:rStyle w:val="normaltextrun"/>
          <w:rFonts w:ascii="Georgia" w:hAnsi="Georgia"/>
          <w:sz w:val="20"/>
        </w:rPr>
        <w:t>8° la création de sociétés offshore</w:t>
      </w:r>
    </w:p>
    <w:p w14:paraId="38A94177" w14:textId="3BA3C44E" w:rsidR="007D68DE" w:rsidRDefault="007D68DE" w:rsidP="007D68DE">
      <w:pPr>
        <w:pStyle w:val="paragraph"/>
        <w:spacing w:before="0" w:beforeAutospacing="0" w:after="0" w:afterAutospacing="0"/>
        <w:ind w:left="705"/>
        <w:jc w:val="both"/>
        <w:textAlignment w:val="baseline"/>
        <w:rPr>
          <w:color w:val="585756"/>
        </w:rPr>
      </w:pPr>
      <w:r>
        <w:rPr>
          <w:rStyle w:val="normaltextrun"/>
          <w:rFonts w:ascii="Georgia" w:hAnsi="Georgia"/>
          <w:sz w:val="20"/>
        </w:rPr>
        <w:t>L’exclusion sur base de ce critère vaut pour une durée de 5</w:t>
      </w:r>
      <w:r w:rsidR="00B5602D">
        <w:rPr>
          <w:rStyle w:val="normaltextrun"/>
          <w:rFonts w:ascii="Georgia" w:hAnsi="Georgia"/>
          <w:sz w:val="20"/>
        </w:rPr>
        <w:t> </w:t>
      </w:r>
      <w:r>
        <w:rPr>
          <w:rStyle w:val="normaltextrun"/>
          <w:rFonts w:ascii="Georgia" w:hAnsi="Georgia"/>
          <w:sz w:val="20"/>
        </w:rPr>
        <w:t>ans à compter de la date du jugement.</w:t>
      </w:r>
      <w:r>
        <w:rPr>
          <w:rStyle w:val="eop"/>
          <w:rFonts w:ascii="Georgia" w:hAnsi="Georgia"/>
          <w:sz w:val="20"/>
        </w:rPr>
        <w:t> </w:t>
      </w:r>
    </w:p>
    <w:p w14:paraId="50414686" w14:textId="77777777" w:rsidR="007D68DE" w:rsidRDefault="007D68DE" w:rsidP="007D68DE">
      <w:pPr>
        <w:pStyle w:val="paragraph"/>
        <w:spacing w:before="0" w:beforeAutospacing="0" w:after="0" w:afterAutospacing="0"/>
        <w:ind w:left="360"/>
        <w:jc w:val="both"/>
        <w:textAlignment w:val="baseline"/>
        <w:rPr>
          <w:rStyle w:val="normaltextrun"/>
        </w:rPr>
      </w:pPr>
    </w:p>
    <w:p w14:paraId="733B69C7" w14:textId="77777777" w:rsidR="007D68DE" w:rsidRDefault="007D68DE">
      <w:pPr>
        <w:pStyle w:val="paragraph"/>
        <w:numPr>
          <w:ilvl w:val="0"/>
          <w:numId w:val="23"/>
        </w:numPr>
        <w:spacing w:before="0" w:beforeAutospacing="0" w:after="0" w:afterAutospacing="0"/>
        <w:ind w:left="360" w:firstLine="0"/>
        <w:jc w:val="both"/>
        <w:textAlignment w:val="baseline"/>
      </w:pPr>
      <w:r>
        <w:rPr>
          <w:rFonts w:ascii="Georgia" w:hAnsi="Georgia"/>
          <w:sz w:val="20"/>
        </w:rPr>
        <w:t>Le soumissionnaire ne satisfait pas à ses obligations relatives au </w:t>
      </w:r>
      <w:r>
        <w:rPr>
          <w:rFonts w:ascii="Georgia" w:hAnsi="Georgia"/>
          <w:b/>
          <w:sz w:val="20"/>
          <w:u w:val="single"/>
        </w:rPr>
        <w:t>paiement d’impôts et taxes ou de cotisations de sécurité sociale</w:t>
      </w:r>
      <w:r>
        <w:rPr>
          <w:rFonts w:ascii="Georgia" w:hAnsi="Georgia"/>
          <w:sz w:val="20"/>
        </w:rPr>
        <w:t> pour un montant de plus de 3.000 €, sauf lorsque le soumissionnaire peut démontrer qu’il possède à l’égard d’un pouvoir adjudicateur une ou des créances certaines, exigibles et libres de tout engagement à l’égard de tiers.</w:t>
      </w:r>
      <w:r>
        <w:rPr>
          <w:rStyle w:val="normaltextrun"/>
          <w:rFonts w:ascii="Georgia" w:hAnsi="Georgia"/>
          <w:sz w:val="20"/>
        </w:rPr>
        <w:t xml:space="preserve"> </w:t>
      </w:r>
      <w:r>
        <w:rPr>
          <w:sz w:val="20"/>
        </w:rPr>
        <w:t>Ces créances s’élèvent au moins à un montant égal à celui pour lequel il est en retard de paiement de dettes fiscales ou sociales.</w:t>
      </w:r>
      <w:r>
        <w:rPr>
          <w:rStyle w:val="eop"/>
          <w:rFonts w:ascii="Georgia" w:hAnsi="Georgia"/>
          <w:sz w:val="20"/>
        </w:rPr>
        <w:t> </w:t>
      </w:r>
    </w:p>
    <w:p w14:paraId="4955F519" w14:textId="77777777" w:rsidR="007D68DE" w:rsidRDefault="007D68DE" w:rsidP="007D68DE">
      <w:pPr>
        <w:pStyle w:val="paragraph"/>
        <w:spacing w:before="0" w:beforeAutospacing="0" w:after="0" w:afterAutospacing="0"/>
        <w:ind w:left="720"/>
        <w:jc w:val="both"/>
        <w:textAlignment w:val="baseline"/>
        <w:rPr>
          <w:rFonts w:ascii="Georgia" w:hAnsi="Georgia" w:cs="Segoe UI"/>
          <w:color w:val="585756"/>
          <w:sz w:val="20"/>
          <w:szCs w:val="20"/>
        </w:rPr>
      </w:pPr>
      <w:r>
        <w:rPr>
          <w:rStyle w:val="eop"/>
          <w:rFonts w:ascii="Georgia" w:hAnsi="Georgia"/>
          <w:sz w:val="20"/>
        </w:rPr>
        <w:t> </w:t>
      </w:r>
    </w:p>
    <w:p w14:paraId="01A89907" w14:textId="77777777" w:rsidR="007D68DE" w:rsidRDefault="007D68DE">
      <w:pPr>
        <w:pStyle w:val="paragraph"/>
        <w:numPr>
          <w:ilvl w:val="0"/>
          <w:numId w:val="24"/>
        </w:numPr>
        <w:spacing w:before="0" w:beforeAutospacing="0" w:after="0" w:afterAutospacing="0"/>
        <w:ind w:left="360" w:firstLine="0"/>
        <w:jc w:val="both"/>
        <w:textAlignment w:val="baseline"/>
        <w:rPr>
          <w:rFonts w:ascii="Georgia" w:hAnsi="Georgia" w:cs="Segoe UI"/>
          <w:color w:val="000000"/>
          <w:sz w:val="20"/>
          <w:szCs w:val="20"/>
        </w:rPr>
      </w:pPr>
      <w:r>
        <w:rPr>
          <w:rFonts w:ascii="Georgia" w:hAnsi="Georgia"/>
          <w:color w:val="000000"/>
          <w:sz w:val="20"/>
        </w:rPr>
        <w:t>Le soumissionnaire est en </w:t>
      </w:r>
      <w:r>
        <w:rPr>
          <w:rFonts w:ascii="Georgia" w:hAnsi="Georgia"/>
          <w:b/>
          <w:color w:val="000000"/>
          <w:sz w:val="20"/>
          <w:u w:val="single"/>
        </w:rPr>
        <w:t>état de faillite, de liquidation, de cessation d’activités, de réorganisation judiciaire,</w:t>
      </w:r>
      <w:r>
        <w:rPr>
          <w:rFonts w:ascii="Georgia" w:hAnsi="Georgia"/>
          <w:color w:val="000000"/>
          <w:sz w:val="20"/>
        </w:rPr>
        <w:t> ou a fait l’aveu de sa faillite, ou fait l’objet d’une procédure de liquidation ou de réorganisation judiciaire, ou est dans toute situation analogue résultant d’une procédure de même nature existant dans d’autres réglementations nationales.</w:t>
      </w:r>
      <w:r>
        <w:rPr>
          <w:rStyle w:val="eop"/>
          <w:rFonts w:ascii="Georgia" w:hAnsi="Georgia"/>
          <w:color w:val="000000"/>
          <w:sz w:val="20"/>
        </w:rPr>
        <w:t> </w:t>
      </w:r>
    </w:p>
    <w:p w14:paraId="3C0345F5" w14:textId="77777777" w:rsidR="007D68DE" w:rsidRDefault="007D68DE" w:rsidP="007D68DE">
      <w:pPr>
        <w:pStyle w:val="paragraph"/>
        <w:spacing w:before="0" w:beforeAutospacing="0" w:after="0" w:afterAutospacing="0"/>
        <w:ind w:left="720"/>
        <w:textAlignment w:val="baseline"/>
        <w:rPr>
          <w:rFonts w:ascii="Georgia" w:hAnsi="Georgia" w:cs="Segoe UI"/>
          <w:color w:val="585756"/>
          <w:sz w:val="20"/>
          <w:szCs w:val="20"/>
        </w:rPr>
      </w:pPr>
      <w:r>
        <w:rPr>
          <w:rStyle w:val="eop"/>
          <w:rFonts w:ascii="Georgia" w:hAnsi="Georgia"/>
          <w:sz w:val="20"/>
        </w:rPr>
        <w:t> </w:t>
      </w:r>
    </w:p>
    <w:p w14:paraId="649FAC7B" w14:textId="77777777" w:rsidR="007D68DE" w:rsidRDefault="007D68DE">
      <w:pPr>
        <w:pStyle w:val="paragraph"/>
        <w:numPr>
          <w:ilvl w:val="0"/>
          <w:numId w:val="25"/>
        </w:numPr>
        <w:spacing w:before="0" w:beforeAutospacing="0" w:after="0" w:afterAutospacing="0"/>
        <w:ind w:left="360" w:firstLine="0"/>
        <w:textAlignment w:val="baseline"/>
        <w:rPr>
          <w:rStyle w:val="eop"/>
        </w:rPr>
      </w:pPr>
      <w:r>
        <w:rPr>
          <w:rStyle w:val="contextualspellingandgrammarerror"/>
          <w:rFonts w:ascii="Georgia" w:hAnsi="Georgia"/>
          <w:sz w:val="20"/>
        </w:rPr>
        <w:t>Le soumissionnaire</w:t>
      </w:r>
      <w:r>
        <w:rPr>
          <w:rStyle w:val="normaltextrun"/>
          <w:rFonts w:ascii="Georgia" w:hAnsi="Georgia"/>
          <w:sz w:val="20"/>
          <w:u w:val="single"/>
        </w:rPr>
        <w:t> ou un de ses dirigeants</w:t>
      </w:r>
      <w:r>
        <w:rPr>
          <w:rStyle w:val="normaltextrun"/>
          <w:rFonts w:ascii="Georgia" w:hAnsi="Georgia"/>
          <w:sz w:val="20"/>
        </w:rPr>
        <w:t> a commis une </w:t>
      </w:r>
      <w:r>
        <w:rPr>
          <w:rStyle w:val="normaltextrun"/>
          <w:rFonts w:ascii="Georgia" w:hAnsi="Georgia"/>
          <w:b/>
          <w:sz w:val="20"/>
          <w:u w:val="single"/>
        </w:rPr>
        <w:t>faute professionnelle grave qui remet en cause son intégrité.</w:t>
      </w:r>
      <w:r>
        <w:rPr>
          <w:rStyle w:val="scxw174104514"/>
          <w:rFonts w:ascii="Georgia" w:hAnsi="Georgia"/>
          <w:sz w:val="20"/>
        </w:rPr>
        <w:t> </w:t>
      </w:r>
      <w:r>
        <w:rPr>
          <w:rFonts w:ascii="Georgia" w:hAnsi="Georgia"/>
          <w:sz w:val="20"/>
        </w:rPr>
        <w:br/>
      </w:r>
      <w:r>
        <w:rPr>
          <w:rStyle w:val="scxw174104514"/>
          <w:rFonts w:ascii="Georgia" w:hAnsi="Georgia"/>
          <w:sz w:val="20"/>
        </w:rPr>
        <w:t> </w:t>
      </w:r>
      <w:r>
        <w:rPr>
          <w:rFonts w:ascii="Georgia" w:hAnsi="Georgia"/>
          <w:sz w:val="20"/>
        </w:rPr>
        <w:br/>
      </w:r>
      <w:r>
        <w:rPr>
          <w:rStyle w:val="normaltextrun"/>
          <w:rFonts w:ascii="Georgia" w:hAnsi="Georgia"/>
          <w:sz w:val="20"/>
        </w:rPr>
        <w:t>Sont </w:t>
      </w:r>
      <w:r>
        <w:rPr>
          <w:rStyle w:val="contextualspellingandgrammarerror"/>
          <w:rFonts w:ascii="Georgia" w:hAnsi="Georgia"/>
          <w:sz w:val="20"/>
        </w:rPr>
        <w:t>entre</w:t>
      </w:r>
      <w:r>
        <w:rPr>
          <w:rStyle w:val="normaltextrun"/>
          <w:rFonts w:ascii="Georgia" w:hAnsi="Georgia"/>
          <w:sz w:val="20"/>
        </w:rPr>
        <w:t> autres considérées comme faute professionnelle grave</w:t>
      </w:r>
      <w:r>
        <w:rPr>
          <w:rFonts w:ascii="Georgia" w:hAnsi="Georgia"/>
          <w:sz w:val="20"/>
        </w:rPr>
        <w:t> :</w:t>
      </w:r>
      <w:r>
        <w:rPr>
          <w:rStyle w:val="normaltextrun"/>
          <w:rFonts w:ascii="Georgia" w:hAnsi="Georgia"/>
          <w:sz w:val="20"/>
        </w:rPr>
        <w:t> </w:t>
      </w:r>
      <w:r>
        <w:rPr>
          <w:rStyle w:val="eop"/>
          <w:rFonts w:ascii="Georgia" w:hAnsi="Georgia"/>
          <w:sz w:val="20"/>
        </w:rPr>
        <w:t> </w:t>
      </w:r>
    </w:p>
    <w:p w14:paraId="5CA8E63D" w14:textId="77777777" w:rsidR="007D68DE" w:rsidRDefault="007D68DE" w:rsidP="007D68DE">
      <w:pPr>
        <w:pStyle w:val="paragraph"/>
        <w:spacing w:before="0" w:beforeAutospacing="0" w:after="0" w:afterAutospacing="0"/>
        <w:ind w:left="360"/>
        <w:textAlignment w:val="baseline"/>
      </w:pPr>
    </w:p>
    <w:p w14:paraId="5695A027" w14:textId="77777777" w:rsidR="007D68DE" w:rsidRDefault="007D68DE">
      <w:pPr>
        <w:pStyle w:val="paragraph"/>
        <w:numPr>
          <w:ilvl w:val="0"/>
          <w:numId w:val="26"/>
        </w:numPr>
        <w:spacing w:before="0" w:beforeAutospacing="0" w:after="0" w:afterAutospacing="0"/>
        <w:ind w:left="1068"/>
        <w:jc w:val="both"/>
        <w:textAlignment w:val="baseline"/>
        <w:rPr>
          <w:rStyle w:val="contextualspellingandgrammarerror"/>
        </w:rPr>
      </w:pPr>
      <w:r>
        <w:rPr>
          <w:rStyle w:val="contextualspellingandgrammarerror"/>
        </w:rPr>
        <w:t>une infraction à la Politique d’</w:t>
      </w:r>
      <w:proofErr w:type="spellStart"/>
      <w:r>
        <w:rPr>
          <w:rStyle w:val="contextualspellingandgrammarerror"/>
        </w:rPr>
        <w:t>Enabel</w:t>
      </w:r>
      <w:proofErr w:type="spellEnd"/>
      <w:r>
        <w:rPr>
          <w:rStyle w:val="contextualspellingandgrammarerror"/>
        </w:rPr>
        <w:t xml:space="preserve"> concernant l’exploitation et les abus sexuels – juin 2019 ;</w:t>
      </w:r>
    </w:p>
    <w:p w14:paraId="452DEAE2" w14:textId="77777777" w:rsidR="007D68DE" w:rsidRDefault="007D68DE">
      <w:pPr>
        <w:pStyle w:val="paragraph"/>
        <w:numPr>
          <w:ilvl w:val="0"/>
          <w:numId w:val="26"/>
        </w:numPr>
        <w:spacing w:before="0" w:beforeAutospacing="0" w:after="0" w:afterAutospacing="0"/>
        <w:ind w:left="1068"/>
        <w:jc w:val="both"/>
        <w:textAlignment w:val="baseline"/>
        <w:rPr>
          <w:rStyle w:val="contextualspellingandgrammarerror"/>
          <w:rFonts w:ascii="Georgia" w:hAnsi="Georgia" w:cs="Segoe UI"/>
          <w:sz w:val="20"/>
          <w:szCs w:val="20"/>
        </w:rPr>
      </w:pPr>
      <w:r>
        <w:rPr>
          <w:rStyle w:val="contextualspellingandgrammarerror"/>
          <w:rFonts w:ascii="Georgia" w:hAnsi="Georgia"/>
          <w:sz w:val="20"/>
        </w:rPr>
        <w:t> une infraction à la Politique d’</w:t>
      </w:r>
      <w:proofErr w:type="spellStart"/>
      <w:r>
        <w:rPr>
          <w:rStyle w:val="contextualspellingandgrammarerror"/>
          <w:rFonts w:ascii="Georgia" w:hAnsi="Georgia"/>
          <w:sz w:val="20"/>
        </w:rPr>
        <w:t>Enabel</w:t>
      </w:r>
      <w:proofErr w:type="spellEnd"/>
      <w:r>
        <w:rPr>
          <w:rStyle w:val="contextualspellingandgrammarerror"/>
          <w:rFonts w:ascii="Georgia" w:hAnsi="Georgia"/>
          <w:sz w:val="20"/>
        </w:rPr>
        <w:t xml:space="preserve"> concernant la maîtrise des risques de fraude et de corruption – juin 2019 ;  </w:t>
      </w:r>
    </w:p>
    <w:p w14:paraId="0D98BD77" w14:textId="77777777" w:rsidR="007D68DE" w:rsidRDefault="007D68DE">
      <w:pPr>
        <w:pStyle w:val="paragraph"/>
        <w:numPr>
          <w:ilvl w:val="0"/>
          <w:numId w:val="26"/>
        </w:numPr>
        <w:spacing w:before="0" w:beforeAutospacing="0" w:after="0" w:afterAutospacing="0"/>
        <w:ind w:left="1068"/>
        <w:jc w:val="both"/>
        <w:textAlignment w:val="baseline"/>
        <w:rPr>
          <w:rStyle w:val="contextualspellingandgrammarerror"/>
        </w:rPr>
      </w:pPr>
      <w:r>
        <w:rPr>
          <w:rStyle w:val="contextualspellingandgrammarerror"/>
        </w:rPr>
        <w:t>une infraction à une disposition d’ordre réglementaire de la législation locale applicable relative au harcèlement sexuel au travail ; </w:t>
      </w:r>
    </w:p>
    <w:p w14:paraId="37A93E25" w14:textId="77777777" w:rsidR="007D68DE" w:rsidRDefault="007D68DE">
      <w:pPr>
        <w:pStyle w:val="paragraph"/>
        <w:numPr>
          <w:ilvl w:val="0"/>
          <w:numId w:val="26"/>
        </w:numPr>
        <w:spacing w:before="0" w:beforeAutospacing="0" w:after="0" w:afterAutospacing="0"/>
        <w:ind w:left="1068"/>
        <w:jc w:val="both"/>
        <w:textAlignment w:val="baseline"/>
        <w:rPr>
          <w:rStyle w:val="contextualspellingandgrammarerror"/>
        </w:rPr>
      </w:pPr>
      <w:r>
        <w:rPr>
          <w:rStyle w:val="contextualspellingandgrammarerror"/>
        </w:rPr>
        <w:t>le soumissionnaire s’est rendu gravement coupable de fausse déclaration ou faux documents en fournissant les renseignements exigés pour la vérification de l’absence de motifs d’exclusion ou la satisfaction des critères de sélection, ou a caché des informations ; </w:t>
      </w:r>
    </w:p>
    <w:p w14:paraId="72C1E8F4" w14:textId="77777777" w:rsidR="007D68DE" w:rsidRDefault="007D68DE">
      <w:pPr>
        <w:pStyle w:val="paragraph"/>
        <w:numPr>
          <w:ilvl w:val="0"/>
          <w:numId w:val="26"/>
        </w:numPr>
        <w:spacing w:before="0" w:beforeAutospacing="0" w:after="0" w:afterAutospacing="0"/>
        <w:ind w:left="1068"/>
        <w:jc w:val="both"/>
        <w:textAlignment w:val="baseline"/>
        <w:rPr>
          <w:rStyle w:val="contextualspellingandgrammarerror"/>
        </w:rPr>
      </w:pPr>
      <w:r>
        <w:rPr>
          <w:rStyle w:val="contextualspellingandgrammarerror"/>
        </w:rPr>
        <w:t>lorsqu’</w:t>
      </w:r>
      <w:proofErr w:type="spellStart"/>
      <w:r>
        <w:rPr>
          <w:rStyle w:val="contextualspellingandgrammarerror"/>
        </w:rPr>
        <w:t>Enabel</w:t>
      </w:r>
      <w:proofErr w:type="spellEnd"/>
      <w:r>
        <w:rPr>
          <w:rStyle w:val="contextualspellingandgrammarerror"/>
        </w:rPr>
        <w:t xml:space="preserve"> dispose d’éléments suffisamment plausibles pour conclure que le soumissionnaire a commis des actes, conclu des conventions ou procédé à des ententes en vue de fausser la concurrence. </w:t>
      </w:r>
    </w:p>
    <w:p w14:paraId="1412DED7" w14:textId="2FB3772C" w:rsidR="007D68DE" w:rsidRDefault="007D68DE" w:rsidP="007D68DE">
      <w:pPr>
        <w:pStyle w:val="paragraph"/>
        <w:spacing w:before="0" w:beforeAutospacing="0" w:after="0" w:afterAutospacing="0"/>
        <w:ind w:left="1056"/>
        <w:jc w:val="both"/>
        <w:textAlignment w:val="baseline"/>
        <w:rPr>
          <w:rFonts w:ascii="Georgia" w:hAnsi="Georgia" w:cs="Segoe UI"/>
          <w:sz w:val="20"/>
          <w:szCs w:val="20"/>
        </w:rPr>
      </w:pPr>
      <w:r>
        <w:rPr>
          <w:sz w:val="20"/>
        </w:rPr>
        <w:t xml:space="preserve">La présence du soumissionnaire sur une des listes d’exclusion </w:t>
      </w:r>
      <w:proofErr w:type="spellStart"/>
      <w:r>
        <w:rPr>
          <w:sz w:val="20"/>
        </w:rPr>
        <w:t>Enabel</w:t>
      </w:r>
      <w:proofErr w:type="spellEnd"/>
      <w:r>
        <w:rPr>
          <w:sz w:val="20"/>
        </w:rPr>
        <w:t xml:space="preserve"> en raison d’un tel acte/convention/entente est considérée comme élément suffisamment plausible.</w:t>
      </w:r>
      <w:r>
        <w:rPr>
          <w:rStyle w:val="eop"/>
          <w:rFonts w:ascii="Georgia" w:hAnsi="Georgia"/>
          <w:sz w:val="20"/>
        </w:rPr>
        <w:t> </w:t>
      </w:r>
    </w:p>
    <w:p w14:paraId="32FB9DDF" w14:textId="77777777" w:rsidR="007D68DE" w:rsidRDefault="007D68DE" w:rsidP="007D68DE">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t> </w:t>
      </w:r>
    </w:p>
    <w:p w14:paraId="79E43D97" w14:textId="77777777" w:rsidR="007D68DE" w:rsidRDefault="007D68DE">
      <w:pPr>
        <w:pStyle w:val="paragraph"/>
        <w:numPr>
          <w:ilvl w:val="0"/>
          <w:numId w:val="27"/>
        </w:numPr>
        <w:spacing w:before="0" w:beforeAutospacing="0" w:after="0" w:afterAutospacing="0"/>
        <w:ind w:left="360" w:firstLine="0"/>
        <w:jc w:val="both"/>
        <w:textAlignment w:val="baseline"/>
        <w:rPr>
          <w:rStyle w:val="normaltextrun"/>
        </w:rPr>
      </w:pPr>
      <w:r>
        <w:rPr>
          <w:rFonts w:ascii="Georgia" w:hAnsi="Georgia"/>
          <w:sz w:val="20"/>
        </w:rPr>
        <w:t>Lorsqu’il ne peut être remédié à un conflit d’intérêts par d’autres mesures moins intrusives.</w:t>
      </w:r>
      <w:r>
        <w:rPr>
          <w:rStyle w:val="normaltextrun"/>
          <w:rFonts w:ascii="Georgia" w:hAnsi="Georgia"/>
          <w:sz w:val="20"/>
        </w:rPr>
        <w:t xml:space="preserve"> </w:t>
      </w:r>
    </w:p>
    <w:p w14:paraId="441BB1EE" w14:textId="77777777" w:rsidR="007D68DE" w:rsidRDefault="007D68DE" w:rsidP="007D68DE">
      <w:pPr>
        <w:pStyle w:val="paragraph"/>
        <w:spacing w:before="0" w:beforeAutospacing="0" w:after="0" w:afterAutospacing="0"/>
        <w:ind w:left="360" w:firstLine="348"/>
        <w:jc w:val="both"/>
        <w:textAlignment w:val="baseline"/>
      </w:pPr>
      <w:r>
        <w:rPr>
          <w:rStyle w:val="normaltextrun"/>
          <w:rFonts w:ascii="Georgia" w:hAnsi="Georgia"/>
          <w:sz w:val="20"/>
        </w:rPr>
        <w:lastRenderedPageBreak/>
        <w:t xml:space="preserve"> </w:t>
      </w:r>
      <w:r>
        <w:rPr>
          <w:rStyle w:val="eop"/>
          <w:rFonts w:ascii="Georgia" w:hAnsi="Georgia"/>
          <w:sz w:val="20"/>
        </w:rPr>
        <w:t> </w:t>
      </w:r>
    </w:p>
    <w:p w14:paraId="7585DCD6" w14:textId="77777777" w:rsidR="007D68DE" w:rsidRDefault="007D68DE" w:rsidP="007D68DE">
      <w:pPr>
        <w:pStyle w:val="paragraph"/>
        <w:spacing w:before="0" w:beforeAutospacing="0" w:after="0" w:afterAutospacing="0"/>
        <w:ind w:left="720"/>
        <w:textAlignment w:val="baseline"/>
        <w:rPr>
          <w:rFonts w:ascii="Georgia" w:hAnsi="Georgia" w:cs="Segoe UI"/>
          <w:sz w:val="20"/>
          <w:szCs w:val="20"/>
        </w:rPr>
      </w:pPr>
      <w:r>
        <w:rPr>
          <w:rStyle w:val="eop"/>
          <w:rFonts w:ascii="Georgia" w:hAnsi="Georgia"/>
          <w:sz w:val="20"/>
        </w:rPr>
        <w:t> </w:t>
      </w:r>
    </w:p>
    <w:p w14:paraId="2B75F4BB" w14:textId="01557702" w:rsidR="007D68DE" w:rsidRDefault="007D68DE">
      <w:pPr>
        <w:pStyle w:val="paragraph"/>
        <w:numPr>
          <w:ilvl w:val="0"/>
          <w:numId w:val="28"/>
        </w:numPr>
        <w:spacing w:before="0" w:beforeAutospacing="0" w:after="0" w:afterAutospacing="0"/>
        <w:jc w:val="both"/>
        <w:textAlignment w:val="baseline"/>
        <w:rPr>
          <w:rStyle w:val="eop"/>
        </w:rPr>
      </w:pPr>
      <w:r>
        <w:rPr>
          <w:rFonts w:ascii="Georgia" w:hAnsi="Georgia"/>
          <w:sz w:val="20"/>
        </w:rPr>
        <w:t xml:space="preserve">Des défaillances importantes ou persistantes du </w:t>
      </w:r>
      <w:r>
        <w:rPr>
          <w:rStyle w:val="normaltextrun"/>
          <w:rFonts w:ascii="Georgia" w:hAnsi="Georgia"/>
          <w:sz w:val="20"/>
        </w:rPr>
        <w:t xml:space="preserve">soumissionnaire ont été constatées lors de l’exécution d’une obligation essentielle qui lui incombait dans le cadre </w:t>
      </w:r>
      <w:r>
        <w:rPr>
          <w:rFonts w:ascii="Georgia" w:hAnsi="Georgia"/>
          <w:sz w:val="20"/>
        </w:rPr>
        <w:t xml:space="preserve">d’un </w:t>
      </w:r>
      <w:r>
        <w:rPr>
          <w:rStyle w:val="normaltextrun"/>
          <w:rFonts w:ascii="Georgia" w:hAnsi="Georgia"/>
          <w:sz w:val="20"/>
        </w:rPr>
        <w:t>contrat antérieur passé avec un autre pouvoir public, lorsque ces défaillances ont donné lieu à des mesures d’office, des dommages et intérêts ou à une autre sanction comparable.</w:t>
      </w:r>
      <w:r>
        <w:rPr>
          <w:rStyle w:val="scxw174104514"/>
          <w:rFonts w:ascii="Georgia" w:hAnsi="Georgia"/>
          <w:sz w:val="20"/>
        </w:rPr>
        <w:t> </w:t>
      </w:r>
      <w:r>
        <w:rPr>
          <w:rFonts w:ascii="Georgia" w:hAnsi="Georgia"/>
          <w:sz w:val="20"/>
        </w:rPr>
        <w:br/>
      </w:r>
      <w:r>
        <w:rPr>
          <w:rStyle w:val="scxw174104514"/>
          <w:rFonts w:ascii="Georgia" w:hAnsi="Georgia"/>
          <w:sz w:val="20"/>
        </w:rPr>
        <w:t> </w:t>
      </w:r>
      <w:r>
        <w:rPr>
          <w:rStyle w:val="normaltextrun"/>
          <w:rFonts w:ascii="Georgia" w:hAnsi="Georgia"/>
          <w:sz w:val="20"/>
        </w:rPr>
        <w:t>Sont considérées comme «</w:t>
      </w:r>
      <w:r w:rsidR="00AD683F">
        <w:rPr>
          <w:rStyle w:val="normaltextrun"/>
          <w:sz w:val="20"/>
        </w:rPr>
        <w:t> </w:t>
      </w:r>
      <w:r>
        <w:rPr>
          <w:rStyle w:val="normaltextrun"/>
          <w:rFonts w:ascii="Georgia" w:hAnsi="Georgia"/>
          <w:sz w:val="20"/>
        </w:rPr>
        <w:t>défaillances importantes</w:t>
      </w:r>
      <w:r w:rsidR="00AD683F">
        <w:rPr>
          <w:rStyle w:val="normaltextrun"/>
          <w:sz w:val="20"/>
        </w:rPr>
        <w:t> </w:t>
      </w:r>
      <w:r>
        <w:rPr>
          <w:rStyle w:val="normaltextrun"/>
          <w:rFonts w:ascii="Georgia" w:hAnsi="Georgia"/>
          <w:sz w:val="20"/>
        </w:rPr>
        <w:t>» le respect des obligations applicables dans les domaines du droit environnemental, social et </w:t>
      </w:r>
      <w:r>
        <w:rPr>
          <w:rStyle w:val="contextualspellingandgrammarerror"/>
          <w:rFonts w:ascii="Georgia" w:hAnsi="Georgia"/>
          <w:sz w:val="20"/>
        </w:rPr>
        <w:t>du travail établies</w:t>
      </w:r>
      <w:r>
        <w:rPr>
          <w:rStyle w:val="normaltextrun"/>
          <w:rFonts w:ascii="Georgia" w:hAnsi="Georgia"/>
          <w:sz w:val="20"/>
        </w:rPr>
        <w:t> par le droit de l’Union européenne, le droit national, les conventions collectives ou par les dispositions internationales en matière de droit environnemental, social et du travail.</w:t>
      </w:r>
      <w:r>
        <w:rPr>
          <w:rStyle w:val="eop"/>
          <w:rFonts w:ascii="Georgia" w:hAnsi="Georgia"/>
          <w:sz w:val="20"/>
        </w:rPr>
        <w:t> </w:t>
      </w:r>
      <w:r>
        <w:rPr>
          <w:rStyle w:val="eop"/>
          <w:rFonts w:ascii="Georgia" w:hAnsi="Georgia"/>
          <w:sz w:val="20"/>
        </w:rPr>
        <w:br/>
      </w:r>
      <w:r>
        <w:rPr>
          <w:sz w:val="20"/>
        </w:rPr>
        <w:t>La présence du soumissionnaire sur la liste d’exclusion </w:t>
      </w:r>
      <w:proofErr w:type="spellStart"/>
      <w:r>
        <w:rPr>
          <w:sz w:val="20"/>
        </w:rPr>
        <w:t>Enabel</w:t>
      </w:r>
      <w:proofErr w:type="spellEnd"/>
      <w:r>
        <w:rPr>
          <w:sz w:val="20"/>
        </w:rPr>
        <w:t> en raison d’une telle défaillance sert d’un tel constat.</w:t>
      </w:r>
      <w:r>
        <w:rPr>
          <w:rStyle w:val="eop"/>
          <w:rFonts w:ascii="Georgia" w:hAnsi="Georgia"/>
          <w:sz w:val="20"/>
        </w:rPr>
        <w:t> </w:t>
      </w:r>
    </w:p>
    <w:p w14:paraId="673A6E7E" w14:textId="77777777" w:rsidR="007D68DE" w:rsidRDefault="007D68DE" w:rsidP="007D68DE">
      <w:pPr>
        <w:pStyle w:val="paragraph"/>
        <w:spacing w:before="0" w:beforeAutospacing="0" w:after="0" w:afterAutospacing="0"/>
        <w:ind w:left="705"/>
        <w:jc w:val="both"/>
        <w:textAlignment w:val="baseline"/>
      </w:pPr>
    </w:p>
    <w:p w14:paraId="47ADB954" w14:textId="77777777" w:rsidR="007D68DE" w:rsidRDefault="007D68DE">
      <w:pPr>
        <w:pStyle w:val="paragraph"/>
        <w:numPr>
          <w:ilvl w:val="0"/>
          <w:numId w:val="28"/>
        </w:numPr>
        <w:spacing w:before="0" w:beforeAutospacing="0" w:after="0" w:afterAutospacing="0"/>
        <w:ind w:left="360" w:firstLine="0"/>
        <w:jc w:val="both"/>
        <w:textAlignment w:val="baseline"/>
        <w:rPr>
          <w:rStyle w:val="eop"/>
        </w:rPr>
      </w:pPr>
      <w:r>
        <w:rPr>
          <w:rFonts w:ascii="Georgia" w:hAnsi="Georgia"/>
          <w:sz w:val="20"/>
        </w:rPr>
        <w:t>Des mesures restrictives ont été prises vis-à-vis du contractant dans l’objectif de mettre fin aux violations de la paix et sécurité internationales comme le terrorisme, les violations des droits humains, la déstabilisation des États souverains et la prolifération d’armes de destruction massive.</w:t>
      </w:r>
      <w:r>
        <w:rPr>
          <w:rStyle w:val="eop"/>
          <w:rFonts w:ascii="Georgia" w:hAnsi="Georgia"/>
          <w:sz w:val="20"/>
        </w:rPr>
        <w:t> </w:t>
      </w:r>
    </w:p>
    <w:p w14:paraId="6EABB862" w14:textId="77777777" w:rsidR="007D68DE" w:rsidRPr="005B7D75"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4CCD84E2" w14:textId="77777777" w:rsidR="007D68DE" w:rsidRDefault="007D68DE">
      <w:pPr>
        <w:pStyle w:val="paragraph"/>
        <w:numPr>
          <w:ilvl w:val="0"/>
          <w:numId w:val="28"/>
        </w:numPr>
        <w:spacing w:before="0" w:beforeAutospacing="0" w:after="0" w:afterAutospacing="0"/>
        <w:ind w:left="360" w:firstLine="0"/>
        <w:jc w:val="both"/>
        <w:textAlignment w:val="baseline"/>
        <w:rPr>
          <w:rStyle w:val="eop"/>
          <w:rFonts w:ascii="Georgia" w:hAnsi="Georgia" w:cs="Segoe UI"/>
          <w:sz w:val="20"/>
          <w:szCs w:val="20"/>
        </w:rPr>
      </w:pPr>
      <w:r>
        <w:rPr>
          <w:rStyle w:val="eop"/>
          <w:sz w:val="20"/>
        </w:rPr>
        <w:t>Le soumissionnaire ni un de ses dirigeants se trouvent sur les listes de personnes, de groupes ou d’entités soumises par les Nations Unies, l’Union européenne et la Belgique à des sanctions financières :</w:t>
      </w:r>
    </w:p>
    <w:p w14:paraId="036FA08E" w14:textId="77777777" w:rsidR="007D68DE" w:rsidRPr="005B7D75"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6C6F21E1" w14:textId="62092CD8" w:rsidR="007D68DE"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r>
        <w:rPr>
          <w:rStyle w:val="eop"/>
          <w:rFonts w:ascii="Georgia" w:hAnsi="Georgia"/>
          <w:sz w:val="20"/>
        </w:rPr>
        <w:t xml:space="preserve">Pour les Nations Unies, les listes peuvent être consultées à l’adresse suivante : </w:t>
      </w:r>
      <w:hyperlink r:id="rId30" w:history="1">
        <w:r>
          <w:rPr>
            <w:rStyle w:val="Hyperlink"/>
            <w:rFonts w:ascii="Georgia" w:hAnsi="Georgia"/>
            <w:sz w:val="20"/>
          </w:rPr>
          <w:t>https://finances.belgium.be/fr/tresorerie/sanctions-financieres/sanctions-internationales-nations-unies</w:t>
        </w:r>
      </w:hyperlink>
      <w:r>
        <w:rPr>
          <w:rStyle w:val="eop"/>
          <w:rFonts w:ascii="Georgia" w:hAnsi="Georgia"/>
          <w:sz w:val="20"/>
        </w:rPr>
        <w:t xml:space="preserve">  </w:t>
      </w:r>
      <w:r>
        <w:rPr>
          <w:rStyle w:val="eop"/>
          <w:rFonts w:ascii="Georgia" w:hAnsi="Georgia"/>
          <w:sz w:val="20"/>
        </w:rPr>
        <w:br/>
      </w:r>
      <w:r>
        <w:rPr>
          <w:rStyle w:val="eop"/>
          <w:rFonts w:ascii="Georgia" w:hAnsi="Georgia"/>
          <w:sz w:val="20"/>
        </w:rPr>
        <w:br/>
        <w:t xml:space="preserve">Pour l’Union européenne, les listes peuvent être consultées à l’adresse suivante : </w:t>
      </w:r>
      <w:hyperlink r:id="rId31" w:history="1">
        <w:r>
          <w:rPr>
            <w:rStyle w:val="Hyperlink"/>
            <w:rFonts w:ascii="Georgia" w:hAnsi="Georgia"/>
            <w:sz w:val="20"/>
          </w:rPr>
          <w:t>https://finances.belgium.be/fr/tresorerie/sanctions-financieres/sanctions-europ%C3%A9ennes-ue</w:t>
        </w:r>
      </w:hyperlink>
    </w:p>
    <w:p w14:paraId="7E739AB6" w14:textId="4BA90E99" w:rsidR="007D68DE" w:rsidRPr="005B7D75" w:rsidRDefault="00000000" w:rsidP="007D68DE">
      <w:pPr>
        <w:pStyle w:val="paragraph"/>
        <w:ind w:left="360"/>
        <w:textAlignment w:val="baseline"/>
        <w:rPr>
          <w:rStyle w:val="eop"/>
          <w:rFonts w:ascii="Georgia" w:hAnsi="Georgia" w:cs="Segoe UI"/>
          <w:sz w:val="20"/>
          <w:szCs w:val="20"/>
        </w:rPr>
      </w:pPr>
      <w:hyperlink r:id="rId32" w:history="1">
        <w:r>
          <w:rPr>
            <w:rStyle w:val="Hyperlink"/>
            <w:rFonts w:ascii="Georgia" w:hAnsi="Georgia"/>
            <w:sz w:val="20"/>
          </w:rPr>
          <w:t>https://eeas.europa.eu/headquarters/headquarters-homepage/8442/consolidated-list-sanctions</w:t>
        </w:r>
      </w:hyperlink>
      <w:r>
        <w:rPr>
          <w:rStyle w:val="eop"/>
          <w:rFonts w:ascii="Georgia" w:hAnsi="Georgia"/>
          <w:sz w:val="20"/>
        </w:rPr>
        <w:br/>
      </w:r>
      <w:r>
        <w:rPr>
          <w:rStyle w:val="eop"/>
          <w:rFonts w:ascii="Georgia" w:hAnsi="Georgia"/>
          <w:sz w:val="20"/>
        </w:rPr>
        <w:br/>
      </w:r>
      <w:hyperlink r:id="rId33" w:history="1">
        <w:r>
          <w:rPr>
            <w:rStyle w:val="Hyperlink"/>
            <w:rFonts w:ascii="Georgia" w:hAnsi="Georgia"/>
            <w:sz w:val="20"/>
          </w:rPr>
          <w:t>https://eeas.europa.eu/sites/eeas/files/restrictive_measures-2017-01-17-clean.pdf</w:t>
        </w:r>
      </w:hyperlink>
      <w:r>
        <w:rPr>
          <w:rStyle w:val="eop"/>
          <w:rFonts w:ascii="Georgia" w:hAnsi="Georgia"/>
          <w:sz w:val="20"/>
        </w:rPr>
        <w:br/>
      </w:r>
      <w:r>
        <w:rPr>
          <w:rStyle w:val="eop"/>
          <w:rFonts w:ascii="Georgia" w:hAnsi="Georgia"/>
          <w:sz w:val="20"/>
        </w:rPr>
        <w:br/>
        <w:t xml:space="preserve">Pour la Belgique : </w:t>
      </w:r>
      <w:hyperlink r:id="rId34" w:history="1">
        <w:r>
          <w:rPr>
            <w:rStyle w:val="Hyperlink"/>
            <w:rFonts w:ascii="Georgia" w:hAnsi="Georgia"/>
            <w:sz w:val="20"/>
          </w:rPr>
          <w:t>https://finances.belgium.be/fr/sur_le_spf/structure_et_services/administrations_generales/tr%C3%A9sorerie/contr%C3%B4le-des-instruments-1-2</w:t>
        </w:r>
      </w:hyperlink>
    </w:p>
    <w:p w14:paraId="34034090" w14:textId="77777777" w:rsidR="007D68DE" w:rsidRDefault="007D68DE" w:rsidP="007D68DE">
      <w:pPr>
        <w:ind w:left="360"/>
        <w:rPr>
          <w:rStyle w:val="eop"/>
          <w:rFonts w:eastAsia="Times New Roman" w:cs="Segoe UI"/>
          <w:color w:val="auto"/>
          <w:sz w:val="20"/>
          <w:szCs w:val="20"/>
        </w:rPr>
      </w:pPr>
      <w:r>
        <w:rPr>
          <w:rStyle w:val="eop"/>
          <w:color w:val="auto"/>
          <w:sz w:val="20"/>
        </w:rPr>
        <w:t xml:space="preserve">Le soumissionnaire déclare formellement être en mesure, sur demande et sans délai, de fournir les certificats et autres formes de pièces justificatives visés, sauf si : </w:t>
      </w:r>
    </w:p>
    <w:p w14:paraId="7BD0A54F" w14:textId="77777777" w:rsidR="007D68DE" w:rsidRDefault="007D68DE" w:rsidP="007D68DE">
      <w:pPr>
        <w:ind w:left="708"/>
        <w:rPr>
          <w:rStyle w:val="eop"/>
          <w:rFonts w:eastAsia="Times New Roman" w:cs="Segoe UI"/>
          <w:color w:val="auto"/>
          <w:sz w:val="20"/>
          <w:szCs w:val="20"/>
        </w:rPr>
      </w:pPr>
      <w:r>
        <w:rPr>
          <w:rStyle w:val="eop"/>
          <w:color w:val="auto"/>
          <w:sz w:val="20"/>
        </w:rPr>
        <w:t>a.</w:t>
      </w:r>
      <w:r>
        <w:rPr>
          <w:rStyle w:val="eop"/>
          <w:color w:val="auto"/>
          <w:sz w:val="20"/>
        </w:rPr>
        <w:tab/>
      </w:r>
      <w:proofErr w:type="spellStart"/>
      <w:r>
        <w:rPr>
          <w:rStyle w:val="eop"/>
          <w:color w:val="auto"/>
          <w:sz w:val="20"/>
        </w:rPr>
        <w:t>Enabel</w:t>
      </w:r>
      <w:proofErr w:type="spellEnd"/>
      <w:r>
        <w:rPr>
          <w:rStyle w:val="eop"/>
          <w:color w:val="auto"/>
          <w:sz w:val="20"/>
        </w:rPr>
        <w:t xml:space="preserve"> a la possibilité d’obtenir directement les documents justificatifs concernés en consultant une base de données nationale dans un État membre qui est accessible gratuitement, à condition que le soumissionnaire ait fourni les informations nécessaires (adresse du site web, autorité ou organisme de délivrance, référence précise des documents) permettant à </w:t>
      </w:r>
      <w:proofErr w:type="spellStart"/>
      <w:r>
        <w:rPr>
          <w:rStyle w:val="eop"/>
          <w:color w:val="auto"/>
          <w:sz w:val="20"/>
        </w:rPr>
        <w:t>Enabel</w:t>
      </w:r>
      <w:proofErr w:type="spellEnd"/>
      <w:r>
        <w:rPr>
          <w:rStyle w:val="eop"/>
          <w:color w:val="auto"/>
          <w:sz w:val="20"/>
        </w:rPr>
        <w:t xml:space="preserve"> de les obtenir, avec l’autorisation d’accès correspondante ; </w:t>
      </w:r>
    </w:p>
    <w:p w14:paraId="0E62AF1B" w14:textId="77777777" w:rsidR="007D68DE" w:rsidRDefault="007D68DE" w:rsidP="007D68DE">
      <w:pPr>
        <w:ind w:left="360" w:firstLine="348"/>
        <w:rPr>
          <w:rStyle w:val="eop"/>
          <w:rFonts w:eastAsia="Times New Roman" w:cs="Segoe UI"/>
          <w:color w:val="auto"/>
          <w:sz w:val="20"/>
          <w:szCs w:val="20"/>
        </w:rPr>
      </w:pPr>
      <w:r>
        <w:rPr>
          <w:rStyle w:val="eop"/>
          <w:color w:val="auto"/>
          <w:sz w:val="20"/>
        </w:rPr>
        <w:t>b.</w:t>
      </w:r>
      <w:r>
        <w:rPr>
          <w:rStyle w:val="eop"/>
          <w:color w:val="auto"/>
          <w:sz w:val="20"/>
        </w:rPr>
        <w:tab/>
      </w:r>
      <w:proofErr w:type="spellStart"/>
      <w:r>
        <w:rPr>
          <w:rStyle w:val="eop"/>
          <w:color w:val="auto"/>
          <w:sz w:val="20"/>
        </w:rPr>
        <w:t>Enabel</w:t>
      </w:r>
      <w:proofErr w:type="spellEnd"/>
      <w:r>
        <w:rPr>
          <w:rStyle w:val="eop"/>
          <w:color w:val="auto"/>
          <w:sz w:val="20"/>
        </w:rPr>
        <w:t xml:space="preserve"> est déjà en possession des documents concernés. </w:t>
      </w:r>
    </w:p>
    <w:p w14:paraId="7AE44565" w14:textId="77777777" w:rsidR="007D68DE" w:rsidRDefault="007D68DE" w:rsidP="007D68DE">
      <w:pPr>
        <w:ind w:left="708"/>
        <w:rPr>
          <w:rStyle w:val="eop"/>
          <w:rFonts w:eastAsia="Times New Roman" w:cs="Segoe UI"/>
          <w:color w:val="auto"/>
          <w:sz w:val="20"/>
          <w:szCs w:val="20"/>
        </w:rPr>
      </w:pPr>
      <w:r>
        <w:rPr>
          <w:rStyle w:val="eop"/>
          <w:color w:val="auto"/>
          <w:sz w:val="20"/>
        </w:rPr>
        <w:t xml:space="preserve"> Le soumissionnaire consent formellement à ce que </w:t>
      </w:r>
      <w:proofErr w:type="spellStart"/>
      <w:r>
        <w:rPr>
          <w:rStyle w:val="eop"/>
          <w:color w:val="auto"/>
          <w:sz w:val="20"/>
        </w:rPr>
        <w:t>Enabel</w:t>
      </w:r>
      <w:proofErr w:type="spellEnd"/>
      <w:r>
        <w:rPr>
          <w:rStyle w:val="eop"/>
          <w:color w:val="auto"/>
          <w:sz w:val="20"/>
        </w:rPr>
        <w:t xml:space="preserve"> ait accès aux documents justificatifs étayant les informations fournies dans le présent document. </w:t>
      </w:r>
    </w:p>
    <w:p w14:paraId="22472270" w14:textId="77777777" w:rsidR="007D68DE" w:rsidRDefault="007D68DE" w:rsidP="007D68DE">
      <w:pPr>
        <w:ind w:left="360"/>
        <w:rPr>
          <w:rStyle w:val="eop"/>
          <w:rFonts w:eastAsia="Times New Roman" w:cs="Segoe UI"/>
          <w:color w:val="auto"/>
          <w:sz w:val="20"/>
          <w:szCs w:val="20"/>
        </w:rPr>
      </w:pPr>
      <w:r>
        <w:rPr>
          <w:rStyle w:val="eop"/>
          <w:color w:val="auto"/>
          <w:sz w:val="20"/>
        </w:rPr>
        <w:t>Date</w:t>
      </w:r>
    </w:p>
    <w:p w14:paraId="1E00E826" w14:textId="77777777" w:rsidR="007D68DE" w:rsidRDefault="007D68DE" w:rsidP="007D68DE">
      <w:pPr>
        <w:ind w:left="360"/>
        <w:rPr>
          <w:rStyle w:val="eop"/>
          <w:rFonts w:eastAsia="Times New Roman" w:cs="Segoe UI"/>
          <w:color w:val="auto"/>
          <w:sz w:val="20"/>
          <w:szCs w:val="20"/>
        </w:rPr>
      </w:pPr>
      <w:r>
        <w:rPr>
          <w:rStyle w:val="eop"/>
          <w:color w:val="auto"/>
          <w:sz w:val="20"/>
        </w:rPr>
        <w:t xml:space="preserve">Lieu </w:t>
      </w:r>
    </w:p>
    <w:p w14:paraId="71136F92" w14:textId="0CCDAFDA" w:rsidR="005B7D75" w:rsidRDefault="007D68DE" w:rsidP="00BA7BD2">
      <w:pPr>
        <w:ind w:left="360"/>
        <w:rPr>
          <w:rStyle w:val="eop"/>
          <w:color w:val="auto"/>
          <w:sz w:val="20"/>
        </w:rPr>
      </w:pPr>
      <w:r>
        <w:rPr>
          <w:rStyle w:val="eop"/>
          <w:color w:val="auto"/>
          <w:sz w:val="20"/>
        </w:rPr>
        <w:t>Signature</w:t>
      </w:r>
    </w:p>
    <w:p w14:paraId="6D30457C" w14:textId="77777777" w:rsidR="009E5254" w:rsidRDefault="009E5254" w:rsidP="008C2671">
      <w:pPr>
        <w:pStyle w:val="Heading2"/>
      </w:pPr>
      <w:bookmarkStart w:id="340" w:name="_Toc160610315"/>
      <w:r>
        <w:lastRenderedPageBreak/>
        <w:t>Récapitulatif des documents à remettre</w:t>
      </w:r>
      <w:bookmarkEnd w:id="340"/>
    </w:p>
    <w:p w14:paraId="50F3BEEC" w14:textId="45EAC96E" w:rsidR="00866DD7" w:rsidRDefault="00866DD7">
      <w:pPr>
        <w:pStyle w:val="BodyText"/>
        <w:numPr>
          <w:ilvl w:val="0"/>
          <w:numId w:val="29"/>
        </w:numPr>
        <w:rPr>
          <w:rFonts w:ascii="Georgia" w:eastAsia="Calibri" w:hAnsi="Georgia" w:cs="Times New Roman"/>
          <w:color w:val="585756"/>
          <w:sz w:val="21"/>
          <w:szCs w:val="21"/>
        </w:rPr>
      </w:pPr>
      <w:bookmarkStart w:id="341" w:name="_Hlk158212903"/>
      <w:r>
        <w:rPr>
          <w:rFonts w:ascii="Georgia" w:hAnsi="Georgia"/>
          <w:color w:val="585756"/>
          <w:sz w:val="21"/>
        </w:rPr>
        <w:t>Le formulaire d’identification correctement rempli (voir 6.1) (pour chaque participant lorsque l’offre est déposée par un groupement d’opérateurs économiques)</w:t>
      </w:r>
    </w:p>
    <w:p w14:paraId="065FC989" w14:textId="43E54D5A" w:rsidR="00D5722D" w:rsidRPr="009C112E" w:rsidRDefault="00D5722D">
      <w:pPr>
        <w:pStyle w:val="BodyText"/>
        <w:numPr>
          <w:ilvl w:val="0"/>
          <w:numId w:val="29"/>
        </w:numPr>
        <w:rPr>
          <w:rFonts w:ascii="Georgia" w:eastAsia="Calibri" w:hAnsi="Georgia" w:cs="Times New Roman"/>
          <w:color w:val="585756"/>
          <w:sz w:val="21"/>
          <w:szCs w:val="21"/>
        </w:rPr>
      </w:pPr>
      <w:r>
        <w:rPr>
          <w:rFonts w:ascii="Georgia" w:hAnsi="Georgia"/>
          <w:color w:val="585756"/>
          <w:sz w:val="21"/>
        </w:rPr>
        <w:t>La liste des sous-traitants (voir 6.3)</w:t>
      </w:r>
    </w:p>
    <w:p w14:paraId="31F0407F" w14:textId="77777777" w:rsidR="00866DD7" w:rsidRPr="009C112E" w:rsidRDefault="00866DD7">
      <w:pPr>
        <w:pStyle w:val="ListParagraph"/>
        <w:numPr>
          <w:ilvl w:val="0"/>
          <w:numId w:val="29"/>
        </w:numPr>
        <w:contextualSpacing w:val="0"/>
      </w:pPr>
      <w:r>
        <w:t>La déclaration sur l’honneur – motifs d’exclusion, correctement remplie et signée (voir 6.4) (pour chaque participant lorsque l’offre est déposée par un groupement d’opérateurs économiques) ;</w:t>
      </w:r>
    </w:p>
    <w:p w14:paraId="05518E08" w14:textId="0C18B572" w:rsidR="00866DD7" w:rsidRPr="00E31058" w:rsidRDefault="002C3015">
      <w:pPr>
        <w:pStyle w:val="ListParagraph"/>
        <w:numPr>
          <w:ilvl w:val="0"/>
          <w:numId w:val="29"/>
        </w:numPr>
        <w:contextualSpacing w:val="0"/>
        <w:rPr>
          <w:szCs w:val="21"/>
        </w:rPr>
      </w:pPr>
      <w:r>
        <w:t>Tous les documents demandés dans le cadre des critères de sélection et des critères d’attribution</w:t>
      </w:r>
    </w:p>
    <w:p w14:paraId="0B0B1055" w14:textId="01622555" w:rsidR="00570A09" w:rsidRPr="00042A1B" w:rsidRDefault="00570A09">
      <w:pPr>
        <w:pStyle w:val="BodyText"/>
        <w:numPr>
          <w:ilvl w:val="1"/>
          <w:numId w:val="30"/>
        </w:numPr>
        <w:rPr>
          <w:rFonts w:ascii="Georgia" w:eastAsia="Calibri" w:hAnsi="Georgia" w:cs="Times New Roman"/>
          <w:color w:val="585756"/>
          <w:sz w:val="21"/>
          <w:szCs w:val="21"/>
        </w:rPr>
      </w:pPr>
      <w:r>
        <w:rPr>
          <w:rFonts w:ascii="Georgia" w:hAnsi="Georgia"/>
          <w:color w:val="585756"/>
          <w:sz w:val="21"/>
        </w:rPr>
        <w:t>L’</w:t>
      </w:r>
      <w:proofErr w:type="spellStart"/>
      <w:r>
        <w:rPr>
          <w:rFonts w:ascii="Georgia" w:hAnsi="Georgia"/>
          <w:color w:val="585756"/>
          <w:sz w:val="21"/>
        </w:rPr>
        <w:t>eDUME</w:t>
      </w:r>
      <w:proofErr w:type="spellEnd"/>
      <w:r>
        <w:rPr>
          <w:rFonts w:ascii="Georgia" w:hAnsi="Georgia"/>
          <w:color w:val="585756"/>
          <w:sz w:val="21"/>
        </w:rPr>
        <w:t xml:space="preserve"> (voir point 3.5.1) et le(s) annexe(s) éventuelle(s) (pour chaque participant lorsque l’offre est déposée par un groupement, ainsi que pour les entités, notamment les sous-traitants, dont la capacité est invoquée en ce qui concerne les critères relatifs aux capacités techniques et professionnelles)</w:t>
      </w:r>
    </w:p>
    <w:p w14:paraId="14ECEC23" w14:textId="726DD85B" w:rsidR="00230FFF" w:rsidRPr="00230FFF" w:rsidRDefault="00230FFF">
      <w:pPr>
        <w:pStyle w:val="BodyText"/>
        <w:numPr>
          <w:ilvl w:val="1"/>
          <w:numId w:val="30"/>
        </w:numPr>
        <w:rPr>
          <w:rFonts w:ascii="Georgia" w:eastAsia="Calibri" w:hAnsi="Georgia" w:cs="Times New Roman"/>
          <w:color w:val="585756"/>
          <w:sz w:val="21"/>
          <w:szCs w:val="21"/>
        </w:rPr>
      </w:pPr>
      <w:r>
        <w:rPr>
          <w:rFonts w:ascii="Georgia" w:hAnsi="Georgia"/>
          <w:color w:val="585756"/>
          <w:sz w:val="21"/>
        </w:rPr>
        <w:t>Si un opérateur économique souhaite recourir aux capacités d’autres entités (notamment des sous-traitants ou des filiales indépendantes) en ce qui concerne les critères relatifs à la capacité économique et financière et les critères relatifs aux capacités techniques et professionnelles (voir 3.5.3 Critères de sélection), il apporte au pouvoir adjudicateur la preuve qu’il disposera des moyens nécessaires, notamment en produisant l’engagement de ces entités à cet effet.</w:t>
      </w:r>
    </w:p>
    <w:p w14:paraId="5FA80770" w14:textId="462CE568" w:rsidR="009A3CAB" w:rsidRDefault="009A3CAB">
      <w:pPr>
        <w:pStyle w:val="BodyText"/>
        <w:numPr>
          <w:ilvl w:val="1"/>
          <w:numId w:val="30"/>
        </w:numPr>
        <w:rPr>
          <w:rFonts w:ascii="Georgia" w:eastAsia="Calibri" w:hAnsi="Georgia" w:cs="Times New Roman"/>
          <w:color w:val="585756"/>
          <w:kern w:val="0"/>
          <w:sz w:val="21"/>
          <w:szCs w:val="21"/>
        </w:rPr>
      </w:pPr>
      <w:r>
        <w:rPr>
          <w:rFonts w:ascii="Georgia" w:hAnsi="Georgia"/>
          <w:color w:val="585756"/>
          <w:sz w:val="21"/>
        </w:rPr>
        <w:t>La liste des services similaires exécutés au cours des trois dernières années, par lot</w:t>
      </w:r>
    </w:p>
    <w:p w14:paraId="55F1990A" w14:textId="45D27820" w:rsidR="00905B9E" w:rsidRPr="009332B3" w:rsidRDefault="00D4643F">
      <w:pPr>
        <w:pStyle w:val="BodyText"/>
        <w:numPr>
          <w:ilvl w:val="1"/>
          <w:numId w:val="30"/>
        </w:numPr>
        <w:rPr>
          <w:rFonts w:ascii="Georgia" w:eastAsia="Calibri" w:hAnsi="Georgia" w:cs="Times New Roman"/>
          <w:color w:val="585756"/>
          <w:kern w:val="0"/>
          <w:sz w:val="21"/>
          <w:szCs w:val="21"/>
        </w:rPr>
      </w:pPr>
      <w:r>
        <w:rPr>
          <w:rFonts w:ascii="Georgia" w:hAnsi="Georgia"/>
          <w:color w:val="585756"/>
          <w:sz w:val="21"/>
        </w:rPr>
        <w:t xml:space="preserve">Le CV de(s) </w:t>
      </w:r>
      <w:proofErr w:type="spellStart"/>
      <w:r>
        <w:rPr>
          <w:rFonts w:ascii="Georgia" w:hAnsi="Georgia"/>
          <w:color w:val="585756"/>
          <w:sz w:val="21"/>
        </w:rPr>
        <w:t>expert·e</w:t>
      </w:r>
      <w:proofErr w:type="spellEnd"/>
      <w:r>
        <w:rPr>
          <w:rFonts w:ascii="Georgia" w:hAnsi="Georgia"/>
          <w:color w:val="585756"/>
          <w:sz w:val="21"/>
        </w:rPr>
        <w:t>(s) (maximum 5) pour chaque lot</w:t>
      </w:r>
    </w:p>
    <w:p w14:paraId="5988EF77" w14:textId="2D3ED298" w:rsidR="00866DD7" w:rsidRDefault="00866DD7">
      <w:pPr>
        <w:pStyle w:val="BodyText"/>
        <w:numPr>
          <w:ilvl w:val="1"/>
          <w:numId w:val="30"/>
        </w:numPr>
        <w:rPr>
          <w:rFonts w:ascii="Georgia" w:eastAsia="Calibri" w:hAnsi="Georgia" w:cs="Times New Roman"/>
          <w:color w:val="585756"/>
          <w:sz w:val="21"/>
          <w:szCs w:val="21"/>
        </w:rPr>
      </w:pPr>
      <w:r>
        <w:rPr>
          <w:rFonts w:ascii="Georgia" w:hAnsi="Georgia"/>
          <w:color w:val="585756"/>
          <w:sz w:val="21"/>
        </w:rPr>
        <w:t>Le formulaire d’offre – Prix, correctement rempli par lot (voir 6.2)</w:t>
      </w:r>
    </w:p>
    <w:p w14:paraId="755787FC" w14:textId="77777777" w:rsidR="00866DD7" w:rsidRPr="00E31058" w:rsidRDefault="00866DD7">
      <w:pPr>
        <w:pStyle w:val="ListParagraph"/>
        <w:numPr>
          <w:ilvl w:val="0"/>
          <w:numId w:val="30"/>
        </w:numPr>
        <w:contextualSpacing w:val="0"/>
        <w:rPr>
          <w:szCs w:val="21"/>
        </w:rPr>
      </w:pPr>
      <w:r>
        <w:t>Un détail des prix offerts, listant pour chaque poste les différents éléments inclus dedans ainsi que les différents taxes et impôts applicables</w:t>
      </w:r>
    </w:p>
    <w:p w14:paraId="3A08D3FF" w14:textId="699A49F6" w:rsidR="00866DD7" w:rsidRDefault="00866DD7">
      <w:pPr>
        <w:pStyle w:val="BodyText"/>
        <w:numPr>
          <w:ilvl w:val="0"/>
          <w:numId w:val="30"/>
        </w:numPr>
        <w:rPr>
          <w:rFonts w:ascii="Georgia" w:eastAsia="Calibri" w:hAnsi="Georgia" w:cs="Times New Roman"/>
          <w:color w:val="585756"/>
          <w:sz w:val="21"/>
          <w:szCs w:val="21"/>
        </w:rPr>
      </w:pPr>
      <w:r>
        <w:rPr>
          <w:rFonts w:ascii="Georgia" w:hAnsi="Georgia"/>
          <w:color w:val="585756"/>
          <w:sz w:val="21"/>
        </w:rPr>
        <w:t xml:space="preserve">Lorsque l’offre est signée par un mandataire, celle-ci mentionne clairement son (ses) mandant(s). Le ou la </w:t>
      </w:r>
      <w:proofErr w:type="spellStart"/>
      <w:r>
        <w:rPr>
          <w:rFonts w:ascii="Georgia" w:hAnsi="Georgia"/>
          <w:color w:val="585756"/>
          <w:sz w:val="21"/>
        </w:rPr>
        <w:t>représentant·e</w:t>
      </w:r>
      <w:proofErr w:type="spellEnd"/>
      <w:r>
        <w:rPr>
          <w:rFonts w:ascii="Georgia" w:hAnsi="Georgia"/>
          <w:color w:val="585756"/>
          <w:sz w:val="21"/>
        </w:rPr>
        <w:t xml:space="preserve"> </w:t>
      </w:r>
      <w:proofErr w:type="spellStart"/>
      <w:r>
        <w:rPr>
          <w:rFonts w:ascii="Georgia" w:hAnsi="Georgia"/>
          <w:color w:val="585756"/>
          <w:sz w:val="21"/>
        </w:rPr>
        <w:t>habilité·e</w:t>
      </w:r>
      <w:proofErr w:type="spellEnd"/>
      <w:r>
        <w:rPr>
          <w:rFonts w:ascii="Georgia" w:hAnsi="Georgia"/>
          <w:color w:val="585756"/>
          <w:sz w:val="21"/>
        </w:rPr>
        <w:t xml:space="preserve"> joint l’acte authentique électronique ou la représentation octroyée sous seing privé, ou encore une copie scannée de la procuration (pour chaque participant si l’offre est soumise par un groupement d’opérateurs économiques). Il ou elle fait, le cas échéant, référence au numéro de l’annexe du Moniteur belge qui a publié l’extrait de l’acte concerné, en mentionnant la/les page(s) et/ou le passage concernés.</w:t>
      </w:r>
    </w:p>
    <w:p w14:paraId="7FB9A471" w14:textId="77777777" w:rsidR="00866DD7" w:rsidRPr="00ED2E76" w:rsidRDefault="00866DD7">
      <w:pPr>
        <w:pStyle w:val="BodyText"/>
        <w:numPr>
          <w:ilvl w:val="0"/>
          <w:numId w:val="30"/>
        </w:numPr>
        <w:rPr>
          <w:rFonts w:ascii="Georgia" w:eastAsia="Calibri" w:hAnsi="Georgia" w:cs="Times New Roman"/>
          <w:color w:val="585756"/>
          <w:sz w:val="21"/>
          <w:szCs w:val="21"/>
        </w:rPr>
      </w:pPr>
      <w:r>
        <w:rPr>
          <w:rFonts w:ascii="Georgia" w:hAnsi="Georgia"/>
          <w:color w:val="585756"/>
          <w:sz w:val="21"/>
        </w:rPr>
        <w:t>Lorsque l’offre est déposée par un groupement d’opérateurs économiques, la convention d’association signée par chaque participant, indiquant clairement le représentant de l’association</w:t>
      </w:r>
    </w:p>
    <w:p w14:paraId="6D304582" w14:textId="5E21EB35" w:rsidR="00C70282" w:rsidRPr="003C0B14" w:rsidRDefault="008F110D">
      <w:pPr>
        <w:pStyle w:val="BodyText"/>
        <w:numPr>
          <w:ilvl w:val="0"/>
          <w:numId w:val="30"/>
        </w:numPr>
      </w:pPr>
      <w:r>
        <w:rPr>
          <w:rFonts w:ascii="Georgia" w:hAnsi="Georgia"/>
          <w:color w:val="585756"/>
          <w:sz w:val="21"/>
        </w:rPr>
        <w:t>Si possible, les documents relatifs aux motifs d’exclusion obligatoires (voir point 3.5.2) (pour chaque participant lorsque l’offre est déposée par un groupement d’opérateurs économiques).</w:t>
      </w:r>
      <w:bookmarkEnd w:id="341"/>
    </w:p>
    <w:sectPr w:rsidR="00C70282" w:rsidRPr="003C0B14" w:rsidSect="00F74575">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3E0DF" w14:textId="77777777" w:rsidR="00F74575" w:rsidRDefault="00F74575" w:rsidP="00C913B3">
      <w:pPr>
        <w:spacing w:after="0" w:line="240" w:lineRule="auto"/>
      </w:pPr>
      <w:r>
        <w:separator/>
      </w:r>
    </w:p>
  </w:endnote>
  <w:endnote w:type="continuationSeparator" w:id="0">
    <w:p w14:paraId="05FFB29C" w14:textId="77777777" w:rsidR="00F74575" w:rsidRDefault="00F74575" w:rsidP="00C913B3">
      <w:pPr>
        <w:spacing w:after="0" w:line="240" w:lineRule="auto"/>
      </w:pPr>
      <w:r>
        <w:continuationSeparator/>
      </w:r>
    </w:p>
  </w:endnote>
  <w:endnote w:type="continuationNotice" w:id="1">
    <w:p w14:paraId="1B78134F" w14:textId="77777777" w:rsidR="00F74575" w:rsidRDefault="00F745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swiss"/>
    <w:pitch w:val="variable"/>
    <w:sig w:usb0="E7002EFF"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IDFont+F2">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2F3D" w14:textId="078AAC56" w:rsidR="00132AF4" w:rsidRPr="004B0850" w:rsidRDefault="004022B3" w:rsidP="009923AB">
    <w:pPr>
      <w:pStyle w:val="Footer"/>
      <w:tabs>
        <w:tab w:val="clear" w:pos="9072"/>
        <w:tab w:val="right" w:pos="9070"/>
      </w:tabs>
      <w:rPr>
        <w:sz w:val="16"/>
        <w:szCs w:val="16"/>
      </w:rPr>
    </w:pPr>
    <w:r>
      <w:rPr>
        <w:sz w:val="18"/>
      </w:rPr>
      <w:t>BEL21003-10024 Recrutement d’une expertise technique externe pour une intervention à court terme dans le cadre du projet TESS MAV+</w:t>
    </w:r>
  </w:p>
  <w:sdt>
    <w:sdtPr>
      <w:rPr>
        <w:highlight w:val="yellow"/>
      </w:rPr>
      <w:id w:val="-2023536711"/>
      <w:docPartObj>
        <w:docPartGallery w:val="Page Numbers (Bottom of Page)"/>
        <w:docPartUnique/>
      </w:docPartObj>
    </w:sdtPr>
    <w:sdtEndPr>
      <w:rPr>
        <w:highlight w:val="none"/>
      </w:rPr>
    </w:sdtEndPr>
    <w:sdtContent>
      <w:p w14:paraId="6D30458C" w14:textId="77777777" w:rsidR="00132AF4" w:rsidRPr="000679F7" w:rsidRDefault="00132AF4" w:rsidP="00A709E9">
        <w:pPr>
          <w:pStyle w:val="Basdepage"/>
          <w:jc w:val="right"/>
        </w:pPr>
        <w:r w:rsidRPr="000679F7">
          <w:fldChar w:fldCharType="begin"/>
        </w:r>
        <w:r w:rsidRPr="000679F7">
          <w:instrText>PAGE   \* MERGEFORMAT</w:instrText>
        </w:r>
        <w:r w:rsidRPr="000679F7">
          <w:fldChar w:fldCharType="separate"/>
        </w:r>
        <w:r w:rsidR="00A13636">
          <w:t>32</w:t>
        </w:r>
        <w:r w:rsidRPr="000679F7">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490552"/>
      <w:docPartObj>
        <w:docPartGallery w:val="Page Numbers (Bottom of Page)"/>
        <w:docPartUnique/>
      </w:docPartObj>
    </w:sdtPr>
    <w:sdtContent>
      <w:p w14:paraId="6D30458E" w14:textId="77777777" w:rsidR="00132AF4" w:rsidRDefault="00132AF4">
        <w:pPr>
          <w:pStyle w:val="Footer"/>
          <w:jc w:val="right"/>
        </w:pPr>
        <w:r>
          <w:rPr>
            <w:noProof/>
          </w:rPr>
          <mc:AlternateContent>
            <mc:Choice Requires="wps">
              <w:drawing>
                <wp:anchor distT="45720" distB="45720" distL="114300" distR="114300" simplePos="0" relativeHeight="251656192" behindDoc="1" locked="0" layoutInCell="1" allowOverlap="1" wp14:anchorId="6D304595" wp14:editId="6D304596">
                  <wp:simplePos x="0" y="0"/>
                  <wp:positionH relativeFrom="margin">
                    <wp:posOffset>84455</wp:posOffset>
                  </wp:positionH>
                  <wp:positionV relativeFrom="page">
                    <wp:posOffset>9829800</wp:posOffset>
                  </wp:positionV>
                  <wp:extent cx="5006340" cy="594360"/>
                  <wp:effectExtent l="0" t="0" r="381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D3045A0" w14:textId="77777777" w:rsidR="00132AF4" w:rsidRPr="00126C92" w:rsidRDefault="00132AF4" w:rsidP="008367A0">
                              <w:pPr>
                                <w:pStyle w:val="Basdepage"/>
                              </w:pPr>
                              <w:proofErr w:type="spellStart"/>
                              <w:r>
                                <w:t>Enabel</w:t>
                              </w:r>
                              <w:proofErr w:type="spellEnd"/>
                              <w:r>
                                <w:t xml:space="preserve"> </w:t>
                              </w:r>
                              <w:r>
                                <w:rPr>
                                  <w:color w:val="EC0308"/>
                                </w:rPr>
                                <w:t xml:space="preserve">• </w:t>
                              </w:r>
                              <w:r>
                                <w:t xml:space="preserve">Agence belge de développement </w:t>
                              </w:r>
                              <w:r>
                                <w:rPr>
                                  <w:color w:val="EC0308"/>
                                </w:rPr>
                                <w:t xml:space="preserve">• </w:t>
                              </w:r>
                              <w:r>
                                <w:t>Société anonyme de droit public à finalité sociale</w:t>
                              </w:r>
                            </w:p>
                            <w:p w14:paraId="6D3045A1" w14:textId="77777777" w:rsidR="00132AF4" w:rsidRPr="005B7D75" w:rsidRDefault="00132AF4"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04595" id="_x0000_t202" coordsize="21600,21600" o:spt="202" path="m,l,21600r21600,l21600,xe">
                  <v:stroke joinstyle="miter"/>
                  <v:path gradientshapeok="t" o:connecttype="rect"/>
                </v:shapetype>
                <v:shape id="Zone de texte 3" o:spid="_x0000_s1027" type="#_x0000_t202" style="position:absolute;left:0;text-align:left;margin-left:6.65pt;margin-top:774pt;width:394.2pt;height:46.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D3045A0" w14:textId="77777777" w:rsidR="00132AF4" w:rsidRPr="00126C92" w:rsidRDefault="00132AF4" w:rsidP="008367A0">
                        <w:pPr>
                          <w:pStyle w:val="Basdepage"/>
                        </w:pPr>
                        <w:proofErr w:type="spellStart"/>
                        <w:r>
                          <w:t>Enabel</w:t>
                        </w:r>
                        <w:proofErr w:type="spellEnd"/>
                        <w:r>
                          <w:t xml:space="preserve"> </w:t>
                        </w:r>
                        <w:r>
                          <w:rPr>
                            <w:color w:val="EC0308"/>
                          </w:rPr>
                          <w:t xml:space="preserve">• </w:t>
                        </w:r>
                        <w:r>
                          <w:t xml:space="preserve">Agence belge de développement </w:t>
                        </w:r>
                        <w:r>
                          <w:rPr>
                            <w:color w:val="EC0308"/>
                          </w:rPr>
                          <w:t xml:space="preserve">• </w:t>
                        </w:r>
                        <w:r>
                          <w:t>Société anonyme de droit public à finalité sociale</w:t>
                        </w:r>
                      </w:p>
                      <w:p w14:paraId="6D3045A1" w14:textId="77777777" w:rsidR="00132AF4" w:rsidRPr="005B7D75" w:rsidRDefault="00132AF4" w:rsidP="008367A0">
                        <w:pPr>
                          <w:pStyle w:val="Basdepage"/>
                        </w:pPr>
                        <w:r>
                          <w:t xml:space="preserve">Rue Haute 147 </w:t>
                        </w:r>
                        <w:r>
                          <w:rPr>
                            <w:color w:val="EC0308"/>
                          </w:rPr>
                          <w:t xml:space="preserve">• </w:t>
                        </w:r>
                        <w:r>
                          <w:t xml:space="preserve">1000 Bruxelles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00A13636" w:rsidRPr="00A13636">
          <w:t>1</w:t>
        </w:r>
        <w:r>
          <w:fldChar w:fldCharType="end"/>
        </w:r>
      </w:p>
    </w:sdtContent>
  </w:sdt>
  <w:p w14:paraId="6D30458F" w14:textId="77777777" w:rsidR="00132AF4" w:rsidRDefault="0013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DE4D8" w14:textId="77777777" w:rsidR="00F74575" w:rsidRDefault="00F74575" w:rsidP="00C913B3">
      <w:pPr>
        <w:spacing w:after="0" w:line="240" w:lineRule="auto"/>
      </w:pPr>
      <w:r>
        <w:separator/>
      </w:r>
    </w:p>
  </w:footnote>
  <w:footnote w:type="continuationSeparator" w:id="0">
    <w:p w14:paraId="48129BB5" w14:textId="77777777" w:rsidR="00F74575" w:rsidRDefault="00F74575" w:rsidP="00C913B3">
      <w:pPr>
        <w:spacing w:after="0" w:line="240" w:lineRule="auto"/>
      </w:pPr>
      <w:r>
        <w:continuationSeparator/>
      </w:r>
    </w:p>
  </w:footnote>
  <w:footnote w:type="continuationNotice" w:id="1">
    <w:p w14:paraId="5E762EBA" w14:textId="77777777" w:rsidR="00F74575" w:rsidRDefault="00F74575">
      <w:pPr>
        <w:spacing w:after="0" w:line="240" w:lineRule="auto"/>
      </w:pPr>
    </w:p>
  </w:footnote>
  <w:footnote w:id="2">
    <w:p w14:paraId="0D884F42" w14:textId="77777777" w:rsidR="00132AF4" w:rsidRDefault="00132AF4" w:rsidP="00E80B01">
      <w:pPr>
        <w:pStyle w:val="FootnoteText"/>
      </w:pPr>
      <w:r>
        <w:t>Moniteur belge du 30 décembre 1998, du 17 novembre 2001, du 6 juillet 2012, du 15 janvier 2013 et du 26 mars 2013.</w:t>
      </w:r>
    </w:p>
  </w:footnote>
  <w:footnote w:id="3">
    <w:p w14:paraId="41555ADD" w14:textId="77777777" w:rsidR="00132AF4" w:rsidRPr="0021448A" w:rsidRDefault="00132AF4" w:rsidP="00E80B01">
      <w:pPr>
        <w:pStyle w:val="FootnoteText"/>
        <w:rPr>
          <w:rStyle w:val="FootnoteReference"/>
          <w:sz w:val="22"/>
          <w:szCs w:val="22"/>
        </w:rPr>
      </w:pPr>
      <w:r>
        <w:rPr>
          <w:rStyle w:val="FootnoteReference"/>
          <w:sz w:val="22"/>
          <w:szCs w:val="22"/>
        </w:rPr>
        <w:footnoteRef/>
      </w:r>
      <w:r>
        <w:rPr>
          <w:rStyle w:val="FootnoteReference"/>
          <w:sz w:val="22"/>
        </w:rPr>
        <w:t xml:space="preserve"> M.B. du 1er juillet 1999.</w:t>
      </w:r>
    </w:p>
  </w:footnote>
  <w:footnote w:id="4">
    <w:p w14:paraId="028B997F" w14:textId="77777777" w:rsidR="00132AF4" w:rsidRPr="00C81AA0" w:rsidRDefault="00132AF4" w:rsidP="00E80B01">
      <w:pPr>
        <w:pStyle w:val="FootnoteText"/>
      </w:pPr>
      <w:r>
        <w:rPr>
          <w:rStyle w:val="FootnoteReference"/>
        </w:rPr>
        <w:footnoteRef/>
      </w:r>
      <w:r>
        <w:t xml:space="preserve"> M.B. du 18 novembre 2008.</w:t>
      </w:r>
    </w:p>
  </w:footnote>
  <w:footnote w:id="5">
    <w:p w14:paraId="408C3C02" w14:textId="77777777" w:rsidR="00132AF4" w:rsidRPr="00C81AA0" w:rsidRDefault="00132AF4" w:rsidP="00E80B01">
      <w:pPr>
        <w:pStyle w:val="FootnoteText"/>
      </w:pPr>
      <w:r>
        <w:rPr>
          <w:rStyle w:val="FootnoteReference"/>
        </w:rPr>
        <w:footnoteRef/>
      </w:r>
      <w:r>
        <w:t> http://www.ilo.org/ilolex/french/convdisp1.htm.</w:t>
      </w:r>
    </w:p>
  </w:footnote>
  <w:footnote w:id="6">
    <w:p w14:paraId="5EE6EC46" w14:textId="271B4745" w:rsidR="00132AF4" w:rsidRPr="002B17C5" w:rsidRDefault="00132AF4" w:rsidP="00E80B01">
      <w:pPr>
        <w:pStyle w:val="FootnoteText"/>
      </w:pPr>
      <w:r>
        <w:rPr>
          <w:rStyle w:val="FootnoteReference"/>
        </w:rPr>
        <w:footnoteRef/>
      </w:r>
      <w:r>
        <w:t xml:space="preserve"> M.B. du 14 juillet 2016. </w:t>
      </w:r>
    </w:p>
  </w:footnote>
  <w:footnote w:id="7">
    <w:p w14:paraId="5C031836" w14:textId="77777777" w:rsidR="00132AF4" w:rsidRPr="00C81AA0" w:rsidRDefault="00132AF4" w:rsidP="00E80B01">
      <w:pPr>
        <w:pStyle w:val="FootnoteText"/>
      </w:pPr>
      <w:r>
        <w:rPr>
          <w:rStyle w:val="FootnoteReference"/>
        </w:rPr>
        <w:footnoteRef/>
      </w:r>
      <w:r>
        <w:t xml:space="preserve"> M.B. du 21 juin 2013.</w:t>
      </w:r>
    </w:p>
  </w:footnote>
  <w:footnote w:id="8">
    <w:p w14:paraId="011AEBD6" w14:textId="68F73423" w:rsidR="00132AF4" w:rsidRPr="002B17C5" w:rsidRDefault="00132AF4" w:rsidP="00E80B01">
      <w:pPr>
        <w:pStyle w:val="FootnoteText"/>
      </w:pPr>
      <w:r>
        <w:rPr>
          <w:rStyle w:val="FootnoteReference"/>
        </w:rPr>
        <w:footnoteRef/>
      </w:r>
      <w:r>
        <w:t xml:space="preserve"> M.B. du 27 juin 2017.</w:t>
      </w:r>
    </w:p>
  </w:footnote>
  <w:footnote w:id="9">
    <w:p w14:paraId="1CB93F25" w14:textId="77777777" w:rsidR="00132AF4" w:rsidRPr="008C4A21" w:rsidRDefault="00132AF4" w:rsidP="003A2C56">
      <w:pPr>
        <w:pStyle w:val="FootnoteText"/>
        <w:rPr>
          <w:sz w:val="16"/>
          <w:szCs w:val="16"/>
        </w:rPr>
      </w:pPr>
      <w:r>
        <w:rPr>
          <w:rStyle w:val="FootnoteReference"/>
          <w:sz w:val="16"/>
          <w:szCs w:val="16"/>
        </w:rPr>
        <w:footnoteRef/>
      </w:r>
      <w:r>
        <w:rPr>
          <w:rFonts w:ascii="Georgia" w:hAnsi="Georgia"/>
          <w:sz w:val="16"/>
        </w:rPr>
        <w:t>Article 83 de l’A.R. Passation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A" w14:textId="77777777" w:rsidR="00132AF4" w:rsidRDefault="00132AF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D" w14:textId="645B9AF1" w:rsidR="00132AF4" w:rsidRPr="005B7D75" w:rsidRDefault="005B7D75" w:rsidP="005B7D75">
    <w:pPr>
      <w:pStyle w:val="Header"/>
    </w:pPr>
    <w:r>
      <w:rPr>
        <w:noProof/>
      </w:rPr>
      <w:drawing>
        <wp:anchor distT="0" distB="0" distL="114300" distR="114300" simplePos="0" relativeHeight="251659264" behindDoc="1" locked="0" layoutInCell="1" allowOverlap="1" wp14:anchorId="2954092A" wp14:editId="7E14CFF7">
          <wp:simplePos x="0" y="0"/>
          <wp:positionH relativeFrom="column">
            <wp:posOffset>-1149985</wp:posOffset>
          </wp:positionH>
          <wp:positionV relativeFrom="page">
            <wp:posOffset>4445</wp:posOffset>
          </wp:positionV>
          <wp:extent cx="7719695" cy="10925330"/>
          <wp:effectExtent l="0" t="0" r="0" b="9525"/>
          <wp:wrapNone/>
          <wp:docPr id="6" name="Picture 6" descr="M:\Pole COMMU\En cours\CTB\CTB-17-18908-Création de templates Office\04 PDF client\JPG\CTB-17-18908-Templates Rapport-UK-cr-131217-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ole COMMU\En cours\CTB\CTB-17-18908-Création de templates Office\04 PDF client\JPG\CTB-17-18908-Templates Rapport-UK-cr-131217-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9695" cy="10925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90" w14:textId="303ADBAE" w:rsidR="00132AF4" w:rsidRDefault="00132AF4" w:rsidP="0034799E">
    <w:pPr>
      <w:pStyle w:val="Header"/>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0000A"/>
    <w:multiLevelType w:val="multilevel"/>
    <w:tmpl w:val="E4C270F6"/>
    <w:lvl w:ilvl="0">
      <w:start w:val="1"/>
      <w:numFmt w:val="none"/>
      <w:lvlText w:val="%1"/>
      <w:lvlJc w:val="left"/>
      <w:pPr>
        <w:tabs>
          <w:tab w:val="num" w:pos="576"/>
        </w:tabs>
        <w:ind w:left="576" w:hanging="576"/>
      </w:pPr>
      <w:rPr>
        <w:rFonts w:ascii="Verdana" w:hAnsi="Verdana" w:cs="Times New Roman" w:hint="default"/>
        <w:b/>
        <w:i w:val="0"/>
        <w:color w:val="000080"/>
        <w:sz w:val="32"/>
        <w:szCs w:val="32"/>
      </w:rPr>
    </w:lvl>
    <w:lvl w:ilvl="1">
      <w:start w:val="1"/>
      <w:numFmt w:val="decimal"/>
      <w:pStyle w:val="Heading10"/>
      <w:suff w:val="space"/>
      <w:lvlText w:val="Chapitre %2 :"/>
      <w:lvlJc w:val="left"/>
      <w:pPr>
        <w:ind w:left="576" w:hanging="576"/>
      </w:pPr>
      <w:rPr>
        <w:rFonts w:ascii="Verdana" w:hAnsi="Verdana" w:cs="Times New Roman" w:hint="default"/>
        <w:b/>
        <w:i w:val="0"/>
        <w:color w:val="000080"/>
        <w:sz w:val="32"/>
        <w:szCs w:val="32"/>
      </w:rPr>
    </w:lvl>
    <w:lvl w:ilvl="2">
      <w:start w:val="1"/>
      <w:numFmt w:val="decimal"/>
      <w:suff w:val="space"/>
      <w:lvlText w:val="%2.%3."/>
      <w:lvlJc w:val="left"/>
      <w:pPr>
        <w:ind w:left="1143" w:hanging="576"/>
      </w:pPr>
    </w:lvl>
    <w:lvl w:ilvl="3">
      <w:start w:val="1"/>
      <w:numFmt w:val="decimal"/>
      <w:suff w:val="space"/>
      <w:lvlText w:val="%2.%3.%4."/>
      <w:lvlJc w:val="left"/>
      <w:pPr>
        <w:ind w:left="576" w:hanging="576"/>
      </w:pPr>
      <w:rPr>
        <w:rFonts w:ascii="Garamond" w:hAnsi="Garamond" w:cs="Times New Roman" w:hint="default"/>
        <w:b/>
        <w:i w:val="0"/>
        <w:color w:val="000080"/>
        <w:sz w:val="24"/>
        <w:szCs w:val="24"/>
      </w:rPr>
    </w:lvl>
    <w:lvl w:ilvl="4">
      <w:start w:val="1"/>
      <w:numFmt w:val="lowerLetter"/>
      <w:lvlText w:val="%5)"/>
      <w:lvlJc w:val="left"/>
      <w:pPr>
        <w:tabs>
          <w:tab w:val="num" w:pos="1152"/>
        </w:tabs>
        <w:ind w:left="1152" w:hanging="432"/>
      </w:pPr>
      <w:rPr>
        <w:rFonts w:hint="default"/>
        <w:b/>
        <w:i/>
        <w:color w:val="auto"/>
        <w:sz w:val="24"/>
        <w:szCs w:val="24"/>
      </w:rPr>
    </w:lvl>
    <w:lvl w:ilvl="5">
      <w:start w:val="1"/>
      <w:numFmt w:val="bullet"/>
      <w:lvlText w:val=""/>
      <w:lvlJc w:val="left"/>
      <w:pPr>
        <w:tabs>
          <w:tab w:val="num" w:pos="1296"/>
        </w:tabs>
        <w:ind w:left="1296" w:hanging="576"/>
      </w:pPr>
      <w:rPr>
        <w:rFonts w:ascii="Symbol" w:hAnsi="Symbol" w:cs="Times New Roman" w:hint="default"/>
      </w:rPr>
    </w:lvl>
    <w:lvl w:ilvl="6">
      <w:start w:val="1"/>
      <w:numFmt w:val="decimal"/>
      <w:lvlText w:val="%7."/>
      <w:lvlJc w:val="left"/>
      <w:pPr>
        <w:tabs>
          <w:tab w:val="num" w:pos="1296"/>
        </w:tabs>
        <w:ind w:left="1296"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19D1EDA"/>
    <w:multiLevelType w:val="hybridMultilevel"/>
    <w:tmpl w:val="B3E60258"/>
    <w:lvl w:ilvl="0" w:tplc="512A1688">
      <w:start w:val="1"/>
      <w:numFmt w:val="bullet"/>
      <w:lvlText w:val=""/>
      <w:lvlJc w:val="left"/>
      <w:pPr>
        <w:ind w:left="720" w:hanging="360"/>
      </w:pPr>
      <w:rPr>
        <w:rFonts w:ascii="Symbol" w:hAnsi="Symbol" w:hint="default"/>
      </w:rPr>
    </w:lvl>
    <w:lvl w:ilvl="1" w:tplc="C9A201DC">
      <w:start w:val="1"/>
      <w:numFmt w:val="bullet"/>
      <w:lvlText w:val="o"/>
      <w:lvlJc w:val="left"/>
      <w:pPr>
        <w:ind w:left="1440" w:hanging="360"/>
      </w:pPr>
      <w:rPr>
        <w:rFonts w:ascii="Courier New" w:hAnsi="Courier New" w:cs="Courier New" w:hint="default"/>
      </w:rPr>
    </w:lvl>
    <w:lvl w:ilvl="2" w:tplc="9154EFA0">
      <w:start w:val="1"/>
      <w:numFmt w:val="bullet"/>
      <w:lvlText w:val=""/>
      <w:lvlJc w:val="left"/>
      <w:pPr>
        <w:ind w:left="2160" w:hanging="360"/>
      </w:pPr>
      <w:rPr>
        <w:rFonts w:ascii="Wingdings" w:hAnsi="Wingdings" w:hint="default"/>
      </w:rPr>
    </w:lvl>
    <w:lvl w:ilvl="3" w:tplc="4C7CA862">
      <w:start w:val="1"/>
      <w:numFmt w:val="bullet"/>
      <w:lvlText w:val=""/>
      <w:lvlJc w:val="left"/>
      <w:pPr>
        <w:ind w:left="2880" w:hanging="360"/>
      </w:pPr>
      <w:rPr>
        <w:rFonts w:ascii="Symbol" w:hAnsi="Symbol" w:hint="default"/>
      </w:rPr>
    </w:lvl>
    <w:lvl w:ilvl="4" w:tplc="3976DAFE">
      <w:start w:val="1"/>
      <w:numFmt w:val="bullet"/>
      <w:lvlText w:val="o"/>
      <w:lvlJc w:val="left"/>
      <w:pPr>
        <w:ind w:left="3600" w:hanging="360"/>
      </w:pPr>
      <w:rPr>
        <w:rFonts w:ascii="Courier New" w:hAnsi="Courier New" w:cs="Courier New" w:hint="default"/>
      </w:rPr>
    </w:lvl>
    <w:lvl w:ilvl="5" w:tplc="02585D74">
      <w:start w:val="1"/>
      <w:numFmt w:val="bullet"/>
      <w:lvlText w:val=""/>
      <w:lvlJc w:val="left"/>
      <w:pPr>
        <w:ind w:left="4320" w:hanging="360"/>
      </w:pPr>
      <w:rPr>
        <w:rFonts w:ascii="Wingdings" w:hAnsi="Wingdings" w:hint="default"/>
      </w:rPr>
    </w:lvl>
    <w:lvl w:ilvl="6" w:tplc="89E0DD4C">
      <w:start w:val="1"/>
      <w:numFmt w:val="bullet"/>
      <w:lvlText w:val=""/>
      <w:lvlJc w:val="left"/>
      <w:pPr>
        <w:ind w:left="5040" w:hanging="360"/>
      </w:pPr>
      <w:rPr>
        <w:rFonts w:ascii="Symbol" w:hAnsi="Symbol" w:hint="default"/>
      </w:rPr>
    </w:lvl>
    <w:lvl w:ilvl="7" w:tplc="3442449E">
      <w:start w:val="1"/>
      <w:numFmt w:val="bullet"/>
      <w:lvlText w:val="o"/>
      <w:lvlJc w:val="left"/>
      <w:pPr>
        <w:ind w:left="5760" w:hanging="360"/>
      </w:pPr>
      <w:rPr>
        <w:rFonts w:ascii="Courier New" w:hAnsi="Courier New" w:cs="Courier New" w:hint="default"/>
      </w:rPr>
    </w:lvl>
    <w:lvl w:ilvl="8" w:tplc="BAEED69A">
      <w:start w:val="1"/>
      <w:numFmt w:val="bullet"/>
      <w:lvlText w:val=""/>
      <w:lvlJc w:val="left"/>
      <w:pPr>
        <w:ind w:left="6480" w:hanging="360"/>
      </w:pPr>
      <w:rPr>
        <w:rFonts w:ascii="Wingdings" w:hAnsi="Wingdings" w:hint="default"/>
      </w:rPr>
    </w:lvl>
  </w:abstractNum>
  <w:abstractNum w:abstractNumId="4" w15:restartNumberingAfterBreak="0">
    <w:nsid w:val="045C5E5E"/>
    <w:multiLevelType w:val="hybridMultilevel"/>
    <w:tmpl w:val="BE46F990"/>
    <w:lvl w:ilvl="0" w:tplc="9E8E4608">
      <w:start w:val="6"/>
      <w:numFmt w:val="decimal"/>
      <w:lvlText w:val="%1."/>
      <w:lvlJc w:val="left"/>
      <w:pPr>
        <w:tabs>
          <w:tab w:val="num" w:pos="720"/>
        </w:tabs>
        <w:ind w:left="720" w:hanging="360"/>
      </w:pPr>
    </w:lvl>
    <w:lvl w:ilvl="1" w:tplc="35F0B332">
      <w:start w:val="1"/>
      <w:numFmt w:val="decimal"/>
      <w:lvlText w:val="%2."/>
      <w:lvlJc w:val="left"/>
      <w:pPr>
        <w:tabs>
          <w:tab w:val="num" w:pos="1440"/>
        </w:tabs>
        <w:ind w:left="1440" w:hanging="360"/>
      </w:pPr>
    </w:lvl>
    <w:lvl w:ilvl="2" w:tplc="244278AA">
      <w:start w:val="1"/>
      <w:numFmt w:val="decimal"/>
      <w:lvlText w:val="%3."/>
      <w:lvlJc w:val="left"/>
      <w:pPr>
        <w:tabs>
          <w:tab w:val="num" w:pos="2160"/>
        </w:tabs>
        <w:ind w:left="2160" w:hanging="360"/>
      </w:pPr>
    </w:lvl>
    <w:lvl w:ilvl="3" w:tplc="8D96209A">
      <w:start w:val="1"/>
      <w:numFmt w:val="decimal"/>
      <w:lvlText w:val="%4."/>
      <w:lvlJc w:val="left"/>
      <w:pPr>
        <w:tabs>
          <w:tab w:val="num" w:pos="2880"/>
        </w:tabs>
        <w:ind w:left="2880" w:hanging="360"/>
      </w:pPr>
    </w:lvl>
    <w:lvl w:ilvl="4" w:tplc="FC9E0604">
      <w:start w:val="1"/>
      <w:numFmt w:val="decimal"/>
      <w:lvlText w:val="%5."/>
      <w:lvlJc w:val="left"/>
      <w:pPr>
        <w:tabs>
          <w:tab w:val="num" w:pos="3600"/>
        </w:tabs>
        <w:ind w:left="3600" w:hanging="360"/>
      </w:pPr>
    </w:lvl>
    <w:lvl w:ilvl="5" w:tplc="30440C3E">
      <w:start w:val="1"/>
      <w:numFmt w:val="decimal"/>
      <w:lvlText w:val="%6."/>
      <w:lvlJc w:val="left"/>
      <w:pPr>
        <w:tabs>
          <w:tab w:val="num" w:pos="4320"/>
        </w:tabs>
        <w:ind w:left="4320" w:hanging="360"/>
      </w:pPr>
    </w:lvl>
    <w:lvl w:ilvl="6" w:tplc="14405F7A">
      <w:start w:val="1"/>
      <w:numFmt w:val="decimal"/>
      <w:lvlText w:val="%7."/>
      <w:lvlJc w:val="left"/>
      <w:pPr>
        <w:tabs>
          <w:tab w:val="num" w:pos="5040"/>
        </w:tabs>
        <w:ind w:left="5040" w:hanging="360"/>
      </w:pPr>
    </w:lvl>
    <w:lvl w:ilvl="7" w:tplc="45FC26D4">
      <w:start w:val="1"/>
      <w:numFmt w:val="decimal"/>
      <w:lvlText w:val="%8."/>
      <w:lvlJc w:val="left"/>
      <w:pPr>
        <w:tabs>
          <w:tab w:val="num" w:pos="5760"/>
        </w:tabs>
        <w:ind w:left="5760" w:hanging="360"/>
      </w:pPr>
    </w:lvl>
    <w:lvl w:ilvl="8" w:tplc="F0EE6146">
      <w:start w:val="1"/>
      <w:numFmt w:val="decimal"/>
      <w:lvlText w:val="%9."/>
      <w:lvlJc w:val="left"/>
      <w:pPr>
        <w:tabs>
          <w:tab w:val="num" w:pos="6480"/>
        </w:tabs>
        <w:ind w:left="6480" w:hanging="360"/>
      </w:pPr>
    </w:lvl>
  </w:abstractNum>
  <w:abstractNum w:abstractNumId="5" w15:restartNumberingAfterBreak="0">
    <w:nsid w:val="08903A98"/>
    <w:multiLevelType w:val="hybridMultilevel"/>
    <w:tmpl w:val="0D98CB9A"/>
    <w:lvl w:ilvl="0" w:tplc="88246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13339"/>
    <w:multiLevelType w:val="hybridMultilevel"/>
    <w:tmpl w:val="883E5C7C"/>
    <w:lvl w:ilvl="0" w:tplc="F194624E">
      <w:start w:val="59"/>
      <w:numFmt w:val="bullet"/>
      <w:lvlText w:val="-"/>
      <w:lvlJc w:val="left"/>
      <w:pPr>
        <w:ind w:left="720" w:hanging="360"/>
      </w:pPr>
      <w:rPr>
        <w:rFonts w:ascii="Arial" w:eastAsia="DejaVu Sans"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ECB28BC"/>
    <w:multiLevelType w:val="hybridMultilevel"/>
    <w:tmpl w:val="EBA4B7C4"/>
    <w:lvl w:ilvl="0" w:tplc="4EEAE7EA">
      <w:start w:val="1"/>
      <w:numFmt w:val="bullet"/>
      <w:lvlText w:val=""/>
      <w:lvlJc w:val="left"/>
      <w:pPr>
        <w:ind w:left="720" w:hanging="360"/>
      </w:pPr>
      <w:rPr>
        <w:rFonts w:ascii="Symbol" w:hAnsi="Symbol" w:hint="default"/>
      </w:rPr>
    </w:lvl>
    <w:lvl w:ilvl="1" w:tplc="961C395E">
      <w:start w:val="1"/>
      <w:numFmt w:val="bullet"/>
      <w:lvlText w:val="o"/>
      <w:lvlJc w:val="left"/>
      <w:pPr>
        <w:ind w:left="1440" w:hanging="360"/>
      </w:pPr>
      <w:rPr>
        <w:rFonts w:ascii="Courier New" w:hAnsi="Courier New" w:cs="Courier New" w:hint="default"/>
      </w:rPr>
    </w:lvl>
    <w:lvl w:ilvl="2" w:tplc="14BA6BF8">
      <w:start w:val="1"/>
      <w:numFmt w:val="bullet"/>
      <w:lvlText w:val=""/>
      <w:lvlJc w:val="left"/>
      <w:pPr>
        <w:ind w:left="2160" w:hanging="360"/>
      </w:pPr>
      <w:rPr>
        <w:rFonts w:ascii="Wingdings" w:hAnsi="Wingdings" w:hint="default"/>
      </w:rPr>
    </w:lvl>
    <w:lvl w:ilvl="3" w:tplc="72964E6E">
      <w:start w:val="1"/>
      <w:numFmt w:val="bullet"/>
      <w:lvlText w:val=""/>
      <w:lvlJc w:val="left"/>
      <w:pPr>
        <w:ind w:left="2880" w:hanging="360"/>
      </w:pPr>
      <w:rPr>
        <w:rFonts w:ascii="Symbol" w:hAnsi="Symbol" w:hint="default"/>
      </w:rPr>
    </w:lvl>
    <w:lvl w:ilvl="4" w:tplc="52D2D49C">
      <w:start w:val="1"/>
      <w:numFmt w:val="bullet"/>
      <w:lvlText w:val="o"/>
      <w:lvlJc w:val="left"/>
      <w:pPr>
        <w:ind w:left="3600" w:hanging="360"/>
      </w:pPr>
      <w:rPr>
        <w:rFonts w:ascii="Courier New" w:hAnsi="Courier New" w:cs="Courier New" w:hint="default"/>
      </w:rPr>
    </w:lvl>
    <w:lvl w:ilvl="5" w:tplc="036CAB20">
      <w:start w:val="1"/>
      <w:numFmt w:val="bullet"/>
      <w:lvlText w:val=""/>
      <w:lvlJc w:val="left"/>
      <w:pPr>
        <w:ind w:left="4320" w:hanging="360"/>
      </w:pPr>
      <w:rPr>
        <w:rFonts w:ascii="Wingdings" w:hAnsi="Wingdings" w:hint="default"/>
      </w:rPr>
    </w:lvl>
    <w:lvl w:ilvl="6" w:tplc="921CB1A8">
      <w:start w:val="1"/>
      <w:numFmt w:val="bullet"/>
      <w:lvlText w:val=""/>
      <w:lvlJc w:val="left"/>
      <w:pPr>
        <w:ind w:left="5040" w:hanging="360"/>
      </w:pPr>
      <w:rPr>
        <w:rFonts w:ascii="Symbol" w:hAnsi="Symbol" w:hint="default"/>
      </w:rPr>
    </w:lvl>
    <w:lvl w:ilvl="7" w:tplc="1278E404">
      <w:start w:val="1"/>
      <w:numFmt w:val="bullet"/>
      <w:lvlText w:val="o"/>
      <w:lvlJc w:val="left"/>
      <w:pPr>
        <w:ind w:left="5760" w:hanging="360"/>
      </w:pPr>
      <w:rPr>
        <w:rFonts w:ascii="Courier New" w:hAnsi="Courier New" w:cs="Courier New" w:hint="default"/>
      </w:rPr>
    </w:lvl>
    <w:lvl w:ilvl="8" w:tplc="31B083EC">
      <w:start w:val="1"/>
      <w:numFmt w:val="bullet"/>
      <w:lvlText w:val=""/>
      <w:lvlJc w:val="left"/>
      <w:pPr>
        <w:ind w:left="6480" w:hanging="360"/>
      </w:pPr>
      <w:rPr>
        <w:rFonts w:ascii="Wingdings" w:hAnsi="Wingdings" w:hint="default"/>
      </w:rPr>
    </w:lvl>
  </w:abstractNum>
  <w:abstractNum w:abstractNumId="8" w15:restartNumberingAfterBreak="0">
    <w:nsid w:val="147914A7"/>
    <w:multiLevelType w:val="hybridMultilevel"/>
    <w:tmpl w:val="195EB15A"/>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FB52DD"/>
    <w:multiLevelType w:val="hybridMultilevel"/>
    <w:tmpl w:val="6568AFAA"/>
    <w:lvl w:ilvl="0" w:tplc="C37295A2">
      <w:start w:val="1"/>
      <w:numFmt w:val="bullet"/>
      <w:lvlText w:val=""/>
      <w:lvlJc w:val="left"/>
      <w:pPr>
        <w:ind w:left="1380" w:hanging="360"/>
      </w:pPr>
      <w:rPr>
        <w:rFonts w:ascii="Symbol" w:hAnsi="Symbol"/>
      </w:rPr>
    </w:lvl>
    <w:lvl w:ilvl="1" w:tplc="FD2C24C6">
      <w:start w:val="1"/>
      <w:numFmt w:val="bullet"/>
      <w:lvlText w:val=""/>
      <w:lvlJc w:val="left"/>
      <w:pPr>
        <w:ind w:left="1380" w:hanging="360"/>
      </w:pPr>
      <w:rPr>
        <w:rFonts w:ascii="Symbol" w:hAnsi="Symbol"/>
      </w:rPr>
    </w:lvl>
    <w:lvl w:ilvl="2" w:tplc="366E71D4">
      <w:start w:val="1"/>
      <w:numFmt w:val="bullet"/>
      <w:lvlText w:val=""/>
      <w:lvlJc w:val="left"/>
      <w:pPr>
        <w:ind w:left="1380" w:hanging="360"/>
      </w:pPr>
      <w:rPr>
        <w:rFonts w:ascii="Symbol" w:hAnsi="Symbol"/>
      </w:rPr>
    </w:lvl>
    <w:lvl w:ilvl="3" w:tplc="66009A56">
      <w:start w:val="1"/>
      <w:numFmt w:val="bullet"/>
      <w:lvlText w:val=""/>
      <w:lvlJc w:val="left"/>
      <w:pPr>
        <w:ind w:left="1380" w:hanging="360"/>
      </w:pPr>
      <w:rPr>
        <w:rFonts w:ascii="Symbol" w:hAnsi="Symbol"/>
      </w:rPr>
    </w:lvl>
    <w:lvl w:ilvl="4" w:tplc="4F68B250">
      <w:start w:val="1"/>
      <w:numFmt w:val="bullet"/>
      <w:lvlText w:val=""/>
      <w:lvlJc w:val="left"/>
      <w:pPr>
        <w:ind w:left="1380" w:hanging="360"/>
      </w:pPr>
      <w:rPr>
        <w:rFonts w:ascii="Symbol" w:hAnsi="Symbol"/>
      </w:rPr>
    </w:lvl>
    <w:lvl w:ilvl="5" w:tplc="1D327C30">
      <w:start w:val="1"/>
      <w:numFmt w:val="bullet"/>
      <w:lvlText w:val=""/>
      <w:lvlJc w:val="left"/>
      <w:pPr>
        <w:ind w:left="1380" w:hanging="360"/>
      </w:pPr>
      <w:rPr>
        <w:rFonts w:ascii="Symbol" w:hAnsi="Symbol"/>
      </w:rPr>
    </w:lvl>
    <w:lvl w:ilvl="6" w:tplc="BBA08E74">
      <w:start w:val="1"/>
      <w:numFmt w:val="bullet"/>
      <w:lvlText w:val=""/>
      <w:lvlJc w:val="left"/>
      <w:pPr>
        <w:ind w:left="1380" w:hanging="360"/>
      </w:pPr>
      <w:rPr>
        <w:rFonts w:ascii="Symbol" w:hAnsi="Symbol"/>
      </w:rPr>
    </w:lvl>
    <w:lvl w:ilvl="7" w:tplc="82C66FB8">
      <w:start w:val="1"/>
      <w:numFmt w:val="bullet"/>
      <w:lvlText w:val=""/>
      <w:lvlJc w:val="left"/>
      <w:pPr>
        <w:ind w:left="1380" w:hanging="360"/>
      </w:pPr>
      <w:rPr>
        <w:rFonts w:ascii="Symbol" w:hAnsi="Symbol"/>
      </w:rPr>
    </w:lvl>
    <w:lvl w:ilvl="8" w:tplc="65A8718E">
      <w:start w:val="1"/>
      <w:numFmt w:val="bullet"/>
      <w:lvlText w:val=""/>
      <w:lvlJc w:val="left"/>
      <w:pPr>
        <w:ind w:left="1380" w:hanging="360"/>
      </w:pPr>
      <w:rPr>
        <w:rFonts w:ascii="Symbol" w:hAnsi="Symbol"/>
      </w:rPr>
    </w:lvl>
  </w:abstractNum>
  <w:abstractNum w:abstractNumId="10" w15:restartNumberingAfterBreak="0">
    <w:nsid w:val="195B7A9A"/>
    <w:multiLevelType w:val="hybridMultilevel"/>
    <w:tmpl w:val="64C2BF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541CC2"/>
    <w:multiLevelType w:val="multilevel"/>
    <w:tmpl w:val="A1E2FA6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F3E4578"/>
    <w:multiLevelType w:val="hybridMultilevel"/>
    <w:tmpl w:val="8794BE34"/>
    <w:lvl w:ilvl="0" w:tplc="562670AE">
      <w:start w:val="1"/>
      <w:numFmt w:val="bullet"/>
      <w:lvlText w:val=""/>
      <w:lvlJc w:val="left"/>
      <w:pPr>
        <w:ind w:left="720" w:hanging="360"/>
      </w:pPr>
      <w:rPr>
        <w:rFonts w:ascii="Symbol" w:hAnsi="Symbol" w:hint="default"/>
      </w:rPr>
    </w:lvl>
    <w:lvl w:ilvl="1" w:tplc="3E106A08">
      <w:start w:val="1"/>
      <w:numFmt w:val="bullet"/>
      <w:lvlText w:val="o"/>
      <w:lvlJc w:val="left"/>
      <w:pPr>
        <w:ind w:left="1440" w:hanging="360"/>
      </w:pPr>
      <w:rPr>
        <w:rFonts w:ascii="Courier New" w:hAnsi="Courier New" w:cs="Courier New" w:hint="default"/>
      </w:rPr>
    </w:lvl>
    <w:lvl w:ilvl="2" w:tplc="2324907E">
      <w:start w:val="1"/>
      <w:numFmt w:val="bullet"/>
      <w:lvlText w:val=""/>
      <w:lvlJc w:val="left"/>
      <w:pPr>
        <w:ind w:left="2160" w:hanging="360"/>
      </w:pPr>
      <w:rPr>
        <w:rFonts w:ascii="Wingdings" w:hAnsi="Wingdings" w:hint="default"/>
      </w:rPr>
    </w:lvl>
    <w:lvl w:ilvl="3" w:tplc="C2C207FC">
      <w:start w:val="1"/>
      <w:numFmt w:val="bullet"/>
      <w:lvlText w:val=""/>
      <w:lvlJc w:val="left"/>
      <w:pPr>
        <w:ind w:left="2880" w:hanging="360"/>
      </w:pPr>
      <w:rPr>
        <w:rFonts w:ascii="Symbol" w:hAnsi="Symbol" w:hint="default"/>
      </w:rPr>
    </w:lvl>
    <w:lvl w:ilvl="4" w:tplc="AEAEF634">
      <w:start w:val="1"/>
      <w:numFmt w:val="bullet"/>
      <w:lvlText w:val="o"/>
      <w:lvlJc w:val="left"/>
      <w:pPr>
        <w:ind w:left="3600" w:hanging="360"/>
      </w:pPr>
      <w:rPr>
        <w:rFonts w:ascii="Courier New" w:hAnsi="Courier New" w:cs="Courier New" w:hint="default"/>
      </w:rPr>
    </w:lvl>
    <w:lvl w:ilvl="5" w:tplc="EBA4A580">
      <w:start w:val="1"/>
      <w:numFmt w:val="bullet"/>
      <w:lvlText w:val=""/>
      <w:lvlJc w:val="left"/>
      <w:pPr>
        <w:ind w:left="4320" w:hanging="360"/>
      </w:pPr>
      <w:rPr>
        <w:rFonts w:ascii="Wingdings" w:hAnsi="Wingdings" w:hint="default"/>
      </w:rPr>
    </w:lvl>
    <w:lvl w:ilvl="6" w:tplc="B28AF198">
      <w:start w:val="1"/>
      <w:numFmt w:val="bullet"/>
      <w:lvlText w:val=""/>
      <w:lvlJc w:val="left"/>
      <w:pPr>
        <w:ind w:left="5040" w:hanging="360"/>
      </w:pPr>
      <w:rPr>
        <w:rFonts w:ascii="Symbol" w:hAnsi="Symbol" w:hint="default"/>
      </w:rPr>
    </w:lvl>
    <w:lvl w:ilvl="7" w:tplc="F8961910">
      <w:start w:val="1"/>
      <w:numFmt w:val="bullet"/>
      <w:lvlText w:val="o"/>
      <w:lvlJc w:val="left"/>
      <w:pPr>
        <w:ind w:left="5760" w:hanging="360"/>
      </w:pPr>
      <w:rPr>
        <w:rFonts w:ascii="Courier New" w:hAnsi="Courier New" w:cs="Courier New" w:hint="default"/>
      </w:rPr>
    </w:lvl>
    <w:lvl w:ilvl="8" w:tplc="CC265086">
      <w:start w:val="1"/>
      <w:numFmt w:val="bullet"/>
      <w:lvlText w:val=""/>
      <w:lvlJc w:val="left"/>
      <w:pPr>
        <w:ind w:left="6480" w:hanging="360"/>
      </w:pPr>
      <w:rPr>
        <w:rFonts w:ascii="Wingdings" w:hAnsi="Wingdings" w:hint="default"/>
      </w:rPr>
    </w:lvl>
  </w:abstractNum>
  <w:abstractNum w:abstractNumId="13" w15:restartNumberingAfterBreak="0">
    <w:nsid w:val="21834614"/>
    <w:multiLevelType w:val="hybridMultilevel"/>
    <w:tmpl w:val="6AE2E3F2"/>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F621E5"/>
    <w:multiLevelType w:val="hybridMultilevel"/>
    <w:tmpl w:val="FA5A19E8"/>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25265656"/>
    <w:multiLevelType w:val="hybridMultilevel"/>
    <w:tmpl w:val="CFB25FD6"/>
    <w:lvl w:ilvl="0" w:tplc="48A698A4">
      <w:start w:val="2"/>
      <w:numFmt w:val="decimal"/>
      <w:lvlText w:val="%1."/>
      <w:lvlJc w:val="left"/>
      <w:pPr>
        <w:tabs>
          <w:tab w:val="num" w:pos="720"/>
        </w:tabs>
        <w:ind w:left="720" w:hanging="360"/>
      </w:pPr>
    </w:lvl>
    <w:lvl w:ilvl="1" w:tplc="3DCE822A">
      <w:start w:val="1"/>
      <w:numFmt w:val="decimal"/>
      <w:lvlText w:val="%2."/>
      <w:lvlJc w:val="left"/>
      <w:pPr>
        <w:tabs>
          <w:tab w:val="num" w:pos="1440"/>
        </w:tabs>
        <w:ind w:left="1440" w:hanging="360"/>
      </w:pPr>
    </w:lvl>
    <w:lvl w:ilvl="2" w:tplc="FA1CBD62">
      <w:start w:val="1"/>
      <w:numFmt w:val="decimal"/>
      <w:lvlText w:val="%3."/>
      <w:lvlJc w:val="left"/>
      <w:pPr>
        <w:tabs>
          <w:tab w:val="num" w:pos="2160"/>
        </w:tabs>
        <w:ind w:left="2160" w:hanging="360"/>
      </w:pPr>
    </w:lvl>
    <w:lvl w:ilvl="3" w:tplc="EC38B4DC">
      <w:start w:val="1"/>
      <w:numFmt w:val="decimal"/>
      <w:lvlText w:val="%4."/>
      <w:lvlJc w:val="left"/>
      <w:pPr>
        <w:tabs>
          <w:tab w:val="num" w:pos="2880"/>
        </w:tabs>
        <w:ind w:left="2880" w:hanging="360"/>
      </w:pPr>
    </w:lvl>
    <w:lvl w:ilvl="4" w:tplc="D14E52E4">
      <w:start w:val="1"/>
      <w:numFmt w:val="decimal"/>
      <w:lvlText w:val="%5."/>
      <w:lvlJc w:val="left"/>
      <w:pPr>
        <w:tabs>
          <w:tab w:val="num" w:pos="3600"/>
        </w:tabs>
        <w:ind w:left="3600" w:hanging="360"/>
      </w:pPr>
    </w:lvl>
    <w:lvl w:ilvl="5" w:tplc="85BACAFC">
      <w:start w:val="1"/>
      <w:numFmt w:val="decimal"/>
      <w:lvlText w:val="%6."/>
      <w:lvlJc w:val="left"/>
      <w:pPr>
        <w:tabs>
          <w:tab w:val="num" w:pos="4320"/>
        </w:tabs>
        <w:ind w:left="4320" w:hanging="360"/>
      </w:pPr>
    </w:lvl>
    <w:lvl w:ilvl="6" w:tplc="D584CF8C">
      <w:start w:val="1"/>
      <w:numFmt w:val="decimal"/>
      <w:lvlText w:val="%7."/>
      <w:lvlJc w:val="left"/>
      <w:pPr>
        <w:tabs>
          <w:tab w:val="num" w:pos="5040"/>
        </w:tabs>
        <w:ind w:left="5040" w:hanging="360"/>
      </w:pPr>
    </w:lvl>
    <w:lvl w:ilvl="7" w:tplc="EC9CA3E2">
      <w:start w:val="1"/>
      <w:numFmt w:val="decimal"/>
      <w:lvlText w:val="%8."/>
      <w:lvlJc w:val="left"/>
      <w:pPr>
        <w:tabs>
          <w:tab w:val="num" w:pos="5760"/>
        </w:tabs>
        <w:ind w:left="5760" w:hanging="360"/>
      </w:pPr>
    </w:lvl>
    <w:lvl w:ilvl="8" w:tplc="7D62A138">
      <w:start w:val="1"/>
      <w:numFmt w:val="decimal"/>
      <w:lvlText w:val="%9."/>
      <w:lvlJc w:val="left"/>
      <w:pPr>
        <w:tabs>
          <w:tab w:val="num" w:pos="6480"/>
        </w:tabs>
        <w:ind w:left="6480" w:hanging="360"/>
      </w:pPr>
    </w:lvl>
  </w:abstractNum>
  <w:abstractNum w:abstractNumId="17" w15:restartNumberingAfterBreak="0">
    <w:nsid w:val="266E041C"/>
    <w:multiLevelType w:val="hybridMultilevel"/>
    <w:tmpl w:val="A2949D16"/>
    <w:lvl w:ilvl="0" w:tplc="86DC19EE">
      <w:start w:val="4"/>
      <w:numFmt w:val="decimal"/>
      <w:lvlText w:val="%1."/>
      <w:lvlJc w:val="left"/>
      <w:pPr>
        <w:tabs>
          <w:tab w:val="num" w:pos="720"/>
        </w:tabs>
        <w:ind w:left="720" w:hanging="360"/>
      </w:pPr>
    </w:lvl>
    <w:lvl w:ilvl="1" w:tplc="33E8D1D0">
      <w:start w:val="1"/>
      <w:numFmt w:val="decimal"/>
      <w:lvlText w:val="%2."/>
      <w:lvlJc w:val="left"/>
      <w:pPr>
        <w:tabs>
          <w:tab w:val="num" w:pos="1440"/>
        </w:tabs>
        <w:ind w:left="1440" w:hanging="360"/>
      </w:pPr>
    </w:lvl>
    <w:lvl w:ilvl="2" w:tplc="A3E29400">
      <w:start w:val="1"/>
      <w:numFmt w:val="decimal"/>
      <w:lvlText w:val="%3."/>
      <w:lvlJc w:val="left"/>
      <w:pPr>
        <w:tabs>
          <w:tab w:val="num" w:pos="2160"/>
        </w:tabs>
        <w:ind w:left="2160" w:hanging="360"/>
      </w:pPr>
    </w:lvl>
    <w:lvl w:ilvl="3" w:tplc="5F3CE7DE">
      <w:start w:val="1"/>
      <w:numFmt w:val="decimal"/>
      <w:lvlText w:val="%4."/>
      <w:lvlJc w:val="left"/>
      <w:pPr>
        <w:tabs>
          <w:tab w:val="num" w:pos="2880"/>
        </w:tabs>
        <w:ind w:left="2880" w:hanging="360"/>
      </w:pPr>
    </w:lvl>
    <w:lvl w:ilvl="4" w:tplc="EC249E36">
      <w:start w:val="1"/>
      <w:numFmt w:val="decimal"/>
      <w:lvlText w:val="%5."/>
      <w:lvlJc w:val="left"/>
      <w:pPr>
        <w:tabs>
          <w:tab w:val="num" w:pos="3600"/>
        </w:tabs>
        <w:ind w:left="3600" w:hanging="360"/>
      </w:pPr>
    </w:lvl>
    <w:lvl w:ilvl="5" w:tplc="227A1B54">
      <w:start w:val="1"/>
      <w:numFmt w:val="decimal"/>
      <w:lvlText w:val="%6."/>
      <w:lvlJc w:val="left"/>
      <w:pPr>
        <w:tabs>
          <w:tab w:val="num" w:pos="4320"/>
        </w:tabs>
        <w:ind w:left="4320" w:hanging="360"/>
      </w:pPr>
    </w:lvl>
    <w:lvl w:ilvl="6" w:tplc="CF2C7FFC">
      <w:start w:val="1"/>
      <w:numFmt w:val="decimal"/>
      <w:lvlText w:val="%7."/>
      <w:lvlJc w:val="left"/>
      <w:pPr>
        <w:tabs>
          <w:tab w:val="num" w:pos="5040"/>
        </w:tabs>
        <w:ind w:left="5040" w:hanging="360"/>
      </w:pPr>
    </w:lvl>
    <w:lvl w:ilvl="7" w:tplc="4FACD5CA">
      <w:start w:val="1"/>
      <w:numFmt w:val="decimal"/>
      <w:lvlText w:val="%8."/>
      <w:lvlJc w:val="left"/>
      <w:pPr>
        <w:tabs>
          <w:tab w:val="num" w:pos="5760"/>
        </w:tabs>
        <w:ind w:left="5760" w:hanging="360"/>
      </w:pPr>
    </w:lvl>
    <w:lvl w:ilvl="8" w:tplc="64E29294">
      <w:start w:val="1"/>
      <w:numFmt w:val="decimal"/>
      <w:lvlText w:val="%9."/>
      <w:lvlJc w:val="left"/>
      <w:pPr>
        <w:tabs>
          <w:tab w:val="num" w:pos="6480"/>
        </w:tabs>
        <w:ind w:left="6480" w:hanging="360"/>
      </w:pPr>
    </w:lvl>
  </w:abstractNum>
  <w:abstractNum w:abstractNumId="18" w15:restartNumberingAfterBreak="0">
    <w:nsid w:val="2C876D64"/>
    <w:multiLevelType w:val="hybridMultilevel"/>
    <w:tmpl w:val="A5AC2AD8"/>
    <w:lvl w:ilvl="0" w:tplc="FFFFFFFF">
      <w:start w:val="1"/>
      <w:numFmt w:val="decimal"/>
      <w:pStyle w:val="List"/>
      <w:lvlText w:val="%1."/>
      <w:lvlJc w:val="left"/>
      <w:pPr>
        <w:tabs>
          <w:tab w:val="num" w:pos="2138"/>
        </w:tabs>
        <w:ind w:left="2138" w:hanging="360"/>
      </w:pPr>
    </w:lvl>
    <w:lvl w:ilvl="1" w:tplc="FFFFFFFF">
      <w:start w:val="1"/>
      <w:numFmt w:val="lowerLetter"/>
      <w:lvlText w:val="%2."/>
      <w:lvlJc w:val="left"/>
      <w:pPr>
        <w:tabs>
          <w:tab w:val="num" w:pos="2858"/>
        </w:tabs>
        <w:ind w:left="2858" w:hanging="360"/>
      </w:pPr>
    </w:lvl>
    <w:lvl w:ilvl="2" w:tplc="FFFFFFFF">
      <w:start w:val="1"/>
      <w:numFmt w:val="lowerRoman"/>
      <w:lvlText w:val="%3."/>
      <w:lvlJc w:val="right"/>
      <w:pPr>
        <w:tabs>
          <w:tab w:val="num" w:pos="3578"/>
        </w:tabs>
        <w:ind w:left="3578" w:hanging="180"/>
      </w:pPr>
    </w:lvl>
    <w:lvl w:ilvl="3" w:tplc="FFFFFFFF">
      <w:start w:val="1"/>
      <w:numFmt w:val="decimal"/>
      <w:lvlText w:val="%4."/>
      <w:lvlJc w:val="left"/>
      <w:pPr>
        <w:tabs>
          <w:tab w:val="num" w:pos="4298"/>
        </w:tabs>
        <w:ind w:left="4298" w:hanging="360"/>
      </w:pPr>
    </w:lvl>
    <w:lvl w:ilvl="4" w:tplc="FFFFFFFF">
      <w:start w:val="1"/>
      <w:numFmt w:val="lowerLetter"/>
      <w:lvlText w:val="%5."/>
      <w:lvlJc w:val="left"/>
      <w:pPr>
        <w:tabs>
          <w:tab w:val="num" w:pos="5018"/>
        </w:tabs>
        <w:ind w:left="5018" w:hanging="360"/>
      </w:pPr>
    </w:lvl>
    <w:lvl w:ilvl="5" w:tplc="FFFFFFFF">
      <w:start w:val="1"/>
      <w:numFmt w:val="lowerRoman"/>
      <w:lvlText w:val="%6."/>
      <w:lvlJc w:val="right"/>
      <w:pPr>
        <w:tabs>
          <w:tab w:val="num" w:pos="5738"/>
        </w:tabs>
        <w:ind w:left="5738" w:hanging="180"/>
      </w:pPr>
    </w:lvl>
    <w:lvl w:ilvl="6" w:tplc="FFFFFFFF">
      <w:start w:val="1"/>
      <w:numFmt w:val="decimal"/>
      <w:lvlText w:val="%7."/>
      <w:lvlJc w:val="left"/>
      <w:pPr>
        <w:tabs>
          <w:tab w:val="num" w:pos="6458"/>
        </w:tabs>
        <w:ind w:left="6458" w:hanging="360"/>
      </w:pPr>
    </w:lvl>
    <w:lvl w:ilvl="7" w:tplc="FFFFFFFF">
      <w:start w:val="1"/>
      <w:numFmt w:val="lowerLetter"/>
      <w:lvlText w:val="%8."/>
      <w:lvlJc w:val="left"/>
      <w:pPr>
        <w:tabs>
          <w:tab w:val="num" w:pos="7178"/>
        </w:tabs>
        <w:ind w:left="7178" w:hanging="360"/>
      </w:pPr>
    </w:lvl>
    <w:lvl w:ilvl="8" w:tplc="FFFFFFFF">
      <w:start w:val="1"/>
      <w:numFmt w:val="lowerRoman"/>
      <w:lvlText w:val="%9."/>
      <w:lvlJc w:val="right"/>
      <w:pPr>
        <w:tabs>
          <w:tab w:val="num" w:pos="7898"/>
        </w:tabs>
        <w:ind w:left="7898" w:hanging="180"/>
      </w:pPr>
    </w:lvl>
  </w:abstractNum>
  <w:abstractNum w:abstractNumId="19" w15:restartNumberingAfterBreak="0">
    <w:nsid w:val="2D8E68D3"/>
    <w:multiLevelType w:val="hybridMultilevel"/>
    <w:tmpl w:val="96B6348A"/>
    <w:lvl w:ilvl="0" w:tplc="3A82F6B2">
      <w:numFmt w:val="bullet"/>
      <w:lvlText w:val="-"/>
      <w:lvlJc w:val="left"/>
      <w:pPr>
        <w:ind w:left="720" w:hanging="360"/>
      </w:pPr>
      <w:rPr>
        <w:rFonts w:ascii="Georgia" w:eastAsia="Calibri" w:hAnsi="Georg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E2A3334"/>
    <w:multiLevelType w:val="multilevel"/>
    <w:tmpl w:val="3280D6E0"/>
    <w:lvl w:ilvl="0">
      <w:start w:val="1"/>
      <w:numFmt w:val="lowerLetter"/>
      <w:lvlText w:val="%1)"/>
      <w:lvlJc w:val="left"/>
      <w:pPr>
        <w:ind w:left="720" w:hanging="360"/>
      </w:pPr>
      <w:rPr>
        <w:rFonts w:ascii="Georgia" w:eastAsiaTheme="minorHAnsi" w:hAnsi="Georgia" w:cstheme="minorBidi"/>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0E32CDF"/>
    <w:multiLevelType w:val="hybridMultilevel"/>
    <w:tmpl w:val="D0004B14"/>
    <w:lvl w:ilvl="0" w:tplc="15BA0052">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130001">
      <w:start w:val="1"/>
      <w:numFmt w:val="bullet"/>
      <w:lvlText w:val=""/>
      <w:lvlJc w:val="left"/>
      <w:pPr>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4D61DE"/>
    <w:multiLevelType w:val="hybridMultilevel"/>
    <w:tmpl w:val="AFE8F684"/>
    <w:lvl w:ilvl="0" w:tplc="C586208A">
      <w:start w:val="1"/>
      <w:numFmt w:val="bullet"/>
      <w:lvlText w:val=""/>
      <w:lvlJc w:val="left"/>
      <w:pPr>
        <w:ind w:left="360" w:hanging="360"/>
      </w:pPr>
      <w:rPr>
        <w:rFonts w:ascii="Symbol" w:hAnsi="Symbol" w:hint="default"/>
      </w:rPr>
    </w:lvl>
    <w:lvl w:ilvl="1" w:tplc="B4884B6A">
      <w:start w:val="1"/>
      <w:numFmt w:val="bullet"/>
      <w:lvlText w:val="o"/>
      <w:lvlJc w:val="left"/>
      <w:pPr>
        <w:ind w:left="1080" w:hanging="360"/>
      </w:pPr>
      <w:rPr>
        <w:rFonts w:ascii="Courier New" w:hAnsi="Courier New" w:cs="Courier New" w:hint="default"/>
      </w:rPr>
    </w:lvl>
    <w:lvl w:ilvl="2" w:tplc="717AEF36">
      <w:start w:val="1"/>
      <w:numFmt w:val="bullet"/>
      <w:lvlText w:val=""/>
      <w:lvlJc w:val="left"/>
      <w:pPr>
        <w:ind w:left="1800" w:hanging="360"/>
      </w:pPr>
      <w:rPr>
        <w:rFonts w:ascii="Wingdings" w:hAnsi="Wingdings" w:hint="default"/>
      </w:rPr>
    </w:lvl>
    <w:lvl w:ilvl="3" w:tplc="6B52C258">
      <w:start w:val="1"/>
      <w:numFmt w:val="bullet"/>
      <w:lvlText w:val=""/>
      <w:lvlJc w:val="left"/>
      <w:pPr>
        <w:ind w:left="2520" w:hanging="360"/>
      </w:pPr>
      <w:rPr>
        <w:rFonts w:ascii="Symbol" w:hAnsi="Symbol" w:hint="default"/>
      </w:rPr>
    </w:lvl>
    <w:lvl w:ilvl="4" w:tplc="2AA0C01C">
      <w:start w:val="1"/>
      <w:numFmt w:val="bullet"/>
      <w:lvlText w:val="o"/>
      <w:lvlJc w:val="left"/>
      <w:pPr>
        <w:ind w:left="3240" w:hanging="360"/>
      </w:pPr>
      <w:rPr>
        <w:rFonts w:ascii="Courier New" w:hAnsi="Courier New" w:cs="Courier New" w:hint="default"/>
      </w:rPr>
    </w:lvl>
    <w:lvl w:ilvl="5" w:tplc="8CF62160">
      <w:start w:val="1"/>
      <w:numFmt w:val="bullet"/>
      <w:lvlText w:val=""/>
      <w:lvlJc w:val="left"/>
      <w:pPr>
        <w:ind w:left="3960" w:hanging="360"/>
      </w:pPr>
      <w:rPr>
        <w:rFonts w:ascii="Wingdings" w:hAnsi="Wingdings" w:hint="default"/>
      </w:rPr>
    </w:lvl>
    <w:lvl w:ilvl="6" w:tplc="A8320C6C">
      <w:start w:val="1"/>
      <w:numFmt w:val="bullet"/>
      <w:lvlText w:val=""/>
      <w:lvlJc w:val="left"/>
      <w:pPr>
        <w:ind w:left="4680" w:hanging="360"/>
      </w:pPr>
      <w:rPr>
        <w:rFonts w:ascii="Symbol" w:hAnsi="Symbol" w:hint="default"/>
      </w:rPr>
    </w:lvl>
    <w:lvl w:ilvl="7" w:tplc="076C1C64">
      <w:start w:val="1"/>
      <w:numFmt w:val="bullet"/>
      <w:lvlText w:val="o"/>
      <w:lvlJc w:val="left"/>
      <w:pPr>
        <w:ind w:left="5400" w:hanging="360"/>
      </w:pPr>
      <w:rPr>
        <w:rFonts w:ascii="Courier New" w:hAnsi="Courier New" w:cs="Courier New" w:hint="default"/>
      </w:rPr>
    </w:lvl>
    <w:lvl w:ilvl="8" w:tplc="8BE8AF40">
      <w:start w:val="1"/>
      <w:numFmt w:val="bullet"/>
      <w:lvlText w:val=""/>
      <w:lvlJc w:val="left"/>
      <w:pPr>
        <w:ind w:left="6120" w:hanging="360"/>
      </w:pPr>
      <w:rPr>
        <w:rFonts w:ascii="Wingdings" w:hAnsi="Wingdings" w:hint="default"/>
      </w:rPr>
    </w:lvl>
  </w:abstractNum>
  <w:abstractNum w:abstractNumId="23"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A953CE"/>
    <w:multiLevelType w:val="hybridMultilevel"/>
    <w:tmpl w:val="7A48A10E"/>
    <w:lvl w:ilvl="0" w:tplc="4640600A">
      <w:start w:val="1"/>
      <w:numFmt w:val="bullet"/>
      <w:lvlText w:val=""/>
      <w:lvlJc w:val="left"/>
      <w:pPr>
        <w:ind w:left="720" w:hanging="360"/>
      </w:pPr>
      <w:rPr>
        <w:rFonts w:ascii="Symbol" w:hAnsi="Symbol" w:hint="default"/>
      </w:rPr>
    </w:lvl>
    <w:lvl w:ilvl="1" w:tplc="B9268008">
      <w:start w:val="1"/>
      <w:numFmt w:val="bullet"/>
      <w:lvlText w:val="o"/>
      <w:lvlJc w:val="left"/>
      <w:pPr>
        <w:ind w:left="1440" w:hanging="360"/>
      </w:pPr>
      <w:rPr>
        <w:rFonts w:ascii="Courier New" w:hAnsi="Courier New" w:cs="Courier New" w:hint="default"/>
      </w:rPr>
    </w:lvl>
    <w:lvl w:ilvl="2" w:tplc="28021F50">
      <w:start w:val="1"/>
      <w:numFmt w:val="bullet"/>
      <w:lvlText w:val=""/>
      <w:lvlJc w:val="left"/>
      <w:pPr>
        <w:ind w:left="2160" w:hanging="360"/>
      </w:pPr>
      <w:rPr>
        <w:rFonts w:ascii="Wingdings" w:hAnsi="Wingdings" w:hint="default"/>
      </w:rPr>
    </w:lvl>
    <w:lvl w:ilvl="3" w:tplc="B76E6D1C">
      <w:start w:val="1"/>
      <w:numFmt w:val="bullet"/>
      <w:lvlText w:val=""/>
      <w:lvlJc w:val="left"/>
      <w:pPr>
        <w:ind w:left="2880" w:hanging="360"/>
      </w:pPr>
      <w:rPr>
        <w:rFonts w:ascii="Symbol" w:hAnsi="Symbol" w:hint="default"/>
      </w:rPr>
    </w:lvl>
    <w:lvl w:ilvl="4" w:tplc="544A2070">
      <w:start w:val="1"/>
      <w:numFmt w:val="bullet"/>
      <w:lvlText w:val="o"/>
      <w:lvlJc w:val="left"/>
      <w:pPr>
        <w:ind w:left="3600" w:hanging="360"/>
      </w:pPr>
      <w:rPr>
        <w:rFonts w:ascii="Courier New" w:hAnsi="Courier New" w:cs="Courier New" w:hint="default"/>
      </w:rPr>
    </w:lvl>
    <w:lvl w:ilvl="5" w:tplc="ED5C7658">
      <w:start w:val="1"/>
      <w:numFmt w:val="bullet"/>
      <w:lvlText w:val=""/>
      <w:lvlJc w:val="left"/>
      <w:pPr>
        <w:ind w:left="4320" w:hanging="360"/>
      </w:pPr>
      <w:rPr>
        <w:rFonts w:ascii="Wingdings" w:hAnsi="Wingdings" w:hint="default"/>
      </w:rPr>
    </w:lvl>
    <w:lvl w:ilvl="6" w:tplc="6DAE17F6">
      <w:start w:val="1"/>
      <w:numFmt w:val="bullet"/>
      <w:lvlText w:val=""/>
      <w:lvlJc w:val="left"/>
      <w:pPr>
        <w:ind w:left="5040" w:hanging="360"/>
      </w:pPr>
      <w:rPr>
        <w:rFonts w:ascii="Symbol" w:hAnsi="Symbol" w:hint="default"/>
      </w:rPr>
    </w:lvl>
    <w:lvl w:ilvl="7" w:tplc="A86015FE">
      <w:start w:val="1"/>
      <w:numFmt w:val="bullet"/>
      <w:lvlText w:val="o"/>
      <w:lvlJc w:val="left"/>
      <w:pPr>
        <w:ind w:left="5760" w:hanging="360"/>
      </w:pPr>
      <w:rPr>
        <w:rFonts w:ascii="Courier New" w:hAnsi="Courier New" w:cs="Courier New" w:hint="default"/>
      </w:rPr>
    </w:lvl>
    <w:lvl w:ilvl="8" w:tplc="197C2566">
      <w:start w:val="1"/>
      <w:numFmt w:val="bullet"/>
      <w:lvlText w:val=""/>
      <w:lvlJc w:val="left"/>
      <w:pPr>
        <w:ind w:left="6480" w:hanging="360"/>
      </w:pPr>
      <w:rPr>
        <w:rFonts w:ascii="Wingdings" w:hAnsi="Wingdings" w:hint="default"/>
      </w:rPr>
    </w:lvl>
  </w:abstractNum>
  <w:abstractNum w:abstractNumId="25" w15:restartNumberingAfterBreak="0">
    <w:nsid w:val="35B77A9F"/>
    <w:multiLevelType w:val="hybridMultilevel"/>
    <w:tmpl w:val="2DE065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3DBD2CB2"/>
    <w:multiLevelType w:val="hybridMultilevel"/>
    <w:tmpl w:val="C9428F5A"/>
    <w:lvl w:ilvl="0" w:tplc="FFFFFFFF">
      <w:start w:val="1"/>
      <w:numFmt w:val="decimal"/>
      <w:lvlText w:val="%1)"/>
      <w:lvlJc w:val="left"/>
      <w:pPr>
        <w:ind w:left="1505" w:hanging="360"/>
      </w:pPr>
      <w:rPr>
        <w:rFonts w:hint="default"/>
      </w:rPr>
    </w:lvl>
    <w:lvl w:ilvl="1" w:tplc="FFFFFFFF" w:tentative="1">
      <w:start w:val="1"/>
      <w:numFmt w:val="lowerLetter"/>
      <w:lvlText w:val="%2."/>
      <w:lvlJc w:val="left"/>
      <w:pPr>
        <w:ind w:left="2225" w:hanging="360"/>
      </w:pPr>
    </w:lvl>
    <w:lvl w:ilvl="2" w:tplc="FFFFFFFF" w:tentative="1">
      <w:start w:val="1"/>
      <w:numFmt w:val="lowerRoman"/>
      <w:lvlText w:val="%3."/>
      <w:lvlJc w:val="right"/>
      <w:pPr>
        <w:ind w:left="294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4385" w:hanging="360"/>
      </w:pPr>
    </w:lvl>
    <w:lvl w:ilvl="5" w:tplc="FFFFFFFF" w:tentative="1">
      <w:start w:val="1"/>
      <w:numFmt w:val="lowerRoman"/>
      <w:lvlText w:val="%6."/>
      <w:lvlJc w:val="right"/>
      <w:pPr>
        <w:ind w:left="5105" w:hanging="180"/>
      </w:pPr>
    </w:lvl>
    <w:lvl w:ilvl="6" w:tplc="FFFFFFFF" w:tentative="1">
      <w:start w:val="1"/>
      <w:numFmt w:val="decimal"/>
      <w:lvlText w:val="%7."/>
      <w:lvlJc w:val="left"/>
      <w:pPr>
        <w:ind w:left="5825" w:hanging="360"/>
      </w:pPr>
    </w:lvl>
    <w:lvl w:ilvl="7" w:tplc="FFFFFFFF" w:tentative="1">
      <w:start w:val="1"/>
      <w:numFmt w:val="lowerLetter"/>
      <w:lvlText w:val="%8."/>
      <w:lvlJc w:val="left"/>
      <w:pPr>
        <w:ind w:left="6545" w:hanging="360"/>
      </w:pPr>
    </w:lvl>
    <w:lvl w:ilvl="8" w:tplc="FFFFFFFF" w:tentative="1">
      <w:start w:val="1"/>
      <w:numFmt w:val="lowerRoman"/>
      <w:lvlText w:val="%9."/>
      <w:lvlJc w:val="right"/>
      <w:pPr>
        <w:ind w:left="7265" w:hanging="180"/>
      </w:pPr>
    </w:lvl>
  </w:abstractNum>
  <w:abstractNum w:abstractNumId="27" w15:restartNumberingAfterBreak="0">
    <w:nsid w:val="3EA20253"/>
    <w:multiLevelType w:val="hybridMultilevel"/>
    <w:tmpl w:val="6366C14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45354C4D"/>
    <w:multiLevelType w:val="hybridMultilevel"/>
    <w:tmpl w:val="CDB6787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5812AA"/>
    <w:multiLevelType w:val="hybridMultilevel"/>
    <w:tmpl w:val="91A61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4C52BE"/>
    <w:multiLevelType w:val="multilevel"/>
    <w:tmpl w:val="2C6A5F38"/>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7B3661"/>
    <w:multiLevelType w:val="hybridMultilevel"/>
    <w:tmpl w:val="EBEC7B4E"/>
    <w:lvl w:ilvl="0" w:tplc="F194624E">
      <w:start w:val="59"/>
      <w:numFmt w:val="bullet"/>
      <w:lvlText w:val="-"/>
      <w:lvlJc w:val="left"/>
      <w:pPr>
        <w:ind w:left="720" w:hanging="360"/>
      </w:pPr>
      <w:rPr>
        <w:rFonts w:ascii="Arial" w:eastAsia="DejaVu Sans"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2" w15:restartNumberingAfterBreak="0">
    <w:nsid w:val="4DF159F2"/>
    <w:multiLevelType w:val="hybridMultilevel"/>
    <w:tmpl w:val="2736B0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E2518A6"/>
    <w:multiLevelType w:val="hybridMultilevel"/>
    <w:tmpl w:val="BEE60C3E"/>
    <w:lvl w:ilvl="0" w:tplc="13169556">
      <w:start w:val="1"/>
      <w:numFmt w:val="bullet"/>
      <w:lvlText w:val=""/>
      <w:lvlJc w:val="left"/>
      <w:pPr>
        <w:ind w:left="720" w:hanging="360"/>
      </w:pPr>
      <w:rPr>
        <w:rFonts w:ascii="Symbol" w:hAnsi="Symbol" w:hint="default"/>
      </w:rPr>
    </w:lvl>
    <w:lvl w:ilvl="1" w:tplc="B37C4B10">
      <w:start w:val="1"/>
      <w:numFmt w:val="bullet"/>
      <w:lvlText w:val="o"/>
      <w:lvlJc w:val="left"/>
      <w:pPr>
        <w:ind w:left="1440" w:hanging="360"/>
      </w:pPr>
      <w:rPr>
        <w:rFonts w:ascii="Courier New" w:hAnsi="Courier New" w:cs="Courier New" w:hint="default"/>
      </w:rPr>
    </w:lvl>
    <w:lvl w:ilvl="2" w:tplc="399C98B8">
      <w:start w:val="1"/>
      <w:numFmt w:val="bullet"/>
      <w:lvlText w:val=""/>
      <w:lvlJc w:val="left"/>
      <w:pPr>
        <w:ind w:left="2160" w:hanging="360"/>
      </w:pPr>
      <w:rPr>
        <w:rFonts w:ascii="Wingdings" w:hAnsi="Wingdings" w:hint="default"/>
      </w:rPr>
    </w:lvl>
    <w:lvl w:ilvl="3" w:tplc="71880494">
      <w:start w:val="1"/>
      <w:numFmt w:val="bullet"/>
      <w:lvlText w:val=""/>
      <w:lvlJc w:val="left"/>
      <w:pPr>
        <w:ind w:left="2880" w:hanging="360"/>
      </w:pPr>
      <w:rPr>
        <w:rFonts w:ascii="Symbol" w:hAnsi="Symbol" w:hint="default"/>
      </w:rPr>
    </w:lvl>
    <w:lvl w:ilvl="4" w:tplc="EBAA9D04">
      <w:start w:val="1"/>
      <w:numFmt w:val="bullet"/>
      <w:lvlText w:val="o"/>
      <w:lvlJc w:val="left"/>
      <w:pPr>
        <w:ind w:left="3600" w:hanging="360"/>
      </w:pPr>
      <w:rPr>
        <w:rFonts w:ascii="Courier New" w:hAnsi="Courier New" w:cs="Courier New" w:hint="default"/>
      </w:rPr>
    </w:lvl>
    <w:lvl w:ilvl="5" w:tplc="07F47266">
      <w:start w:val="1"/>
      <w:numFmt w:val="bullet"/>
      <w:lvlText w:val=""/>
      <w:lvlJc w:val="left"/>
      <w:pPr>
        <w:ind w:left="4320" w:hanging="360"/>
      </w:pPr>
      <w:rPr>
        <w:rFonts w:ascii="Wingdings" w:hAnsi="Wingdings" w:hint="default"/>
      </w:rPr>
    </w:lvl>
    <w:lvl w:ilvl="6" w:tplc="10A29502">
      <w:start w:val="1"/>
      <w:numFmt w:val="bullet"/>
      <w:lvlText w:val=""/>
      <w:lvlJc w:val="left"/>
      <w:pPr>
        <w:ind w:left="5040" w:hanging="360"/>
      </w:pPr>
      <w:rPr>
        <w:rFonts w:ascii="Symbol" w:hAnsi="Symbol" w:hint="default"/>
      </w:rPr>
    </w:lvl>
    <w:lvl w:ilvl="7" w:tplc="19C87BBA">
      <w:start w:val="1"/>
      <w:numFmt w:val="bullet"/>
      <w:lvlText w:val="o"/>
      <w:lvlJc w:val="left"/>
      <w:pPr>
        <w:ind w:left="5760" w:hanging="360"/>
      </w:pPr>
      <w:rPr>
        <w:rFonts w:ascii="Courier New" w:hAnsi="Courier New" w:cs="Courier New" w:hint="default"/>
      </w:rPr>
    </w:lvl>
    <w:lvl w:ilvl="8" w:tplc="136C5A98">
      <w:start w:val="1"/>
      <w:numFmt w:val="bullet"/>
      <w:lvlText w:val=""/>
      <w:lvlJc w:val="left"/>
      <w:pPr>
        <w:ind w:left="6480" w:hanging="360"/>
      </w:pPr>
      <w:rPr>
        <w:rFonts w:ascii="Wingdings" w:hAnsi="Wingdings" w:hint="default"/>
      </w:rPr>
    </w:lvl>
  </w:abstractNum>
  <w:abstractNum w:abstractNumId="34" w15:restartNumberingAfterBreak="0">
    <w:nsid w:val="529A165A"/>
    <w:multiLevelType w:val="hybridMultilevel"/>
    <w:tmpl w:val="FCD4FF7C"/>
    <w:lvl w:ilvl="0" w:tplc="080C0017">
      <w:start w:val="1"/>
      <w:numFmt w:val="lowerLetter"/>
      <w:lvlText w:val="%1)"/>
      <w:lvlJc w:val="left"/>
      <w:pPr>
        <w:ind w:left="720" w:hanging="360"/>
      </w:pPr>
      <w:rPr>
        <w:rFonts w:hint="default"/>
      </w:rPr>
    </w:lvl>
    <w:lvl w:ilvl="1" w:tplc="080C0005">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6D026A1"/>
    <w:multiLevelType w:val="hybridMultilevel"/>
    <w:tmpl w:val="44003A46"/>
    <w:lvl w:ilvl="0" w:tplc="FF307614">
      <w:start w:val="1"/>
      <w:numFmt w:val="bullet"/>
      <w:lvlText w:val=""/>
      <w:lvlJc w:val="left"/>
      <w:pPr>
        <w:ind w:left="720" w:hanging="360"/>
      </w:pPr>
      <w:rPr>
        <w:rFonts w:ascii="Symbol" w:hAnsi="Symbol" w:hint="default"/>
      </w:rPr>
    </w:lvl>
    <w:lvl w:ilvl="1" w:tplc="71346842">
      <w:start w:val="1"/>
      <w:numFmt w:val="bullet"/>
      <w:lvlText w:val="o"/>
      <w:lvlJc w:val="left"/>
      <w:pPr>
        <w:ind w:left="1440" w:hanging="360"/>
      </w:pPr>
      <w:rPr>
        <w:rFonts w:ascii="Courier New" w:hAnsi="Courier New" w:cs="Courier New" w:hint="default"/>
      </w:rPr>
    </w:lvl>
    <w:lvl w:ilvl="2" w:tplc="3A7E57D4">
      <w:start w:val="1"/>
      <w:numFmt w:val="bullet"/>
      <w:lvlText w:val=""/>
      <w:lvlJc w:val="left"/>
      <w:pPr>
        <w:ind w:left="2160" w:hanging="360"/>
      </w:pPr>
      <w:rPr>
        <w:rFonts w:ascii="Wingdings" w:hAnsi="Wingdings" w:hint="default"/>
      </w:rPr>
    </w:lvl>
    <w:lvl w:ilvl="3" w:tplc="CEE47C72">
      <w:start w:val="1"/>
      <w:numFmt w:val="bullet"/>
      <w:lvlText w:val=""/>
      <w:lvlJc w:val="left"/>
      <w:pPr>
        <w:ind w:left="2880" w:hanging="360"/>
      </w:pPr>
      <w:rPr>
        <w:rFonts w:ascii="Symbol" w:hAnsi="Symbol" w:hint="default"/>
      </w:rPr>
    </w:lvl>
    <w:lvl w:ilvl="4" w:tplc="B6B8423A">
      <w:start w:val="1"/>
      <w:numFmt w:val="bullet"/>
      <w:lvlText w:val="o"/>
      <w:lvlJc w:val="left"/>
      <w:pPr>
        <w:ind w:left="3600" w:hanging="360"/>
      </w:pPr>
      <w:rPr>
        <w:rFonts w:ascii="Courier New" w:hAnsi="Courier New" w:cs="Courier New" w:hint="default"/>
      </w:rPr>
    </w:lvl>
    <w:lvl w:ilvl="5" w:tplc="FA8460EC">
      <w:start w:val="1"/>
      <w:numFmt w:val="bullet"/>
      <w:lvlText w:val=""/>
      <w:lvlJc w:val="left"/>
      <w:pPr>
        <w:ind w:left="4320" w:hanging="360"/>
      </w:pPr>
      <w:rPr>
        <w:rFonts w:ascii="Wingdings" w:hAnsi="Wingdings" w:hint="default"/>
      </w:rPr>
    </w:lvl>
    <w:lvl w:ilvl="6" w:tplc="AB766BFC">
      <w:start w:val="1"/>
      <w:numFmt w:val="bullet"/>
      <w:lvlText w:val=""/>
      <w:lvlJc w:val="left"/>
      <w:pPr>
        <w:ind w:left="5040" w:hanging="360"/>
      </w:pPr>
      <w:rPr>
        <w:rFonts w:ascii="Symbol" w:hAnsi="Symbol" w:hint="default"/>
      </w:rPr>
    </w:lvl>
    <w:lvl w:ilvl="7" w:tplc="33A8004C">
      <w:start w:val="1"/>
      <w:numFmt w:val="bullet"/>
      <w:lvlText w:val="o"/>
      <w:lvlJc w:val="left"/>
      <w:pPr>
        <w:ind w:left="5760" w:hanging="360"/>
      </w:pPr>
      <w:rPr>
        <w:rFonts w:ascii="Courier New" w:hAnsi="Courier New" w:cs="Courier New" w:hint="default"/>
      </w:rPr>
    </w:lvl>
    <w:lvl w:ilvl="8" w:tplc="D2D82F6A">
      <w:start w:val="1"/>
      <w:numFmt w:val="bullet"/>
      <w:lvlText w:val=""/>
      <w:lvlJc w:val="left"/>
      <w:pPr>
        <w:ind w:left="6480" w:hanging="360"/>
      </w:pPr>
      <w:rPr>
        <w:rFonts w:ascii="Wingdings" w:hAnsi="Wingdings" w:hint="default"/>
      </w:rPr>
    </w:lvl>
  </w:abstractNum>
  <w:abstractNum w:abstractNumId="36" w15:restartNumberingAfterBreak="0">
    <w:nsid w:val="592C306A"/>
    <w:multiLevelType w:val="hybridMultilevel"/>
    <w:tmpl w:val="0D3C1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421AFE"/>
    <w:multiLevelType w:val="hybridMultilevel"/>
    <w:tmpl w:val="3FD897B2"/>
    <w:lvl w:ilvl="0" w:tplc="FFFFFFFF">
      <w:start w:val="1"/>
      <w:numFmt w:val="bullet"/>
      <w:lvlText w:val=""/>
      <w:lvlJc w:val="left"/>
      <w:pPr>
        <w:tabs>
          <w:tab w:val="num" w:pos="1224"/>
        </w:tabs>
        <w:ind w:left="1152" w:hanging="288"/>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3646FE"/>
    <w:multiLevelType w:val="multilevel"/>
    <w:tmpl w:val="7BECAE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CAA137E"/>
    <w:multiLevelType w:val="hybridMultilevel"/>
    <w:tmpl w:val="DD6C2D78"/>
    <w:lvl w:ilvl="0" w:tplc="D00A96CC">
      <w:start w:val="1"/>
      <w:numFmt w:val="bullet"/>
      <w:lvlText w:val=""/>
      <w:lvlJc w:val="left"/>
      <w:pPr>
        <w:ind w:left="720" w:hanging="360"/>
      </w:pPr>
      <w:rPr>
        <w:rFonts w:ascii="Symbol" w:hAnsi="Symbol" w:hint="default"/>
      </w:rPr>
    </w:lvl>
    <w:lvl w:ilvl="1" w:tplc="87CAC68E">
      <w:start w:val="1"/>
      <w:numFmt w:val="bullet"/>
      <w:lvlText w:val="o"/>
      <w:lvlJc w:val="left"/>
      <w:pPr>
        <w:ind w:left="1440" w:hanging="360"/>
      </w:pPr>
      <w:rPr>
        <w:rFonts w:ascii="Courier New" w:hAnsi="Courier New" w:cs="Courier New" w:hint="default"/>
      </w:rPr>
    </w:lvl>
    <w:lvl w:ilvl="2" w:tplc="B204EE04">
      <w:start w:val="1"/>
      <w:numFmt w:val="bullet"/>
      <w:lvlText w:val=""/>
      <w:lvlJc w:val="left"/>
      <w:pPr>
        <w:ind w:left="2160" w:hanging="360"/>
      </w:pPr>
      <w:rPr>
        <w:rFonts w:ascii="Wingdings" w:hAnsi="Wingdings" w:hint="default"/>
      </w:rPr>
    </w:lvl>
    <w:lvl w:ilvl="3" w:tplc="98A4716A">
      <w:start w:val="1"/>
      <w:numFmt w:val="bullet"/>
      <w:lvlText w:val=""/>
      <w:lvlJc w:val="left"/>
      <w:pPr>
        <w:ind w:left="2880" w:hanging="360"/>
      </w:pPr>
      <w:rPr>
        <w:rFonts w:ascii="Symbol" w:hAnsi="Symbol" w:hint="default"/>
      </w:rPr>
    </w:lvl>
    <w:lvl w:ilvl="4" w:tplc="9032401C">
      <w:start w:val="1"/>
      <w:numFmt w:val="bullet"/>
      <w:lvlText w:val="o"/>
      <w:lvlJc w:val="left"/>
      <w:pPr>
        <w:ind w:left="3600" w:hanging="360"/>
      </w:pPr>
      <w:rPr>
        <w:rFonts w:ascii="Courier New" w:hAnsi="Courier New" w:cs="Courier New" w:hint="default"/>
      </w:rPr>
    </w:lvl>
    <w:lvl w:ilvl="5" w:tplc="EC5ADE96">
      <w:start w:val="1"/>
      <w:numFmt w:val="bullet"/>
      <w:lvlText w:val=""/>
      <w:lvlJc w:val="left"/>
      <w:pPr>
        <w:ind w:left="4320" w:hanging="360"/>
      </w:pPr>
      <w:rPr>
        <w:rFonts w:ascii="Wingdings" w:hAnsi="Wingdings" w:hint="default"/>
      </w:rPr>
    </w:lvl>
    <w:lvl w:ilvl="6" w:tplc="9BA0CF40">
      <w:start w:val="1"/>
      <w:numFmt w:val="bullet"/>
      <w:lvlText w:val=""/>
      <w:lvlJc w:val="left"/>
      <w:pPr>
        <w:ind w:left="5040" w:hanging="360"/>
      </w:pPr>
      <w:rPr>
        <w:rFonts w:ascii="Symbol" w:hAnsi="Symbol" w:hint="default"/>
      </w:rPr>
    </w:lvl>
    <w:lvl w:ilvl="7" w:tplc="8056C86C">
      <w:start w:val="1"/>
      <w:numFmt w:val="bullet"/>
      <w:lvlText w:val="o"/>
      <w:lvlJc w:val="left"/>
      <w:pPr>
        <w:ind w:left="5760" w:hanging="360"/>
      </w:pPr>
      <w:rPr>
        <w:rFonts w:ascii="Courier New" w:hAnsi="Courier New" w:cs="Courier New" w:hint="default"/>
      </w:rPr>
    </w:lvl>
    <w:lvl w:ilvl="8" w:tplc="675CA348">
      <w:start w:val="1"/>
      <w:numFmt w:val="bullet"/>
      <w:lvlText w:val=""/>
      <w:lvlJc w:val="left"/>
      <w:pPr>
        <w:ind w:left="6480" w:hanging="360"/>
      </w:pPr>
      <w:rPr>
        <w:rFonts w:ascii="Wingdings" w:hAnsi="Wingdings" w:hint="default"/>
      </w:rPr>
    </w:lvl>
  </w:abstractNum>
  <w:abstractNum w:abstractNumId="41" w15:restartNumberingAfterBreak="0">
    <w:nsid w:val="6E450BAC"/>
    <w:multiLevelType w:val="hybridMultilevel"/>
    <w:tmpl w:val="F0581644"/>
    <w:lvl w:ilvl="0" w:tplc="A1522E56">
      <w:start w:val="1"/>
      <w:numFmt w:val="decimal"/>
      <w:lvlText w:val="%1."/>
      <w:lvlJc w:val="left"/>
      <w:pPr>
        <w:ind w:left="770" w:hanging="360"/>
      </w:pPr>
    </w:lvl>
    <w:lvl w:ilvl="1" w:tplc="08130019">
      <w:start w:val="1"/>
      <w:numFmt w:val="lowerLetter"/>
      <w:lvlText w:val="%2."/>
      <w:lvlJc w:val="left"/>
      <w:pPr>
        <w:ind w:left="1490" w:hanging="360"/>
      </w:pPr>
    </w:lvl>
    <w:lvl w:ilvl="2" w:tplc="0813001B">
      <w:start w:val="1"/>
      <w:numFmt w:val="lowerRoman"/>
      <w:lvlText w:val="%3."/>
      <w:lvlJc w:val="right"/>
      <w:pPr>
        <w:ind w:left="2210" w:hanging="180"/>
      </w:pPr>
    </w:lvl>
    <w:lvl w:ilvl="3" w:tplc="0813000F">
      <w:start w:val="1"/>
      <w:numFmt w:val="decimal"/>
      <w:lvlText w:val="%4."/>
      <w:lvlJc w:val="left"/>
      <w:pPr>
        <w:ind w:left="2930" w:hanging="360"/>
      </w:pPr>
    </w:lvl>
    <w:lvl w:ilvl="4" w:tplc="08130019">
      <w:start w:val="1"/>
      <w:numFmt w:val="lowerLetter"/>
      <w:lvlText w:val="%5."/>
      <w:lvlJc w:val="left"/>
      <w:pPr>
        <w:ind w:left="3650" w:hanging="360"/>
      </w:pPr>
    </w:lvl>
    <w:lvl w:ilvl="5" w:tplc="0813001B">
      <w:start w:val="1"/>
      <w:numFmt w:val="lowerRoman"/>
      <w:lvlText w:val="%6."/>
      <w:lvlJc w:val="right"/>
      <w:pPr>
        <w:ind w:left="4370" w:hanging="180"/>
      </w:pPr>
    </w:lvl>
    <w:lvl w:ilvl="6" w:tplc="0813000F">
      <w:start w:val="1"/>
      <w:numFmt w:val="decimal"/>
      <w:lvlText w:val="%7."/>
      <w:lvlJc w:val="left"/>
      <w:pPr>
        <w:ind w:left="5090" w:hanging="360"/>
      </w:pPr>
    </w:lvl>
    <w:lvl w:ilvl="7" w:tplc="08130019">
      <w:start w:val="1"/>
      <w:numFmt w:val="lowerLetter"/>
      <w:lvlText w:val="%8."/>
      <w:lvlJc w:val="left"/>
      <w:pPr>
        <w:ind w:left="5810" w:hanging="360"/>
      </w:pPr>
    </w:lvl>
    <w:lvl w:ilvl="8" w:tplc="0813001B">
      <w:start w:val="1"/>
      <w:numFmt w:val="lowerRoman"/>
      <w:lvlText w:val="%9."/>
      <w:lvlJc w:val="right"/>
      <w:pPr>
        <w:ind w:left="6530" w:hanging="180"/>
      </w:pPr>
    </w:lvl>
  </w:abstractNum>
  <w:abstractNum w:abstractNumId="42" w15:restartNumberingAfterBreak="0">
    <w:nsid w:val="6FCE0599"/>
    <w:multiLevelType w:val="hybridMultilevel"/>
    <w:tmpl w:val="D48EEA56"/>
    <w:lvl w:ilvl="0" w:tplc="A4DC3044">
      <w:start w:val="1"/>
      <w:numFmt w:val="bullet"/>
      <w:lvlText w:val=""/>
      <w:lvlJc w:val="left"/>
      <w:pPr>
        <w:ind w:left="720" w:hanging="360"/>
      </w:pPr>
      <w:rPr>
        <w:rFonts w:ascii="Symbol" w:hAnsi="Symbol"/>
      </w:rPr>
    </w:lvl>
    <w:lvl w:ilvl="1" w:tplc="1CE4C7B6">
      <w:start w:val="1"/>
      <w:numFmt w:val="bullet"/>
      <w:lvlText w:val=""/>
      <w:lvlJc w:val="left"/>
      <w:pPr>
        <w:ind w:left="720" w:hanging="360"/>
      </w:pPr>
      <w:rPr>
        <w:rFonts w:ascii="Symbol" w:hAnsi="Symbol"/>
      </w:rPr>
    </w:lvl>
    <w:lvl w:ilvl="2" w:tplc="27FEC1B2">
      <w:start w:val="1"/>
      <w:numFmt w:val="bullet"/>
      <w:lvlText w:val=""/>
      <w:lvlJc w:val="left"/>
      <w:pPr>
        <w:ind w:left="720" w:hanging="360"/>
      </w:pPr>
      <w:rPr>
        <w:rFonts w:ascii="Symbol" w:hAnsi="Symbol"/>
      </w:rPr>
    </w:lvl>
    <w:lvl w:ilvl="3" w:tplc="74E85970">
      <w:start w:val="1"/>
      <w:numFmt w:val="bullet"/>
      <w:lvlText w:val=""/>
      <w:lvlJc w:val="left"/>
      <w:pPr>
        <w:ind w:left="720" w:hanging="360"/>
      </w:pPr>
      <w:rPr>
        <w:rFonts w:ascii="Symbol" w:hAnsi="Symbol"/>
      </w:rPr>
    </w:lvl>
    <w:lvl w:ilvl="4" w:tplc="A710B574">
      <w:start w:val="1"/>
      <w:numFmt w:val="bullet"/>
      <w:lvlText w:val=""/>
      <w:lvlJc w:val="left"/>
      <w:pPr>
        <w:ind w:left="720" w:hanging="360"/>
      </w:pPr>
      <w:rPr>
        <w:rFonts w:ascii="Symbol" w:hAnsi="Symbol"/>
      </w:rPr>
    </w:lvl>
    <w:lvl w:ilvl="5" w:tplc="9BC2F824">
      <w:start w:val="1"/>
      <w:numFmt w:val="bullet"/>
      <w:lvlText w:val=""/>
      <w:lvlJc w:val="left"/>
      <w:pPr>
        <w:ind w:left="720" w:hanging="360"/>
      </w:pPr>
      <w:rPr>
        <w:rFonts w:ascii="Symbol" w:hAnsi="Symbol"/>
      </w:rPr>
    </w:lvl>
    <w:lvl w:ilvl="6" w:tplc="0E96DA1C">
      <w:start w:val="1"/>
      <w:numFmt w:val="bullet"/>
      <w:lvlText w:val=""/>
      <w:lvlJc w:val="left"/>
      <w:pPr>
        <w:ind w:left="720" w:hanging="360"/>
      </w:pPr>
      <w:rPr>
        <w:rFonts w:ascii="Symbol" w:hAnsi="Symbol"/>
      </w:rPr>
    </w:lvl>
    <w:lvl w:ilvl="7" w:tplc="192C1A78">
      <w:start w:val="1"/>
      <w:numFmt w:val="bullet"/>
      <w:lvlText w:val=""/>
      <w:lvlJc w:val="left"/>
      <w:pPr>
        <w:ind w:left="720" w:hanging="360"/>
      </w:pPr>
      <w:rPr>
        <w:rFonts w:ascii="Symbol" w:hAnsi="Symbol"/>
      </w:rPr>
    </w:lvl>
    <w:lvl w:ilvl="8" w:tplc="AF409B94">
      <w:start w:val="1"/>
      <w:numFmt w:val="bullet"/>
      <w:lvlText w:val=""/>
      <w:lvlJc w:val="left"/>
      <w:pPr>
        <w:ind w:left="720" w:hanging="360"/>
      </w:pPr>
      <w:rPr>
        <w:rFonts w:ascii="Symbol" w:hAnsi="Symbol"/>
      </w:rPr>
    </w:lvl>
  </w:abstractNum>
  <w:abstractNum w:abstractNumId="43" w15:restartNumberingAfterBreak="0">
    <w:nsid w:val="71FE6261"/>
    <w:multiLevelType w:val="hybridMultilevel"/>
    <w:tmpl w:val="CDC0BB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34565AA"/>
    <w:multiLevelType w:val="hybridMultilevel"/>
    <w:tmpl w:val="5CB88AC8"/>
    <w:lvl w:ilvl="0" w:tplc="508A23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5" w15:restartNumberingAfterBreak="0">
    <w:nsid w:val="73746A13"/>
    <w:multiLevelType w:val="hybridMultilevel"/>
    <w:tmpl w:val="41B8A78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6C23585"/>
    <w:multiLevelType w:val="hybridMultilevel"/>
    <w:tmpl w:val="FCD4FF7C"/>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770127CA"/>
    <w:multiLevelType w:val="hybridMultilevel"/>
    <w:tmpl w:val="34F642F8"/>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8" w15:restartNumberingAfterBreak="0">
    <w:nsid w:val="77473C19"/>
    <w:multiLevelType w:val="multilevel"/>
    <w:tmpl w:val="B5FC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95C21F3"/>
    <w:multiLevelType w:val="hybridMultilevel"/>
    <w:tmpl w:val="4EAA45A0"/>
    <w:lvl w:ilvl="0" w:tplc="5A247B7C">
      <w:start w:val="1"/>
      <w:numFmt w:val="bullet"/>
      <w:lvlText w:val=""/>
      <w:lvlJc w:val="left"/>
      <w:pPr>
        <w:ind w:left="720" w:hanging="360"/>
      </w:pPr>
      <w:rPr>
        <w:rFonts w:ascii="Symbol" w:hAnsi="Symbol" w:hint="default"/>
      </w:rPr>
    </w:lvl>
    <w:lvl w:ilvl="1" w:tplc="A9DE4E3A">
      <w:start w:val="1"/>
      <w:numFmt w:val="bullet"/>
      <w:lvlText w:val="o"/>
      <w:lvlJc w:val="left"/>
      <w:pPr>
        <w:ind w:left="1440" w:hanging="360"/>
      </w:pPr>
      <w:rPr>
        <w:rFonts w:ascii="Courier New" w:hAnsi="Courier New" w:cs="Courier New" w:hint="default"/>
      </w:rPr>
    </w:lvl>
    <w:lvl w:ilvl="2" w:tplc="769226C4">
      <w:start w:val="1"/>
      <w:numFmt w:val="bullet"/>
      <w:lvlText w:val=""/>
      <w:lvlJc w:val="left"/>
      <w:pPr>
        <w:ind w:left="2160" w:hanging="360"/>
      </w:pPr>
      <w:rPr>
        <w:rFonts w:ascii="Wingdings" w:hAnsi="Wingdings" w:hint="default"/>
      </w:rPr>
    </w:lvl>
    <w:lvl w:ilvl="3" w:tplc="7ED64EC2">
      <w:start w:val="1"/>
      <w:numFmt w:val="bullet"/>
      <w:lvlText w:val=""/>
      <w:lvlJc w:val="left"/>
      <w:pPr>
        <w:ind w:left="2880" w:hanging="360"/>
      </w:pPr>
      <w:rPr>
        <w:rFonts w:ascii="Symbol" w:hAnsi="Symbol" w:hint="default"/>
      </w:rPr>
    </w:lvl>
    <w:lvl w:ilvl="4" w:tplc="FE162B62">
      <w:start w:val="1"/>
      <w:numFmt w:val="bullet"/>
      <w:lvlText w:val="o"/>
      <w:lvlJc w:val="left"/>
      <w:pPr>
        <w:ind w:left="3600" w:hanging="360"/>
      </w:pPr>
      <w:rPr>
        <w:rFonts w:ascii="Courier New" w:hAnsi="Courier New" w:cs="Courier New" w:hint="default"/>
      </w:rPr>
    </w:lvl>
    <w:lvl w:ilvl="5" w:tplc="9E84C29E">
      <w:start w:val="1"/>
      <w:numFmt w:val="bullet"/>
      <w:lvlText w:val=""/>
      <w:lvlJc w:val="left"/>
      <w:pPr>
        <w:ind w:left="4320" w:hanging="360"/>
      </w:pPr>
      <w:rPr>
        <w:rFonts w:ascii="Wingdings" w:hAnsi="Wingdings" w:hint="default"/>
      </w:rPr>
    </w:lvl>
    <w:lvl w:ilvl="6" w:tplc="9AA4283E">
      <w:start w:val="1"/>
      <w:numFmt w:val="bullet"/>
      <w:lvlText w:val=""/>
      <w:lvlJc w:val="left"/>
      <w:pPr>
        <w:ind w:left="5040" w:hanging="360"/>
      </w:pPr>
      <w:rPr>
        <w:rFonts w:ascii="Symbol" w:hAnsi="Symbol" w:hint="default"/>
      </w:rPr>
    </w:lvl>
    <w:lvl w:ilvl="7" w:tplc="1E343930">
      <w:start w:val="1"/>
      <w:numFmt w:val="bullet"/>
      <w:lvlText w:val="o"/>
      <w:lvlJc w:val="left"/>
      <w:pPr>
        <w:ind w:left="5760" w:hanging="360"/>
      </w:pPr>
      <w:rPr>
        <w:rFonts w:ascii="Courier New" w:hAnsi="Courier New" w:cs="Courier New" w:hint="default"/>
      </w:rPr>
    </w:lvl>
    <w:lvl w:ilvl="8" w:tplc="6E38C66C">
      <w:start w:val="1"/>
      <w:numFmt w:val="bullet"/>
      <w:lvlText w:val=""/>
      <w:lvlJc w:val="left"/>
      <w:pPr>
        <w:ind w:left="6480" w:hanging="360"/>
      </w:pPr>
      <w:rPr>
        <w:rFonts w:ascii="Wingdings" w:hAnsi="Wingdings" w:hint="default"/>
      </w:rPr>
    </w:lvl>
  </w:abstractNum>
  <w:abstractNum w:abstractNumId="50" w15:restartNumberingAfterBreak="0">
    <w:nsid w:val="7A711EE3"/>
    <w:multiLevelType w:val="hybridMultilevel"/>
    <w:tmpl w:val="5E043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CB50E38"/>
    <w:multiLevelType w:val="hybridMultilevel"/>
    <w:tmpl w:val="809414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7F6E68E9"/>
    <w:multiLevelType w:val="hybridMultilevel"/>
    <w:tmpl w:val="F01037FA"/>
    <w:lvl w:ilvl="0" w:tplc="CEFC1F30">
      <w:start w:val="5"/>
      <w:numFmt w:val="decimal"/>
      <w:lvlText w:val="%1."/>
      <w:lvlJc w:val="left"/>
      <w:pPr>
        <w:tabs>
          <w:tab w:val="num" w:pos="720"/>
        </w:tabs>
        <w:ind w:left="720" w:hanging="360"/>
      </w:pPr>
    </w:lvl>
    <w:lvl w:ilvl="1" w:tplc="E66EC8C8">
      <w:start w:val="1"/>
      <w:numFmt w:val="decimal"/>
      <w:lvlText w:val="%2."/>
      <w:lvlJc w:val="left"/>
      <w:pPr>
        <w:tabs>
          <w:tab w:val="num" w:pos="1440"/>
        </w:tabs>
        <w:ind w:left="1440" w:hanging="360"/>
      </w:pPr>
    </w:lvl>
    <w:lvl w:ilvl="2" w:tplc="27DC7F12">
      <w:start w:val="1"/>
      <w:numFmt w:val="decimal"/>
      <w:lvlText w:val="%3."/>
      <w:lvlJc w:val="left"/>
      <w:pPr>
        <w:tabs>
          <w:tab w:val="num" w:pos="2160"/>
        </w:tabs>
        <w:ind w:left="2160" w:hanging="360"/>
      </w:pPr>
    </w:lvl>
    <w:lvl w:ilvl="3" w:tplc="414ECB0A">
      <w:start w:val="1"/>
      <w:numFmt w:val="decimal"/>
      <w:lvlText w:val="%4."/>
      <w:lvlJc w:val="left"/>
      <w:pPr>
        <w:tabs>
          <w:tab w:val="num" w:pos="2880"/>
        </w:tabs>
        <w:ind w:left="2880" w:hanging="360"/>
      </w:pPr>
    </w:lvl>
    <w:lvl w:ilvl="4" w:tplc="DF624FA0">
      <w:start w:val="1"/>
      <w:numFmt w:val="decimal"/>
      <w:lvlText w:val="%5."/>
      <w:lvlJc w:val="left"/>
      <w:pPr>
        <w:tabs>
          <w:tab w:val="num" w:pos="3600"/>
        </w:tabs>
        <w:ind w:left="3600" w:hanging="360"/>
      </w:pPr>
    </w:lvl>
    <w:lvl w:ilvl="5" w:tplc="1BA61BA2">
      <w:start w:val="1"/>
      <w:numFmt w:val="decimal"/>
      <w:lvlText w:val="%6."/>
      <w:lvlJc w:val="left"/>
      <w:pPr>
        <w:tabs>
          <w:tab w:val="num" w:pos="4320"/>
        </w:tabs>
        <w:ind w:left="4320" w:hanging="360"/>
      </w:pPr>
    </w:lvl>
    <w:lvl w:ilvl="6" w:tplc="85DA962A">
      <w:start w:val="1"/>
      <w:numFmt w:val="decimal"/>
      <w:lvlText w:val="%7."/>
      <w:lvlJc w:val="left"/>
      <w:pPr>
        <w:tabs>
          <w:tab w:val="num" w:pos="5040"/>
        </w:tabs>
        <w:ind w:left="5040" w:hanging="360"/>
      </w:pPr>
    </w:lvl>
    <w:lvl w:ilvl="7" w:tplc="6066A4B6">
      <w:start w:val="1"/>
      <w:numFmt w:val="decimal"/>
      <w:lvlText w:val="%8."/>
      <w:lvlJc w:val="left"/>
      <w:pPr>
        <w:tabs>
          <w:tab w:val="num" w:pos="5760"/>
        </w:tabs>
        <w:ind w:left="5760" w:hanging="360"/>
      </w:pPr>
    </w:lvl>
    <w:lvl w:ilvl="8" w:tplc="803E5B42">
      <w:start w:val="1"/>
      <w:numFmt w:val="decimal"/>
      <w:lvlText w:val="%9."/>
      <w:lvlJc w:val="left"/>
      <w:pPr>
        <w:tabs>
          <w:tab w:val="num" w:pos="6480"/>
        </w:tabs>
        <w:ind w:left="6480" w:hanging="360"/>
      </w:pPr>
    </w:lvl>
  </w:abstractNum>
  <w:num w:numId="1" w16cid:durableId="1058474401">
    <w:abstractNumId w:val="38"/>
  </w:num>
  <w:num w:numId="2" w16cid:durableId="162279717">
    <w:abstractNumId w:val="11"/>
  </w:num>
  <w:num w:numId="3" w16cid:durableId="1537618719">
    <w:abstractNumId w:val="36"/>
  </w:num>
  <w:num w:numId="4" w16cid:durableId="1664042080">
    <w:abstractNumId w:val="13"/>
  </w:num>
  <w:num w:numId="5" w16cid:durableId="167065700">
    <w:abstractNumId w:val="8"/>
  </w:num>
  <w:num w:numId="6" w16cid:durableId="421099623">
    <w:abstractNumId w:val="5"/>
  </w:num>
  <w:num w:numId="7" w16cid:durableId="1888443650">
    <w:abstractNumId w:val="50"/>
  </w:num>
  <w:num w:numId="8" w16cid:durableId="2007054201">
    <w:abstractNumId w:val="28"/>
  </w:num>
  <w:num w:numId="9" w16cid:durableId="337852502">
    <w:abstractNumId w:val="10"/>
  </w:num>
  <w:num w:numId="10" w16cid:durableId="937370042">
    <w:abstractNumId w:val="0"/>
  </w:num>
  <w:num w:numId="11" w16cid:durableId="371424068">
    <w:abstractNumId w:val="18"/>
  </w:num>
  <w:num w:numId="12" w16cid:durableId="15985149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190567">
    <w:abstractNumId w:val="2"/>
  </w:num>
  <w:num w:numId="14" w16cid:durableId="1145509381">
    <w:abstractNumId w:val="32"/>
  </w:num>
  <w:num w:numId="15" w16cid:durableId="335888785">
    <w:abstractNumId w:val="23"/>
  </w:num>
  <w:num w:numId="16" w16cid:durableId="1440684581">
    <w:abstractNumId w:val="14"/>
  </w:num>
  <w:num w:numId="17" w16cid:durableId="948702126">
    <w:abstractNumId w:val="21"/>
  </w:num>
  <w:num w:numId="18" w16cid:durableId="1190994047">
    <w:abstractNumId w:val="43"/>
  </w:num>
  <w:num w:numId="19" w16cid:durableId="948664422">
    <w:abstractNumId w:val="25"/>
  </w:num>
  <w:num w:numId="20" w16cid:durableId="512842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512463">
    <w:abstractNumId w:val="27"/>
  </w:num>
  <w:num w:numId="22" w16cid:durableId="10577755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273513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16177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203496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20026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6481633">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433403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780696">
    <w:abstractNumId w:val="19"/>
  </w:num>
  <w:num w:numId="30" w16cid:durableId="617831737">
    <w:abstractNumId w:val="31"/>
  </w:num>
  <w:num w:numId="31" w16cid:durableId="700789495">
    <w:abstractNumId w:val="44"/>
  </w:num>
  <w:num w:numId="32" w16cid:durableId="720591319">
    <w:abstractNumId w:val="37"/>
  </w:num>
  <w:num w:numId="33" w16cid:durableId="1194877273">
    <w:abstractNumId w:val="45"/>
  </w:num>
  <w:num w:numId="34" w16cid:durableId="1721132819">
    <w:abstractNumId w:val="26"/>
  </w:num>
  <w:num w:numId="35" w16cid:durableId="542063016">
    <w:abstractNumId w:val="15"/>
  </w:num>
  <w:num w:numId="36" w16cid:durableId="2040815385">
    <w:abstractNumId w:val="20"/>
  </w:num>
  <w:num w:numId="37" w16cid:durableId="2080983900">
    <w:abstractNumId w:val="29"/>
  </w:num>
  <w:num w:numId="38" w16cid:durableId="1131635920">
    <w:abstractNumId w:val="6"/>
  </w:num>
  <w:num w:numId="39" w16cid:durableId="650403734">
    <w:abstractNumId w:val="22"/>
  </w:num>
  <w:num w:numId="40" w16cid:durableId="218051844">
    <w:abstractNumId w:val="40"/>
  </w:num>
  <w:num w:numId="41" w16cid:durableId="1301031173">
    <w:abstractNumId w:val="49"/>
  </w:num>
  <w:num w:numId="42" w16cid:durableId="1561938292">
    <w:abstractNumId w:val="3"/>
  </w:num>
  <w:num w:numId="43" w16cid:durableId="83654958">
    <w:abstractNumId w:val="35"/>
  </w:num>
  <w:num w:numId="44" w16cid:durableId="1252927886">
    <w:abstractNumId w:val="33"/>
  </w:num>
  <w:num w:numId="45" w16cid:durableId="705720247">
    <w:abstractNumId w:val="7"/>
  </w:num>
  <w:num w:numId="46" w16cid:durableId="770245008">
    <w:abstractNumId w:val="24"/>
  </w:num>
  <w:num w:numId="47" w16cid:durableId="238446833">
    <w:abstractNumId w:val="48"/>
  </w:num>
  <w:num w:numId="48" w16cid:durableId="894858202">
    <w:abstractNumId w:val="30"/>
  </w:num>
  <w:num w:numId="49" w16cid:durableId="1218318288">
    <w:abstractNumId w:val="12"/>
  </w:num>
  <w:num w:numId="50" w16cid:durableId="1034695888">
    <w:abstractNumId w:val="47"/>
  </w:num>
  <w:num w:numId="51" w16cid:durableId="923951333">
    <w:abstractNumId w:val="34"/>
  </w:num>
  <w:num w:numId="52" w16cid:durableId="1803960649">
    <w:abstractNumId w:val="9"/>
  </w:num>
  <w:num w:numId="53" w16cid:durableId="1869221574">
    <w:abstractNumId w:val="46"/>
  </w:num>
  <w:num w:numId="54" w16cid:durableId="828907007">
    <w:abstractNumId w:val="51"/>
  </w:num>
  <w:num w:numId="55" w16cid:durableId="98453364">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EFE"/>
    <w:rsid w:val="00000C5F"/>
    <w:rsid w:val="00002865"/>
    <w:rsid w:val="00003CCA"/>
    <w:rsid w:val="00004290"/>
    <w:rsid w:val="00010D5D"/>
    <w:rsid w:val="00011E28"/>
    <w:rsid w:val="0001339F"/>
    <w:rsid w:val="00013402"/>
    <w:rsid w:val="0001505E"/>
    <w:rsid w:val="00015B14"/>
    <w:rsid w:val="000214EB"/>
    <w:rsid w:val="0002355D"/>
    <w:rsid w:val="00023DA2"/>
    <w:rsid w:val="0002587C"/>
    <w:rsid w:val="00031086"/>
    <w:rsid w:val="00031F3C"/>
    <w:rsid w:val="00033A30"/>
    <w:rsid w:val="0003429A"/>
    <w:rsid w:val="000359EE"/>
    <w:rsid w:val="00036052"/>
    <w:rsid w:val="000371D8"/>
    <w:rsid w:val="000377C6"/>
    <w:rsid w:val="000409D4"/>
    <w:rsid w:val="00041535"/>
    <w:rsid w:val="00042A1B"/>
    <w:rsid w:val="00042B12"/>
    <w:rsid w:val="00042BB2"/>
    <w:rsid w:val="00044FAE"/>
    <w:rsid w:val="0004554D"/>
    <w:rsid w:val="00046C1A"/>
    <w:rsid w:val="000504DA"/>
    <w:rsid w:val="0005146D"/>
    <w:rsid w:val="0005208C"/>
    <w:rsid w:val="00053587"/>
    <w:rsid w:val="0005367B"/>
    <w:rsid w:val="000542D1"/>
    <w:rsid w:val="00054BD8"/>
    <w:rsid w:val="0005512F"/>
    <w:rsid w:val="00055B71"/>
    <w:rsid w:val="00056040"/>
    <w:rsid w:val="000576B2"/>
    <w:rsid w:val="000623A2"/>
    <w:rsid w:val="00063050"/>
    <w:rsid w:val="000640A8"/>
    <w:rsid w:val="00064D0B"/>
    <w:rsid w:val="00065680"/>
    <w:rsid w:val="000667B7"/>
    <w:rsid w:val="00066D6B"/>
    <w:rsid w:val="00067971"/>
    <w:rsid w:val="000679F7"/>
    <w:rsid w:val="00071A2A"/>
    <w:rsid w:val="00072ABB"/>
    <w:rsid w:val="0007493D"/>
    <w:rsid w:val="00074D8A"/>
    <w:rsid w:val="000753B2"/>
    <w:rsid w:val="0007595A"/>
    <w:rsid w:val="00075C28"/>
    <w:rsid w:val="00080FAC"/>
    <w:rsid w:val="000812F5"/>
    <w:rsid w:val="000828F7"/>
    <w:rsid w:val="000832F9"/>
    <w:rsid w:val="000836DD"/>
    <w:rsid w:val="00085BE5"/>
    <w:rsid w:val="00092939"/>
    <w:rsid w:val="0009304E"/>
    <w:rsid w:val="00096208"/>
    <w:rsid w:val="00096B53"/>
    <w:rsid w:val="00097B2D"/>
    <w:rsid w:val="000A01E7"/>
    <w:rsid w:val="000A5016"/>
    <w:rsid w:val="000A5F53"/>
    <w:rsid w:val="000B0797"/>
    <w:rsid w:val="000B08F8"/>
    <w:rsid w:val="000B11FD"/>
    <w:rsid w:val="000B24CC"/>
    <w:rsid w:val="000B3FCE"/>
    <w:rsid w:val="000B48A7"/>
    <w:rsid w:val="000B5C9B"/>
    <w:rsid w:val="000B6948"/>
    <w:rsid w:val="000B7FE2"/>
    <w:rsid w:val="000C14CC"/>
    <w:rsid w:val="000C5242"/>
    <w:rsid w:val="000C524C"/>
    <w:rsid w:val="000C53D6"/>
    <w:rsid w:val="000C5768"/>
    <w:rsid w:val="000C704F"/>
    <w:rsid w:val="000C74A2"/>
    <w:rsid w:val="000C7915"/>
    <w:rsid w:val="000D0691"/>
    <w:rsid w:val="000D1883"/>
    <w:rsid w:val="000D1B41"/>
    <w:rsid w:val="000D2F04"/>
    <w:rsid w:val="000D41C6"/>
    <w:rsid w:val="000E0623"/>
    <w:rsid w:val="000E1767"/>
    <w:rsid w:val="000E3F34"/>
    <w:rsid w:val="000E4027"/>
    <w:rsid w:val="000E488B"/>
    <w:rsid w:val="000F0116"/>
    <w:rsid w:val="000F0383"/>
    <w:rsid w:val="000F09F8"/>
    <w:rsid w:val="000F2352"/>
    <w:rsid w:val="000F295F"/>
    <w:rsid w:val="000F2C5B"/>
    <w:rsid w:val="000F30B8"/>
    <w:rsid w:val="000F4916"/>
    <w:rsid w:val="000F6656"/>
    <w:rsid w:val="000F6BC9"/>
    <w:rsid w:val="000F7346"/>
    <w:rsid w:val="000F738B"/>
    <w:rsid w:val="000F7E52"/>
    <w:rsid w:val="0010146D"/>
    <w:rsid w:val="00102EEB"/>
    <w:rsid w:val="00103446"/>
    <w:rsid w:val="00104D77"/>
    <w:rsid w:val="0010694B"/>
    <w:rsid w:val="001071F4"/>
    <w:rsid w:val="001120DE"/>
    <w:rsid w:val="00112134"/>
    <w:rsid w:val="00115C79"/>
    <w:rsid w:val="00116E9F"/>
    <w:rsid w:val="001204F3"/>
    <w:rsid w:val="0012054E"/>
    <w:rsid w:val="00120E75"/>
    <w:rsid w:val="0012117F"/>
    <w:rsid w:val="0012191C"/>
    <w:rsid w:val="00123974"/>
    <w:rsid w:val="00123F6C"/>
    <w:rsid w:val="00125C88"/>
    <w:rsid w:val="00130211"/>
    <w:rsid w:val="00132AF4"/>
    <w:rsid w:val="001358AF"/>
    <w:rsid w:val="0013597E"/>
    <w:rsid w:val="00140D22"/>
    <w:rsid w:val="001413A9"/>
    <w:rsid w:val="00143836"/>
    <w:rsid w:val="0014383A"/>
    <w:rsid w:val="00144730"/>
    <w:rsid w:val="00145923"/>
    <w:rsid w:val="00146407"/>
    <w:rsid w:val="001477FB"/>
    <w:rsid w:val="00150980"/>
    <w:rsid w:val="00153E59"/>
    <w:rsid w:val="001541B0"/>
    <w:rsid w:val="00154D45"/>
    <w:rsid w:val="00156CAA"/>
    <w:rsid w:val="00157B7F"/>
    <w:rsid w:val="00160338"/>
    <w:rsid w:val="00160659"/>
    <w:rsid w:val="001617AB"/>
    <w:rsid w:val="00161881"/>
    <w:rsid w:val="00161E60"/>
    <w:rsid w:val="0016229F"/>
    <w:rsid w:val="001632B0"/>
    <w:rsid w:val="0016342A"/>
    <w:rsid w:val="00164447"/>
    <w:rsid w:val="00164B93"/>
    <w:rsid w:val="00164F9B"/>
    <w:rsid w:val="00165047"/>
    <w:rsid w:val="00165800"/>
    <w:rsid w:val="00165D07"/>
    <w:rsid w:val="00170C18"/>
    <w:rsid w:val="001714E5"/>
    <w:rsid w:val="001747A5"/>
    <w:rsid w:val="001752CB"/>
    <w:rsid w:val="00176B8A"/>
    <w:rsid w:val="00180CEE"/>
    <w:rsid w:val="00181A74"/>
    <w:rsid w:val="001822FC"/>
    <w:rsid w:val="00182D56"/>
    <w:rsid w:val="00184F9E"/>
    <w:rsid w:val="001854EE"/>
    <w:rsid w:val="001866A7"/>
    <w:rsid w:val="00190014"/>
    <w:rsid w:val="001901BA"/>
    <w:rsid w:val="00190F24"/>
    <w:rsid w:val="00191054"/>
    <w:rsid w:val="0019109F"/>
    <w:rsid w:val="00193A0D"/>
    <w:rsid w:val="00193C35"/>
    <w:rsid w:val="00193F4F"/>
    <w:rsid w:val="00194970"/>
    <w:rsid w:val="00194FDE"/>
    <w:rsid w:val="00195035"/>
    <w:rsid w:val="00195461"/>
    <w:rsid w:val="00195D7E"/>
    <w:rsid w:val="001973EF"/>
    <w:rsid w:val="001A05A8"/>
    <w:rsid w:val="001A11EE"/>
    <w:rsid w:val="001A1F28"/>
    <w:rsid w:val="001B114A"/>
    <w:rsid w:val="001B1D36"/>
    <w:rsid w:val="001B2140"/>
    <w:rsid w:val="001B27A2"/>
    <w:rsid w:val="001B39C9"/>
    <w:rsid w:val="001B3BA6"/>
    <w:rsid w:val="001B4218"/>
    <w:rsid w:val="001B4AE3"/>
    <w:rsid w:val="001B4FB0"/>
    <w:rsid w:val="001C0A40"/>
    <w:rsid w:val="001C1C76"/>
    <w:rsid w:val="001C2D94"/>
    <w:rsid w:val="001C4D69"/>
    <w:rsid w:val="001C6051"/>
    <w:rsid w:val="001C66A1"/>
    <w:rsid w:val="001D1298"/>
    <w:rsid w:val="001D226E"/>
    <w:rsid w:val="001D5859"/>
    <w:rsid w:val="001D6FD0"/>
    <w:rsid w:val="001D7C94"/>
    <w:rsid w:val="001E1FB5"/>
    <w:rsid w:val="001E27F9"/>
    <w:rsid w:val="001E5BA0"/>
    <w:rsid w:val="001F01AE"/>
    <w:rsid w:val="001F059C"/>
    <w:rsid w:val="001F15B7"/>
    <w:rsid w:val="001F1A54"/>
    <w:rsid w:val="001F2A49"/>
    <w:rsid w:val="001F4472"/>
    <w:rsid w:val="001F6002"/>
    <w:rsid w:val="001F6BF6"/>
    <w:rsid w:val="001F7CBD"/>
    <w:rsid w:val="0020012D"/>
    <w:rsid w:val="0020030E"/>
    <w:rsid w:val="00202DFA"/>
    <w:rsid w:val="00203674"/>
    <w:rsid w:val="002039A3"/>
    <w:rsid w:val="00203E6A"/>
    <w:rsid w:val="00203FF6"/>
    <w:rsid w:val="00204189"/>
    <w:rsid w:val="002046E4"/>
    <w:rsid w:val="002050E2"/>
    <w:rsid w:val="00205F93"/>
    <w:rsid w:val="00212368"/>
    <w:rsid w:val="0021254C"/>
    <w:rsid w:val="00212F94"/>
    <w:rsid w:val="00213A63"/>
    <w:rsid w:val="00214624"/>
    <w:rsid w:val="00215DD3"/>
    <w:rsid w:val="00217ACE"/>
    <w:rsid w:val="00217DB6"/>
    <w:rsid w:val="00217EDB"/>
    <w:rsid w:val="0022134F"/>
    <w:rsid w:val="00221AD0"/>
    <w:rsid w:val="00222417"/>
    <w:rsid w:val="0022266F"/>
    <w:rsid w:val="002232F3"/>
    <w:rsid w:val="00224D43"/>
    <w:rsid w:val="00224E17"/>
    <w:rsid w:val="00226911"/>
    <w:rsid w:val="00227D46"/>
    <w:rsid w:val="00230FFF"/>
    <w:rsid w:val="0023105F"/>
    <w:rsid w:val="00233131"/>
    <w:rsid w:val="00233F0B"/>
    <w:rsid w:val="0023678F"/>
    <w:rsid w:val="00240D2F"/>
    <w:rsid w:val="0024166E"/>
    <w:rsid w:val="00242B7D"/>
    <w:rsid w:val="00243751"/>
    <w:rsid w:val="00243A56"/>
    <w:rsid w:val="00243D9A"/>
    <w:rsid w:val="00251977"/>
    <w:rsid w:val="00252444"/>
    <w:rsid w:val="002558C7"/>
    <w:rsid w:val="0025773E"/>
    <w:rsid w:val="00261A70"/>
    <w:rsid w:val="00263B47"/>
    <w:rsid w:val="00264308"/>
    <w:rsid w:val="00265648"/>
    <w:rsid w:val="00266CAB"/>
    <w:rsid w:val="0027193C"/>
    <w:rsid w:val="00271CBE"/>
    <w:rsid w:val="00272D9A"/>
    <w:rsid w:val="0027323C"/>
    <w:rsid w:val="0027453E"/>
    <w:rsid w:val="00275661"/>
    <w:rsid w:val="002773A5"/>
    <w:rsid w:val="00277AB4"/>
    <w:rsid w:val="00280818"/>
    <w:rsid w:val="00281147"/>
    <w:rsid w:val="002816AF"/>
    <w:rsid w:val="00281B3F"/>
    <w:rsid w:val="00281EBA"/>
    <w:rsid w:val="00282284"/>
    <w:rsid w:val="002824A2"/>
    <w:rsid w:val="00282718"/>
    <w:rsid w:val="002832C3"/>
    <w:rsid w:val="00284EB1"/>
    <w:rsid w:val="002901A0"/>
    <w:rsid w:val="002923A2"/>
    <w:rsid w:val="00292F65"/>
    <w:rsid w:val="00297B78"/>
    <w:rsid w:val="002A2933"/>
    <w:rsid w:val="002A4737"/>
    <w:rsid w:val="002A595D"/>
    <w:rsid w:val="002A762C"/>
    <w:rsid w:val="002B0A5F"/>
    <w:rsid w:val="002B1795"/>
    <w:rsid w:val="002B54CC"/>
    <w:rsid w:val="002B5F2D"/>
    <w:rsid w:val="002B60A8"/>
    <w:rsid w:val="002B69BD"/>
    <w:rsid w:val="002B7D5A"/>
    <w:rsid w:val="002C159C"/>
    <w:rsid w:val="002C3015"/>
    <w:rsid w:val="002C4003"/>
    <w:rsid w:val="002C4A24"/>
    <w:rsid w:val="002C54CA"/>
    <w:rsid w:val="002C5BBC"/>
    <w:rsid w:val="002D050D"/>
    <w:rsid w:val="002D0C29"/>
    <w:rsid w:val="002D1DA7"/>
    <w:rsid w:val="002D2B8D"/>
    <w:rsid w:val="002D43B5"/>
    <w:rsid w:val="002D51B2"/>
    <w:rsid w:val="002D5BA6"/>
    <w:rsid w:val="002E05B9"/>
    <w:rsid w:val="002E182D"/>
    <w:rsid w:val="002E1A5B"/>
    <w:rsid w:val="002E26BA"/>
    <w:rsid w:val="002E2B1B"/>
    <w:rsid w:val="002E31EB"/>
    <w:rsid w:val="002E4A27"/>
    <w:rsid w:val="002E6FDA"/>
    <w:rsid w:val="002F0F49"/>
    <w:rsid w:val="002F37A8"/>
    <w:rsid w:val="002F496A"/>
    <w:rsid w:val="002F4DF4"/>
    <w:rsid w:val="002F5A05"/>
    <w:rsid w:val="00300708"/>
    <w:rsid w:val="00300BFC"/>
    <w:rsid w:val="00301BC8"/>
    <w:rsid w:val="003026F8"/>
    <w:rsid w:val="0030296F"/>
    <w:rsid w:val="003115B0"/>
    <w:rsid w:val="00311BB6"/>
    <w:rsid w:val="00311F3E"/>
    <w:rsid w:val="00313844"/>
    <w:rsid w:val="00315A44"/>
    <w:rsid w:val="0031744D"/>
    <w:rsid w:val="00321ACA"/>
    <w:rsid w:val="00323065"/>
    <w:rsid w:val="0032333E"/>
    <w:rsid w:val="00324ABD"/>
    <w:rsid w:val="00326B21"/>
    <w:rsid w:val="00331168"/>
    <w:rsid w:val="003313F4"/>
    <w:rsid w:val="00331DC4"/>
    <w:rsid w:val="00332924"/>
    <w:rsid w:val="00334AAA"/>
    <w:rsid w:val="00341751"/>
    <w:rsid w:val="0034252D"/>
    <w:rsid w:val="00343665"/>
    <w:rsid w:val="003446EB"/>
    <w:rsid w:val="00345752"/>
    <w:rsid w:val="0034581A"/>
    <w:rsid w:val="003461BD"/>
    <w:rsid w:val="0034799E"/>
    <w:rsid w:val="0035100B"/>
    <w:rsid w:val="003535FD"/>
    <w:rsid w:val="00355D23"/>
    <w:rsid w:val="00355F93"/>
    <w:rsid w:val="0035734D"/>
    <w:rsid w:val="00357540"/>
    <w:rsid w:val="00360A4E"/>
    <w:rsid w:val="00362337"/>
    <w:rsid w:val="0036235B"/>
    <w:rsid w:val="00362B4E"/>
    <w:rsid w:val="00363ECA"/>
    <w:rsid w:val="003664E0"/>
    <w:rsid w:val="00366AE7"/>
    <w:rsid w:val="00367799"/>
    <w:rsid w:val="00370BDB"/>
    <w:rsid w:val="00374725"/>
    <w:rsid w:val="003803AC"/>
    <w:rsid w:val="003812F7"/>
    <w:rsid w:val="00382114"/>
    <w:rsid w:val="00383F56"/>
    <w:rsid w:val="00384E3F"/>
    <w:rsid w:val="00385F46"/>
    <w:rsid w:val="00386AAB"/>
    <w:rsid w:val="00386E70"/>
    <w:rsid w:val="00392334"/>
    <w:rsid w:val="003928C7"/>
    <w:rsid w:val="00393A99"/>
    <w:rsid w:val="00394A2C"/>
    <w:rsid w:val="0039684D"/>
    <w:rsid w:val="00397CB9"/>
    <w:rsid w:val="003A1FCB"/>
    <w:rsid w:val="003A260D"/>
    <w:rsid w:val="003A2C56"/>
    <w:rsid w:val="003A34FF"/>
    <w:rsid w:val="003A3C3E"/>
    <w:rsid w:val="003A3E74"/>
    <w:rsid w:val="003A4656"/>
    <w:rsid w:val="003B0144"/>
    <w:rsid w:val="003B39C8"/>
    <w:rsid w:val="003B6401"/>
    <w:rsid w:val="003B652F"/>
    <w:rsid w:val="003B71C4"/>
    <w:rsid w:val="003C06CD"/>
    <w:rsid w:val="003C0B14"/>
    <w:rsid w:val="003C2C19"/>
    <w:rsid w:val="003C5B2F"/>
    <w:rsid w:val="003D2B3B"/>
    <w:rsid w:val="003D511A"/>
    <w:rsid w:val="003D64B3"/>
    <w:rsid w:val="003D6542"/>
    <w:rsid w:val="003D7AFE"/>
    <w:rsid w:val="003D7DD9"/>
    <w:rsid w:val="003E2ACA"/>
    <w:rsid w:val="003E3BDD"/>
    <w:rsid w:val="003F01BD"/>
    <w:rsid w:val="003F0AB5"/>
    <w:rsid w:val="003F36C9"/>
    <w:rsid w:val="003F404E"/>
    <w:rsid w:val="003F6CA8"/>
    <w:rsid w:val="00400390"/>
    <w:rsid w:val="00400A0F"/>
    <w:rsid w:val="00401416"/>
    <w:rsid w:val="004022B3"/>
    <w:rsid w:val="00402C8C"/>
    <w:rsid w:val="004030A6"/>
    <w:rsid w:val="00405B8B"/>
    <w:rsid w:val="0041071C"/>
    <w:rsid w:val="004107E8"/>
    <w:rsid w:val="0041215D"/>
    <w:rsid w:val="004130E4"/>
    <w:rsid w:val="004131AF"/>
    <w:rsid w:val="00413425"/>
    <w:rsid w:val="004145B4"/>
    <w:rsid w:val="00416724"/>
    <w:rsid w:val="00416F4C"/>
    <w:rsid w:val="00420A2A"/>
    <w:rsid w:val="00422120"/>
    <w:rsid w:val="004243DC"/>
    <w:rsid w:val="004248E2"/>
    <w:rsid w:val="004254D1"/>
    <w:rsid w:val="00426760"/>
    <w:rsid w:val="004318DD"/>
    <w:rsid w:val="00431DF6"/>
    <w:rsid w:val="0043290D"/>
    <w:rsid w:val="004329AE"/>
    <w:rsid w:val="00436602"/>
    <w:rsid w:val="004401B6"/>
    <w:rsid w:val="00442B2A"/>
    <w:rsid w:val="00442BE1"/>
    <w:rsid w:val="004435A0"/>
    <w:rsid w:val="00443FFC"/>
    <w:rsid w:val="00444022"/>
    <w:rsid w:val="00447E8B"/>
    <w:rsid w:val="0045318C"/>
    <w:rsid w:val="00454827"/>
    <w:rsid w:val="00454A3C"/>
    <w:rsid w:val="004555B6"/>
    <w:rsid w:val="00455E8A"/>
    <w:rsid w:val="0045638C"/>
    <w:rsid w:val="00460608"/>
    <w:rsid w:val="004615D6"/>
    <w:rsid w:val="0046189F"/>
    <w:rsid w:val="00462FAF"/>
    <w:rsid w:val="004650F1"/>
    <w:rsid w:val="00465177"/>
    <w:rsid w:val="00465280"/>
    <w:rsid w:val="00466C82"/>
    <w:rsid w:val="00466E08"/>
    <w:rsid w:val="0046721F"/>
    <w:rsid w:val="00470B48"/>
    <w:rsid w:val="00470BB2"/>
    <w:rsid w:val="004716C3"/>
    <w:rsid w:val="00473011"/>
    <w:rsid w:val="004768F1"/>
    <w:rsid w:val="00476BFE"/>
    <w:rsid w:val="00476D16"/>
    <w:rsid w:val="00480034"/>
    <w:rsid w:val="0048067D"/>
    <w:rsid w:val="00483555"/>
    <w:rsid w:val="004845D3"/>
    <w:rsid w:val="0048722F"/>
    <w:rsid w:val="00487A3F"/>
    <w:rsid w:val="00490257"/>
    <w:rsid w:val="00492C81"/>
    <w:rsid w:val="00493391"/>
    <w:rsid w:val="00495168"/>
    <w:rsid w:val="00495502"/>
    <w:rsid w:val="004957FA"/>
    <w:rsid w:val="00495FB5"/>
    <w:rsid w:val="004A1CD1"/>
    <w:rsid w:val="004A2941"/>
    <w:rsid w:val="004A459E"/>
    <w:rsid w:val="004B21A6"/>
    <w:rsid w:val="004B23A2"/>
    <w:rsid w:val="004B5180"/>
    <w:rsid w:val="004B7300"/>
    <w:rsid w:val="004B74D8"/>
    <w:rsid w:val="004C0294"/>
    <w:rsid w:val="004C0753"/>
    <w:rsid w:val="004C1056"/>
    <w:rsid w:val="004C3C0C"/>
    <w:rsid w:val="004C709F"/>
    <w:rsid w:val="004C724D"/>
    <w:rsid w:val="004C7DCF"/>
    <w:rsid w:val="004D695E"/>
    <w:rsid w:val="004D69E4"/>
    <w:rsid w:val="004D707A"/>
    <w:rsid w:val="004E1B9E"/>
    <w:rsid w:val="004E4802"/>
    <w:rsid w:val="004F327F"/>
    <w:rsid w:val="004F5B68"/>
    <w:rsid w:val="004F5EC5"/>
    <w:rsid w:val="004F6D53"/>
    <w:rsid w:val="00503055"/>
    <w:rsid w:val="005035D9"/>
    <w:rsid w:val="00503D7C"/>
    <w:rsid w:val="00506640"/>
    <w:rsid w:val="00512C6B"/>
    <w:rsid w:val="00517FEB"/>
    <w:rsid w:val="00524906"/>
    <w:rsid w:val="0052583C"/>
    <w:rsid w:val="0052591D"/>
    <w:rsid w:val="00525F3A"/>
    <w:rsid w:val="0053045A"/>
    <w:rsid w:val="00531194"/>
    <w:rsid w:val="0053261D"/>
    <w:rsid w:val="00532E77"/>
    <w:rsid w:val="005333CF"/>
    <w:rsid w:val="0053427F"/>
    <w:rsid w:val="00535E12"/>
    <w:rsid w:val="005369D6"/>
    <w:rsid w:val="00536C49"/>
    <w:rsid w:val="00536F44"/>
    <w:rsid w:val="00537A49"/>
    <w:rsid w:val="00541250"/>
    <w:rsid w:val="00542E04"/>
    <w:rsid w:val="00542F48"/>
    <w:rsid w:val="005441CA"/>
    <w:rsid w:val="00550E20"/>
    <w:rsid w:val="00551626"/>
    <w:rsid w:val="00553B68"/>
    <w:rsid w:val="005554C1"/>
    <w:rsid w:val="00557219"/>
    <w:rsid w:val="005574E5"/>
    <w:rsid w:val="00564611"/>
    <w:rsid w:val="00570A09"/>
    <w:rsid w:val="005710B7"/>
    <w:rsid w:val="00571938"/>
    <w:rsid w:val="0057243F"/>
    <w:rsid w:val="00573991"/>
    <w:rsid w:val="005745B4"/>
    <w:rsid w:val="00574E96"/>
    <w:rsid w:val="00575E97"/>
    <w:rsid w:val="00576219"/>
    <w:rsid w:val="00580B6F"/>
    <w:rsid w:val="00581373"/>
    <w:rsid w:val="005825C6"/>
    <w:rsid w:val="005850B3"/>
    <w:rsid w:val="0058776D"/>
    <w:rsid w:val="00592D52"/>
    <w:rsid w:val="00593372"/>
    <w:rsid w:val="0059441B"/>
    <w:rsid w:val="005975EE"/>
    <w:rsid w:val="0059776B"/>
    <w:rsid w:val="005A0D0F"/>
    <w:rsid w:val="005A1731"/>
    <w:rsid w:val="005A2942"/>
    <w:rsid w:val="005A3C1F"/>
    <w:rsid w:val="005A556D"/>
    <w:rsid w:val="005B1EC5"/>
    <w:rsid w:val="005B424B"/>
    <w:rsid w:val="005B4F1A"/>
    <w:rsid w:val="005B7854"/>
    <w:rsid w:val="005B7D75"/>
    <w:rsid w:val="005C0995"/>
    <w:rsid w:val="005C1A35"/>
    <w:rsid w:val="005C3B36"/>
    <w:rsid w:val="005C71F2"/>
    <w:rsid w:val="005C75AF"/>
    <w:rsid w:val="005C7958"/>
    <w:rsid w:val="005D080C"/>
    <w:rsid w:val="005D1858"/>
    <w:rsid w:val="005D1C02"/>
    <w:rsid w:val="005D1DB7"/>
    <w:rsid w:val="005D2F0A"/>
    <w:rsid w:val="005D3B5A"/>
    <w:rsid w:val="005D3EC6"/>
    <w:rsid w:val="005D496C"/>
    <w:rsid w:val="005D6AD2"/>
    <w:rsid w:val="005E198B"/>
    <w:rsid w:val="005E62B1"/>
    <w:rsid w:val="005E6837"/>
    <w:rsid w:val="005F0D05"/>
    <w:rsid w:val="005F186D"/>
    <w:rsid w:val="005F4706"/>
    <w:rsid w:val="005F7219"/>
    <w:rsid w:val="006003A8"/>
    <w:rsid w:val="00600DA7"/>
    <w:rsid w:val="00600F2B"/>
    <w:rsid w:val="006013C9"/>
    <w:rsid w:val="00605E28"/>
    <w:rsid w:val="006063B9"/>
    <w:rsid w:val="00611868"/>
    <w:rsid w:val="00612EFE"/>
    <w:rsid w:val="0061487E"/>
    <w:rsid w:val="006166B1"/>
    <w:rsid w:val="0061689B"/>
    <w:rsid w:val="00616ED1"/>
    <w:rsid w:val="006215E9"/>
    <w:rsid w:val="00624F93"/>
    <w:rsid w:val="006261C9"/>
    <w:rsid w:val="00626827"/>
    <w:rsid w:val="00626A93"/>
    <w:rsid w:val="006272A9"/>
    <w:rsid w:val="00630AF1"/>
    <w:rsid w:val="00631801"/>
    <w:rsid w:val="00632EAC"/>
    <w:rsid w:val="00635146"/>
    <w:rsid w:val="00637AF2"/>
    <w:rsid w:val="00640A42"/>
    <w:rsid w:val="0064155E"/>
    <w:rsid w:val="00643722"/>
    <w:rsid w:val="00643E60"/>
    <w:rsid w:val="0064646F"/>
    <w:rsid w:val="00647F18"/>
    <w:rsid w:val="00650762"/>
    <w:rsid w:val="00651116"/>
    <w:rsid w:val="00655D48"/>
    <w:rsid w:val="00655FFC"/>
    <w:rsid w:val="00656285"/>
    <w:rsid w:val="006600F6"/>
    <w:rsid w:val="0066022D"/>
    <w:rsid w:val="00664293"/>
    <w:rsid w:val="00665E6A"/>
    <w:rsid w:val="0066766D"/>
    <w:rsid w:val="006728E0"/>
    <w:rsid w:val="00674103"/>
    <w:rsid w:val="006742F8"/>
    <w:rsid w:val="00674866"/>
    <w:rsid w:val="00675396"/>
    <w:rsid w:val="00675AB9"/>
    <w:rsid w:val="00677B4E"/>
    <w:rsid w:val="006802A0"/>
    <w:rsid w:val="00682A6B"/>
    <w:rsid w:val="00686806"/>
    <w:rsid w:val="00686C75"/>
    <w:rsid w:val="00686E8E"/>
    <w:rsid w:val="00687835"/>
    <w:rsid w:val="00690B8A"/>
    <w:rsid w:val="00692E72"/>
    <w:rsid w:val="00692F91"/>
    <w:rsid w:val="006968B3"/>
    <w:rsid w:val="006979E8"/>
    <w:rsid w:val="006A174B"/>
    <w:rsid w:val="006A1D88"/>
    <w:rsid w:val="006A73D7"/>
    <w:rsid w:val="006B146F"/>
    <w:rsid w:val="006B2C7E"/>
    <w:rsid w:val="006B778E"/>
    <w:rsid w:val="006C04AA"/>
    <w:rsid w:val="006C2461"/>
    <w:rsid w:val="006C393B"/>
    <w:rsid w:val="006C6B24"/>
    <w:rsid w:val="006D1459"/>
    <w:rsid w:val="006D18F4"/>
    <w:rsid w:val="006D79DA"/>
    <w:rsid w:val="006E0448"/>
    <w:rsid w:val="006E0B7D"/>
    <w:rsid w:val="006E4712"/>
    <w:rsid w:val="006E4FEC"/>
    <w:rsid w:val="006E5B07"/>
    <w:rsid w:val="006E5BAF"/>
    <w:rsid w:val="006E5D09"/>
    <w:rsid w:val="006E6324"/>
    <w:rsid w:val="006F4D48"/>
    <w:rsid w:val="006F7AAE"/>
    <w:rsid w:val="00700B06"/>
    <w:rsid w:val="00702C35"/>
    <w:rsid w:val="0070353A"/>
    <w:rsid w:val="00703F2C"/>
    <w:rsid w:val="00705369"/>
    <w:rsid w:val="00706368"/>
    <w:rsid w:val="00707866"/>
    <w:rsid w:val="00707A82"/>
    <w:rsid w:val="00710CE2"/>
    <w:rsid w:val="00713929"/>
    <w:rsid w:val="00715AE9"/>
    <w:rsid w:val="00715E8A"/>
    <w:rsid w:val="00716BF9"/>
    <w:rsid w:val="0071785F"/>
    <w:rsid w:val="00717A22"/>
    <w:rsid w:val="007227BF"/>
    <w:rsid w:val="007229A1"/>
    <w:rsid w:val="00723D49"/>
    <w:rsid w:val="007247DF"/>
    <w:rsid w:val="00724AAB"/>
    <w:rsid w:val="007254D5"/>
    <w:rsid w:val="00725791"/>
    <w:rsid w:val="00725EC9"/>
    <w:rsid w:val="007268DB"/>
    <w:rsid w:val="00726C22"/>
    <w:rsid w:val="0073266B"/>
    <w:rsid w:val="00733CC4"/>
    <w:rsid w:val="00735F25"/>
    <w:rsid w:val="00737C8E"/>
    <w:rsid w:val="00741F9F"/>
    <w:rsid w:val="00745399"/>
    <w:rsid w:val="00750A5E"/>
    <w:rsid w:val="00752642"/>
    <w:rsid w:val="007536C6"/>
    <w:rsid w:val="0075652D"/>
    <w:rsid w:val="00760D40"/>
    <w:rsid w:val="00762189"/>
    <w:rsid w:val="00764546"/>
    <w:rsid w:val="00764668"/>
    <w:rsid w:val="00766F8C"/>
    <w:rsid w:val="0077036E"/>
    <w:rsid w:val="00770AD7"/>
    <w:rsid w:val="00771B1A"/>
    <w:rsid w:val="00771B95"/>
    <w:rsid w:val="007749A0"/>
    <w:rsid w:val="007777F5"/>
    <w:rsid w:val="00777B24"/>
    <w:rsid w:val="00777CD0"/>
    <w:rsid w:val="00781A64"/>
    <w:rsid w:val="00782A8F"/>
    <w:rsid w:val="00783020"/>
    <w:rsid w:val="0078592E"/>
    <w:rsid w:val="007868C4"/>
    <w:rsid w:val="007869BE"/>
    <w:rsid w:val="00787F53"/>
    <w:rsid w:val="0079082F"/>
    <w:rsid w:val="00792329"/>
    <w:rsid w:val="007926F1"/>
    <w:rsid w:val="0079361F"/>
    <w:rsid w:val="00793671"/>
    <w:rsid w:val="00793FAE"/>
    <w:rsid w:val="007949E4"/>
    <w:rsid w:val="00794C2F"/>
    <w:rsid w:val="0079578A"/>
    <w:rsid w:val="007A05C2"/>
    <w:rsid w:val="007A1D8A"/>
    <w:rsid w:val="007A3149"/>
    <w:rsid w:val="007A3A3A"/>
    <w:rsid w:val="007A4576"/>
    <w:rsid w:val="007A5655"/>
    <w:rsid w:val="007B186A"/>
    <w:rsid w:val="007B1A15"/>
    <w:rsid w:val="007B2343"/>
    <w:rsid w:val="007B2D80"/>
    <w:rsid w:val="007B6339"/>
    <w:rsid w:val="007B6D99"/>
    <w:rsid w:val="007C01E4"/>
    <w:rsid w:val="007C0648"/>
    <w:rsid w:val="007C0C13"/>
    <w:rsid w:val="007C14E3"/>
    <w:rsid w:val="007C3BF6"/>
    <w:rsid w:val="007C4703"/>
    <w:rsid w:val="007C57A4"/>
    <w:rsid w:val="007C582C"/>
    <w:rsid w:val="007C5BDC"/>
    <w:rsid w:val="007D43B4"/>
    <w:rsid w:val="007D652B"/>
    <w:rsid w:val="007D68DE"/>
    <w:rsid w:val="007D7280"/>
    <w:rsid w:val="007D7453"/>
    <w:rsid w:val="007D7970"/>
    <w:rsid w:val="007E1B95"/>
    <w:rsid w:val="007E251F"/>
    <w:rsid w:val="007E40C8"/>
    <w:rsid w:val="007E7ED0"/>
    <w:rsid w:val="007E7EEE"/>
    <w:rsid w:val="007F09C4"/>
    <w:rsid w:val="007F3FE7"/>
    <w:rsid w:val="007F48A6"/>
    <w:rsid w:val="007F73E3"/>
    <w:rsid w:val="007F78FC"/>
    <w:rsid w:val="00802F4C"/>
    <w:rsid w:val="0080343C"/>
    <w:rsid w:val="00803720"/>
    <w:rsid w:val="00803A94"/>
    <w:rsid w:val="00804115"/>
    <w:rsid w:val="00805915"/>
    <w:rsid w:val="00806F58"/>
    <w:rsid w:val="00807F5E"/>
    <w:rsid w:val="00810694"/>
    <w:rsid w:val="0081253D"/>
    <w:rsid w:val="008157D5"/>
    <w:rsid w:val="00816F31"/>
    <w:rsid w:val="00820ECE"/>
    <w:rsid w:val="008215AB"/>
    <w:rsid w:val="008225E7"/>
    <w:rsid w:val="00825671"/>
    <w:rsid w:val="00830BD8"/>
    <w:rsid w:val="0083206C"/>
    <w:rsid w:val="00834BCE"/>
    <w:rsid w:val="00834C51"/>
    <w:rsid w:val="008357B4"/>
    <w:rsid w:val="00835A0D"/>
    <w:rsid w:val="008367A0"/>
    <w:rsid w:val="008374C4"/>
    <w:rsid w:val="008401D1"/>
    <w:rsid w:val="00844910"/>
    <w:rsid w:val="00845CD2"/>
    <w:rsid w:val="00846C8A"/>
    <w:rsid w:val="00851AEE"/>
    <w:rsid w:val="00852027"/>
    <w:rsid w:val="00854DA3"/>
    <w:rsid w:val="00855ABC"/>
    <w:rsid w:val="00856A73"/>
    <w:rsid w:val="0086102E"/>
    <w:rsid w:val="008610E8"/>
    <w:rsid w:val="00863BE0"/>
    <w:rsid w:val="00863E2F"/>
    <w:rsid w:val="00866DD7"/>
    <w:rsid w:val="00866DDB"/>
    <w:rsid w:val="00867938"/>
    <w:rsid w:val="00874B20"/>
    <w:rsid w:val="00875220"/>
    <w:rsid w:val="00875CD3"/>
    <w:rsid w:val="00875EE7"/>
    <w:rsid w:val="00880EBA"/>
    <w:rsid w:val="00881586"/>
    <w:rsid w:val="00882DDB"/>
    <w:rsid w:val="00885203"/>
    <w:rsid w:val="00893F70"/>
    <w:rsid w:val="0089496F"/>
    <w:rsid w:val="0089753C"/>
    <w:rsid w:val="00897968"/>
    <w:rsid w:val="008A0CEC"/>
    <w:rsid w:val="008A2246"/>
    <w:rsid w:val="008A2AE8"/>
    <w:rsid w:val="008A2B2D"/>
    <w:rsid w:val="008A4E01"/>
    <w:rsid w:val="008A5097"/>
    <w:rsid w:val="008A7B26"/>
    <w:rsid w:val="008B1D65"/>
    <w:rsid w:val="008B36BB"/>
    <w:rsid w:val="008B454C"/>
    <w:rsid w:val="008B4E31"/>
    <w:rsid w:val="008B76D2"/>
    <w:rsid w:val="008C02E5"/>
    <w:rsid w:val="008C03CF"/>
    <w:rsid w:val="008C19F4"/>
    <w:rsid w:val="008C1C42"/>
    <w:rsid w:val="008C2671"/>
    <w:rsid w:val="008C2FE5"/>
    <w:rsid w:val="008C6235"/>
    <w:rsid w:val="008D27B9"/>
    <w:rsid w:val="008D4202"/>
    <w:rsid w:val="008E22A2"/>
    <w:rsid w:val="008E2848"/>
    <w:rsid w:val="008E7E40"/>
    <w:rsid w:val="008F0245"/>
    <w:rsid w:val="008F078F"/>
    <w:rsid w:val="008F0836"/>
    <w:rsid w:val="008F110D"/>
    <w:rsid w:val="008F2124"/>
    <w:rsid w:val="008F2864"/>
    <w:rsid w:val="008F2FD3"/>
    <w:rsid w:val="008F4769"/>
    <w:rsid w:val="008F4FD5"/>
    <w:rsid w:val="008F5FCF"/>
    <w:rsid w:val="008F73CC"/>
    <w:rsid w:val="00901BA9"/>
    <w:rsid w:val="00905B9E"/>
    <w:rsid w:val="00906799"/>
    <w:rsid w:val="009103EA"/>
    <w:rsid w:val="0091596D"/>
    <w:rsid w:val="00920B80"/>
    <w:rsid w:val="00921701"/>
    <w:rsid w:val="00925593"/>
    <w:rsid w:val="009261BC"/>
    <w:rsid w:val="00926864"/>
    <w:rsid w:val="009275FA"/>
    <w:rsid w:val="00927AB4"/>
    <w:rsid w:val="009332B3"/>
    <w:rsid w:val="00933EFC"/>
    <w:rsid w:val="0093733B"/>
    <w:rsid w:val="009376DF"/>
    <w:rsid w:val="00937747"/>
    <w:rsid w:val="00940662"/>
    <w:rsid w:val="00942CC7"/>
    <w:rsid w:val="00942EC8"/>
    <w:rsid w:val="00944E60"/>
    <w:rsid w:val="00956596"/>
    <w:rsid w:val="00957318"/>
    <w:rsid w:val="009576EE"/>
    <w:rsid w:val="009578A0"/>
    <w:rsid w:val="00962880"/>
    <w:rsid w:val="00962B3B"/>
    <w:rsid w:val="00962F09"/>
    <w:rsid w:val="00963036"/>
    <w:rsid w:val="00964CF0"/>
    <w:rsid w:val="00966CEA"/>
    <w:rsid w:val="009707DC"/>
    <w:rsid w:val="00971F1E"/>
    <w:rsid w:val="00972A4F"/>
    <w:rsid w:val="00974079"/>
    <w:rsid w:val="00977CF4"/>
    <w:rsid w:val="00977DD4"/>
    <w:rsid w:val="0098061E"/>
    <w:rsid w:val="00983EE9"/>
    <w:rsid w:val="009852CA"/>
    <w:rsid w:val="009852D9"/>
    <w:rsid w:val="00985463"/>
    <w:rsid w:val="00985815"/>
    <w:rsid w:val="00985FC2"/>
    <w:rsid w:val="00986071"/>
    <w:rsid w:val="0098649F"/>
    <w:rsid w:val="0098672F"/>
    <w:rsid w:val="00987A02"/>
    <w:rsid w:val="00987AAB"/>
    <w:rsid w:val="009923AB"/>
    <w:rsid w:val="009927D9"/>
    <w:rsid w:val="00996BA3"/>
    <w:rsid w:val="009A0DC1"/>
    <w:rsid w:val="009A1C0E"/>
    <w:rsid w:val="009A25EC"/>
    <w:rsid w:val="009A3AE3"/>
    <w:rsid w:val="009A3CAB"/>
    <w:rsid w:val="009A4506"/>
    <w:rsid w:val="009A465E"/>
    <w:rsid w:val="009A6659"/>
    <w:rsid w:val="009B0CF1"/>
    <w:rsid w:val="009B279B"/>
    <w:rsid w:val="009B2D98"/>
    <w:rsid w:val="009B2F34"/>
    <w:rsid w:val="009B30B3"/>
    <w:rsid w:val="009B40D2"/>
    <w:rsid w:val="009B433C"/>
    <w:rsid w:val="009B57F7"/>
    <w:rsid w:val="009B6237"/>
    <w:rsid w:val="009B67B6"/>
    <w:rsid w:val="009B6B8D"/>
    <w:rsid w:val="009C10E7"/>
    <w:rsid w:val="009C1DE5"/>
    <w:rsid w:val="009C3419"/>
    <w:rsid w:val="009C363B"/>
    <w:rsid w:val="009C51D9"/>
    <w:rsid w:val="009C6A19"/>
    <w:rsid w:val="009C7572"/>
    <w:rsid w:val="009C776F"/>
    <w:rsid w:val="009D01B2"/>
    <w:rsid w:val="009D0AE7"/>
    <w:rsid w:val="009D0D3D"/>
    <w:rsid w:val="009D1230"/>
    <w:rsid w:val="009D1B5F"/>
    <w:rsid w:val="009D226F"/>
    <w:rsid w:val="009D25EE"/>
    <w:rsid w:val="009D3B53"/>
    <w:rsid w:val="009D3F59"/>
    <w:rsid w:val="009D4146"/>
    <w:rsid w:val="009D58CF"/>
    <w:rsid w:val="009D699F"/>
    <w:rsid w:val="009D6CD3"/>
    <w:rsid w:val="009E0E62"/>
    <w:rsid w:val="009E18E8"/>
    <w:rsid w:val="009E3D4D"/>
    <w:rsid w:val="009E49AE"/>
    <w:rsid w:val="009E5254"/>
    <w:rsid w:val="009E7925"/>
    <w:rsid w:val="009F466D"/>
    <w:rsid w:val="009F6B87"/>
    <w:rsid w:val="00A04E01"/>
    <w:rsid w:val="00A04E33"/>
    <w:rsid w:val="00A050CF"/>
    <w:rsid w:val="00A134C1"/>
    <w:rsid w:val="00A1358D"/>
    <w:rsid w:val="00A13636"/>
    <w:rsid w:val="00A13A8B"/>
    <w:rsid w:val="00A13FB4"/>
    <w:rsid w:val="00A14D53"/>
    <w:rsid w:val="00A15137"/>
    <w:rsid w:val="00A15C46"/>
    <w:rsid w:val="00A15F2B"/>
    <w:rsid w:val="00A172EF"/>
    <w:rsid w:val="00A17898"/>
    <w:rsid w:val="00A20192"/>
    <w:rsid w:val="00A20A2E"/>
    <w:rsid w:val="00A21EA6"/>
    <w:rsid w:val="00A22675"/>
    <w:rsid w:val="00A27A03"/>
    <w:rsid w:val="00A31783"/>
    <w:rsid w:val="00A3297A"/>
    <w:rsid w:val="00A35C15"/>
    <w:rsid w:val="00A379B8"/>
    <w:rsid w:val="00A42329"/>
    <w:rsid w:val="00A42620"/>
    <w:rsid w:val="00A42E3E"/>
    <w:rsid w:val="00A43362"/>
    <w:rsid w:val="00A44251"/>
    <w:rsid w:val="00A4434F"/>
    <w:rsid w:val="00A45594"/>
    <w:rsid w:val="00A45D69"/>
    <w:rsid w:val="00A46178"/>
    <w:rsid w:val="00A470FA"/>
    <w:rsid w:val="00A50750"/>
    <w:rsid w:val="00A50864"/>
    <w:rsid w:val="00A52567"/>
    <w:rsid w:val="00A525C5"/>
    <w:rsid w:val="00A533CE"/>
    <w:rsid w:val="00A55F0C"/>
    <w:rsid w:val="00A57C63"/>
    <w:rsid w:val="00A60940"/>
    <w:rsid w:val="00A60B39"/>
    <w:rsid w:val="00A61B1C"/>
    <w:rsid w:val="00A61B8B"/>
    <w:rsid w:val="00A61D15"/>
    <w:rsid w:val="00A65D6A"/>
    <w:rsid w:val="00A67AB2"/>
    <w:rsid w:val="00A67FF0"/>
    <w:rsid w:val="00A7084E"/>
    <w:rsid w:val="00A709E9"/>
    <w:rsid w:val="00A70D09"/>
    <w:rsid w:val="00A72667"/>
    <w:rsid w:val="00A72E34"/>
    <w:rsid w:val="00A75235"/>
    <w:rsid w:val="00A760DC"/>
    <w:rsid w:val="00A80296"/>
    <w:rsid w:val="00A80550"/>
    <w:rsid w:val="00A81304"/>
    <w:rsid w:val="00A8155F"/>
    <w:rsid w:val="00A83215"/>
    <w:rsid w:val="00A85523"/>
    <w:rsid w:val="00A85904"/>
    <w:rsid w:val="00A86CFF"/>
    <w:rsid w:val="00A87563"/>
    <w:rsid w:val="00A90940"/>
    <w:rsid w:val="00A94D45"/>
    <w:rsid w:val="00A9556A"/>
    <w:rsid w:val="00A96084"/>
    <w:rsid w:val="00A964DB"/>
    <w:rsid w:val="00A972DC"/>
    <w:rsid w:val="00A978F6"/>
    <w:rsid w:val="00AA0A4A"/>
    <w:rsid w:val="00AA455B"/>
    <w:rsid w:val="00AA4BDB"/>
    <w:rsid w:val="00AA6315"/>
    <w:rsid w:val="00AA6D8B"/>
    <w:rsid w:val="00AB0703"/>
    <w:rsid w:val="00AB1DAB"/>
    <w:rsid w:val="00AB2EDA"/>
    <w:rsid w:val="00AB444F"/>
    <w:rsid w:val="00AB722E"/>
    <w:rsid w:val="00AB7553"/>
    <w:rsid w:val="00AB769F"/>
    <w:rsid w:val="00AC076B"/>
    <w:rsid w:val="00AC2D05"/>
    <w:rsid w:val="00AC5E6E"/>
    <w:rsid w:val="00AC6A52"/>
    <w:rsid w:val="00AD0D95"/>
    <w:rsid w:val="00AD19C7"/>
    <w:rsid w:val="00AD1BEB"/>
    <w:rsid w:val="00AD33C9"/>
    <w:rsid w:val="00AD33D8"/>
    <w:rsid w:val="00AD4C12"/>
    <w:rsid w:val="00AD5093"/>
    <w:rsid w:val="00AD56C4"/>
    <w:rsid w:val="00AD683F"/>
    <w:rsid w:val="00AD7EDE"/>
    <w:rsid w:val="00AE0BBE"/>
    <w:rsid w:val="00AE2BC3"/>
    <w:rsid w:val="00AE5F70"/>
    <w:rsid w:val="00AE6A1F"/>
    <w:rsid w:val="00AF1243"/>
    <w:rsid w:val="00AF1536"/>
    <w:rsid w:val="00AF1B5C"/>
    <w:rsid w:val="00AF23B7"/>
    <w:rsid w:val="00AF34A5"/>
    <w:rsid w:val="00AF35CE"/>
    <w:rsid w:val="00AF360F"/>
    <w:rsid w:val="00AF4C2A"/>
    <w:rsid w:val="00AF5734"/>
    <w:rsid w:val="00B01C81"/>
    <w:rsid w:val="00B01F25"/>
    <w:rsid w:val="00B025ED"/>
    <w:rsid w:val="00B04D1E"/>
    <w:rsid w:val="00B058DA"/>
    <w:rsid w:val="00B05CD5"/>
    <w:rsid w:val="00B07AEE"/>
    <w:rsid w:val="00B14743"/>
    <w:rsid w:val="00B20DA2"/>
    <w:rsid w:val="00B21C66"/>
    <w:rsid w:val="00B23F86"/>
    <w:rsid w:val="00B24074"/>
    <w:rsid w:val="00B24F54"/>
    <w:rsid w:val="00B26CDE"/>
    <w:rsid w:val="00B27879"/>
    <w:rsid w:val="00B27CFE"/>
    <w:rsid w:val="00B315F2"/>
    <w:rsid w:val="00B341A9"/>
    <w:rsid w:val="00B35CCE"/>
    <w:rsid w:val="00B36478"/>
    <w:rsid w:val="00B36A87"/>
    <w:rsid w:val="00B36BCA"/>
    <w:rsid w:val="00B37664"/>
    <w:rsid w:val="00B406A2"/>
    <w:rsid w:val="00B40884"/>
    <w:rsid w:val="00B40BA7"/>
    <w:rsid w:val="00B416F8"/>
    <w:rsid w:val="00B41B89"/>
    <w:rsid w:val="00B434A1"/>
    <w:rsid w:val="00B43BFC"/>
    <w:rsid w:val="00B4483D"/>
    <w:rsid w:val="00B4554C"/>
    <w:rsid w:val="00B47A68"/>
    <w:rsid w:val="00B53AB6"/>
    <w:rsid w:val="00B5495D"/>
    <w:rsid w:val="00B54C3A"/>
    <w:rsid w:val="00B55977"/>
    <w:rsid w:val="00B5602D"/>
    <w:rsid w:val="00B57359"/>
    <w:rsid w:val="00B60BD7"/>
    <w:rsid w:val="00B6480E"/>
    <w:rsid w:val="00B64CF6"/>
    <w:rsid w:val="00B64DDA"/>
    <w:rsid w:val="00B6528F"/>
    <w:rsid w:val="00B65E18"/>
    <w:rsid w:val="00B67E51"/>
    <w:rsid w:val="00B71AB5"/>
    <w:rsid w:val="00B71E38"/>
    <w:rsid w:val="00B7382D"/>
    <w:rsid w:val="00B76841"/>
    <w:rsid w:val="00B77F30"/>
    <w:rsid w:val="00B80607"/>
    <w:rsid w:val="00B814B7"/>
    <w:rsid w:val="00B82008"/>
    <w:rsid w:val="00B82B1C"/>
    <w:rsid w:val="00B8425F"/>
    <w:rsid w:val="00B84FCE"/>
    <w:rsid w:val="00B8625B"/>
    <w:rsid w:val="00B87FBB"/>
    <w:rsid w:val="00B90815"/>
    <w:rsid w:val="00B95B66"/>
    <w:rsid w:val="00B961C5"/>
    <w:rsid w:val="00B97DE7"/>
    <w:rsid w:val="00BA1FDB"/>
    <w:rsid w:val="00BA3AE9"/>
    <w:rsid w:val="00BA5AA6"/>
    <w:rsid w:val="00BA7BD2"/>
    <w:rsid w:val="00BB01C2"/>
    <w:rsid w:val="00BB0609"/>
    <w:rsid w:val="00BB10F6"/>
    <w:rsid w:val="00BB3F9E"/>
    <w:rsid w:val="00BB6458"/>
    <w:rsid w:val="00BB7268"/>
    <w:rsid w:val="00BC0790"/>
    <w:rsid w:val="00BC3FF8"/>
    <w:rsid w:val="00BC4BF4"/>
    <w:rsid w:val="00BC62FD"/>
    <w:rsid w:val="00BC6FA2"/>
    <w:rsid w:val="00BC7323"/>
    <w:rsid w:val="00BD06B5"/>
    <w:rsid w:val="00BD0B58"/>
    <w:rsid w:val="00BD2859"/>
    <w:rsid w:val="00BD38EC"/>
    <w:rsid w:val="00BD5E08"/>
    <w:rsid w:val="00BD62D4"/>
    <w:rsid w:val="00BE03B8"/>
    <w:rsid w:val="00BE1C10"/>
    <w:rsid w:val="00BE1FEA"/>
    <w:rsid w:val="00BE3BFB"/>
    <w:rsid w:val="00BE4D25"/>
    <w:rsid w:val="00BE58DC"/>
    <w:rsid w:val="00BE5D64"/>
    <w:rsid w:val="00BE6909"/>
    <w:rsid w:val="00BE6F4A"/>
    <w:rsid w:val="00BF0EED"/>
    <w:rsid w:val="00BF24D2"/>
    <w:rsid w:val="00BF447B"/>
    <w:rsid w:val="00C01B86"/>
    <w:rsid w:val="00C01BD0"/>
    <w:rsid w:val="00C03A8E"/>
    <w:rsid w:val="00C03FB7"/>
    <w:rsid w:val="00C048D9"/>
    <w:rsid w:val="00C06731"/>
    <w:rsid w:val="00C077D9"/>
    <w:rsid w:val="00C0790D"/>
    <w:rsid w:val="00C10F36"/>
    <w:rsid w:val="00C11B8A"/>
    <w:rsid w:val="00C120AD"/>
    <w:rsid w:val="00C138DD"/>
    <w:rsid w:val="00C20334"/>
    <w:rsid w:val="00C20B78"/>
    <w:rsid w:val="00C21444"/>
    <w:rsid w:val="00C21B6D"/>
    <w:rsid w:val="00C21C18"/>
    <w:rsid w:val="00C231E0"/>
    <w:rsid w:val="00C24CAA"/>
    <w:rsid w:val="00C25390"/>
    <w:rsid w:val="00C25D34"/>
    <w:rsid w:val="00C313B3"/>
    <w:rsid w:val="00C31E9F"/>
    <w:rsid w:val="00C33378"/>
    <w:rsid w:val="00C33BA8"/>
    <w:rsid w:val="00C35865"/>
    <w:rsid w:val="00C35DFE"/>
    <w:rsid w:val="00C3666B"/>
    <w:rsid w:val="00C4109C"/>
    <w:rsid w:val="00C41137"/>
    <w:rsid w:val="00C43126"/>
    <w:rsid w:val="00C43147"/>
    <w:rsid w:val="00C448DA"/>
    <w:rsid w:val="00C454F9"/>
    <w:rsid w:val="00C45EFE"/>
    <w:rsid w:val="00C50D9C"/>
    <w:rsid w:val="00C5115E"/>
    <w:rsid w:val="00C53B58"/>
    <w:rsid w:val="00C550DD"/>
    <w:rsid w:val="00C552B8"/>
    <w:rsid w:val="00C5608D"/>
    <w:rsid w:val="00C570CD"/>
    <w:rsid w:val="00C57A03"/>
    <w:rsid w:val="00C619E2"/>
    <w:rsid w:val="00C61D3B"/>
    <w:rsid w:val="00C6204A"/>
    <w:rsid w:val="00C62E22"/>
    <w:rsid w:val="00C63AEA"/>
    <w:rsid w:val="00C63DD9"/>
    <w:rsid w:val="00C64F92"/>
    <w:rsid w:val="00C668FF"/>
    <w:rsid w:val="00C70282"/>
    <w:rsid w:val="00C7064C"/>
    <w:rsid w:val="00C70A63"/>
    <w:rsid w:val="00C70EB0"/>
    <w:rsid w:val="00C7249B"/>
    <w:rsid w:val="00C72D78"/>
    <w:rsid w:val="00C7795B"/>
    <w:rsid w:val="00C822E6"/>
    <w:rsid w:val="00C838AD"/>
    <w:rsid w:val="00C90799"/>
    <w:rsid w:val="00C913B3"/>
    <w:rsid w:val="00C91AF5"/>
    <w:rsid w:val="00C92615"/>
    <w:rsid w:val="00C9487F"/>
    <w:rsid w:val="00C95E97"/>
    <w:rsid w:val="00C96A86"/>
    <w:rsid w:val="00C978C1"/>
    <w:rsid w:val="00CA0E68"/>
    <w:rsid w:val="00CA2AAE"/>
    <w:rsid w:val="00CA361F"/>
    <w:rsid w:val="00CA4A3D"/>
    <w:rsid w:val="00CA4E6D"/>
    <w:rsid w:val="00CA525E"/>
    <w:rsid w:val="00CA7A0A"/>
    <w:rsid w:val="00CA7A94"/>
    <w:rsid w:val="00CB1647"/>
    <w:rsid w:val="00CB2A14"/>
    <w:rsid w:val="00CB3BB6"/>
    <w:rsid w:val="00CB54CC"/>
    <w:rsid w:val="00CB699A"/>
    <w:rsid w:val="00CB705E"/>
    <w:rsid w:val="00CB7190"/>
    <w:rsid w:val="00CC5568"/>
    <w:rsid w:val="00CC5B37"/>
    <w:rsid w:val="00CC5DE9"/>
    <w:rsid w:val="00CD08CF"/>
    <w:rsid w:val="00CD1280"/>
    <w:rsid w:val="00CD1C15"/>
    <w:rsid w:val="00CD3831"/>
    <w:rsid w:val="00CD3F01"/>
    <w:rsid w:val="00CD4DA8"/>
    <w:rsid w:val="00CD5074"/>
    <w:rsid w:val="00CD539B"/>
    <w:rsid w:val="00CD612D"/>
    <w:rsid w:val="00CD61C1"/>
    <w:rsid w:val="00CD6CD6"/>
    <w:rsid w:val="00CE033F"/>
    <w:rsid w:val="00CE1724"/>
    <w:rsid w:val="00CE3855"/>
    <w:rsid w:val="00CE5BD2"/>
    <w:rsid w:val="00CE7883"/>
    <w:rsid w:val="00CF0222"/>
    <w:rsid w:val="00CF0481"/>
    <w:rsid w:val="00CF0647"/>
    <w:rsid w:val="00CF06B2"/>
    <w:rsid w:val="00CF0BD7"/>
    <w:rsid w:val="00CF232F"/>
    <w:rsid w:val="00CF26ED"/>
    <w:rsid w:val="00CF40E1"/>
    <w:rsid w:val="00CF4312"/>
    <w:rsid w:val="00CF502B"/>
    <w:rsid w:val="00CF50FC"/>
    <w:rsid w:val="00CF53B4"/>
    <w:rsid w:val="00CF7109"/>
    <w:rsid w:val="00CF778B"/>
    <w:rsid w:val="00CF7C26"/>
    <w:rsid w:val="00D03BA6"/>
    <w:rsid w:val="00D04B7B"/>
    <w:rsid w:val="00D0610B"/>
    <w:rsid w:val="00D075E2"/>
    <w:rsid w:val="00D120AE"/>
    <w:rsid w:val="00D14474"/>
    <w:rsid w:val="00D154BA"/>
    <w:rsid w:val="00D17AE2"/>
    <w:rsid w:val="00D20464"/>
    <w:rsid w:val="00D2061F"/>
    <w:rsid w:val="00D22BE9"/>
    <w:rsid w:val="00D22C2F"/>
    <w:rsid w:val="00D235D1"/>
    <w:rsid w:val="00D240F2"/>
    <w:rsid w:val="00D32407"/>
    <w:rsid w:val="00D353E7"/>
    <w:rsid w:val="00D35DEF"/>
    <w:rsid w:val="00D4082F"/>
    <w:rsid w:val="00D40D09"/>
    <w:rsid w:val="00D41E24"/>
    <w:rsid w:val="00D44A27"/>
    <w:rsid w:val="00D44A3B"/>
    <w:rsid w:val="00D44B50"/>
    <w:rsid w:val="00D45119"/>
    <w:rsid w:val="00D4643F"/>
    <w:rsid w:val="00D476BA"/>
    <w:rsid w:val="00D5063A"/>
    <w:rsid w:val="00D51234"/>
    <w:rsid w:val="00D51B42"/>
    <w:rsid w:val="00D52958"/>
    <w:rsid w:val="00D5722D"/>
    <w:rsid w:val="00D6347E"/>
    <w:rsid w:val="00D6388E"/>
    <w:rsid w:val="00D652E1"/>
    <w:rsid w:val="00D6578E"/>
    <w:rsid w:val="00D657A5"/>
    <w:rsid w:val="00D675BB"/>
    <w:rsid w:val="00D67A9E"/>
    <w:rsid w:val="00D70DBF"/>
    <w:rsid w:val="00D71303"/>
    <w:rsid w:val="00D75722"/>
    <w:rsid w:val="00D77551"/>
    <w:rsid w:val="00D77A5B"/>
    <w:rsid w:val="00D84C6C"/>
    <w:rsid w:val="00D85FB5"/>
    <w:rsid w:val="00D86E44"/>
    <w:rsid w:val="00D90DB5"/>
    <w:rsid w:val="00D9136D"/>
    <w:rsid w:val="00D913B2"/>
    <w:rsid w:val="00D9255C"/>
    <w:rsid w:val="00D9265A"/>
    <w:rsid w:val="00D9356D"/>
    <w:rsid w:val="00D9487C"/>
    <w:rsid w:val="00D9731A"/>
    <w:rsid w:val="00DA1520"/>
    <w:rsid w:val="00DA166B"/>
    <w:rsid w:val="00DA1B95"/>
    <w:rsid w:val="00DA3326"/>
    <w:rsid w:val="00DA489E"/>
    <w:rsid w:val="00DA49A8"/>
    <w:rsid w:val="00DA5B2C"/>
    <w:rsid w:val="00DA6567"/>
    <w:rsid w:val="00DA6C69"/>
    <w:rsid w:val="00DA71BF"/>
    <w:rsid w:val="00DA7C81"/>
    <w:rsid w:val="00DB00F2"/>
    <w:rsid w:val="00DB094D"/>
    <w:rsid w:val="00DB282A"/>
    <w:rsid w:val="00DB3B8F"/>
    <w:rsid w:val="00DB7128"/>
    <w:rsid w:val="00DC1553"/>
    <w:rsid w:val="00DC3A51"/>
    <w:rsid w:val="00DC5B1E"/>
    <w:rsid w:val="00DC5ED7"/>
    <w:rsid w:val="00DC7B65"/>
    <w:rsid w:val="00DD1C62"/>
    <w:rsid w:val="00DD59C6"/>
    <w:rsid w:val="00DE01D1"/>
    <w:rsid w:val="00DE285B"/>
    <w:rsid w:val="00DE2AAC"/>
    <w:rsid w:val="00DE2EE8"/>
    <w:rsid w:val="00DE569E"/>
    <w:rsid w:val="00DF0DAA"/>
    <w:rsid w:val="00DF16CE"/>
    <w:rsid w:val="00DF1F28"/>
    <w:rsid w:val="00DF246B"/>
    <w:rsid w:val="00DF274D"/>
    <w:rsid w:val="00DF479C"/>
    <w:rsid w:val="00DF6E5E"/>
    <w:rsid w:val="00E00A1E"/>
    <w:rsid w:val="00E01038"/>
    <w:rsid w:val="00E0148A"/>
    <w:rsid w:val="00E05504"/>
    <w:rsid w:val="00E06E69"/>
    <w:rsid w:val="00E10379"/>
    <w:rsid w:val="00E10C06"/>
    <w:rsid w:val="00E116E3"/>
    <w:rsid w:val="00E117FD"/>
    <w:rsid w:val="00E12876"/>
    <w:rsid w:val="00E169F8"/>
    <w:rsid w:val="00E16CFD"/>
    <w:rsid w:val="00E17A82"/>
    <w:rsid w:val="00E258F1"/>
    <w:rsid w:val="00E410FD"/>
    <w:rsid w:val="00E417BB"/>
    <w:rsid w:val="00E41E2D"/>
    <w:rsid w:val="00E451B0"/>
    <w:rsid w:val="00E45BB6"/>
    <w:rsid w:val="00E461A9"/>
    <w:rsid w:val="00E46DB1"/>
    <w:rsid w:val="00E47E51"/>
    <w:rsid w:val="00E50EC0"/>
    <w:rsid w:val="00E51A8E"/>
    <w:rsid w:val="00E5206E"/>
    <w:rsid w:val="00E52197"/>
    <w:rsid w:val="00E535A0"/>
    <w:rsid w:val="00E542E5"/>
    <w:rsid w:val="00E54C48"/>
    <w:rsid w:val="00E572FF"/>
    <w:rsid w:val="00E60BC3"/>
    <w:rsid w:val="00E60FC2"/>
    <w:rsid w:val="00E66A7C"/>
    <w:rsid w:val="00E66F9E"/>
    <w:rsid w:val="00E67526"/>
    <w:rsid w:val="00E67DD2"/>
    <w:rsid w:val="00E700CC"/>
    <w:rsid w:val="00E7022B"/>
    <w:rsid w:val="00E7484E"/>
    <w:rsid w:val="00E75AC9"/>
    <w:rsid w:val="00E77C43"/>
    <w:rsid w:val="00E80B01"/>
    <w:rsid w:val="00E812E8"/>
    <w:rsid w:val="00E830FC"/>
    <w:rsid w:val="00E8387F"/>
    <w:rsid w:val="00E8604D"/>
    <w:rsid w:val="00E87A48"/>
    <w:rsid w:val="00E97F3C"/>
    <w:rsid w:val="00EA0756"/>
    <w:rsid w:val="00EA11F9"/>
    <w:rsid w:val="00EA3CAE"/>
    <w:rsid w:val="00EA4872"/>
    <w:rsid w:val="00EA5115"/>
    <w:rsid w:val="00EA512C"/>
    <w:rsid w:val="00EA6A04"/>
    <w:rsid w:val="00EB3A34"/>
    <w:rsid w:val="00EB7217"/>
    <w:rsid w:val="00EB72C1"/>
    <w:rsid w:val="00EB7957"/>
    <w:rsid w:val="00EC1469"/>
    <w:rsid w:val="00EC18C3"/>
    <w:rsid w:val="00EC46A1"/>
    <w:rsid w:val="00EC545D"/>
    <w:rsid w:val="00EC5D69"/>
    <w:rsid w:val="00EC640F"/>
    <w:rsid w:val="00EC69E6"/>
    <w:rsid w:val="00EC6BAA"/>
    <w:rsid w:val="00EC7FA5"/>
    <w:rsid w:val="00ED23F2"/>
    <w:rsid w:val="00ED3334"/>
    <w:rsid w:val="00ED38AC"/>
    <w:rsid w:val="00ED3BAC"/>
    <w:rsid w:val="00ED53B8"/>
    <w:rsid w:val="00ED65BE"/>
    <w:rsid w:val="00ED6E54"/>
    <w:rsid w:val="00EE0102"/>
    <w:rsid w:val="00EE03A0"/>
    <w:rsid w:val="00EE0677"/>
    <w:rsid w:val="00EE0A06"/>
    <w:rsid w:val="00EE0CD1"/>
    <w:rsid w:val="00EE23C3"/>
    <w:rsid w:val="00EE29E2"/>
    <w:rsid w:val="00EE3763"/>
    <w:rsid w:val="00EE468D"/>
    <w:rsid w:val="00EE4E79"/>
    <w:rsid w:val="00EE672C"/>
    <w:rsid w:val="00EE747F"/>
    <w:rsid w:val="00EE7937"/>
    <w:rsid w:val="00EF0488"/>
    <w:rsid w:val="00EF10C7"/>
    <w:rsid w:val="00EF1A92"/>
    <w:rsid w:val="00EF2884"/>
    <w:rsid w:val="00EF296F"/>
    <w:rsid w:val="00EF3EA4"/>
    <w:rsid w:val="00EF59AC"/>
    <w:rsid w:val="00EF5D2D"/>
    <w:rsid w:val="00EF7A0B"/>
    <w:rsid w:val="00F023A4"/>
    <w:rsid w:val="00F0242A"/>
    <w:rsid w:val="00F04881"/>
    <w:rsid w:val="00F05043"/>
    <w:rsid w:val="00F0549B"/>
    <w:rsid w:val="00F06A48"/>
    <w:rsid w:val="00F07FD9"/>
    <w:rsid w:val="00F10C07"/>
    <w:rsid w:val="00F111C6"/>
    <w:rsid w:val="00F11A64"/>
    <w:rsid w:val="00F1363D"/>
    <w:rsid w:val="00F13E02"/>
    <w:rsid w:val="00F14298"/>
    <w:rsid w:val="00F15752"/>
    <w:rsid w:val="00F16518"/>
    <w:rsid w:val="00F20D54"/>
    <w:rsid w:val="00F21F06"/>
    <w:rsid w:val="00F230FA"/>
    <w:rsid w:val="00F231E3"/>
    <w:rsid w:val="00F23676"/>
    <w:rsid w:val="00F23C85"/>
    <w:rsid w:val="00F24D0B"/>
    <w:rsid w:val="00F26534"/>
    <w:rsid w:val="00F30294"/>
    <w:rsid w:val="00F331D4"/>
    <w:rsid w:val="00F3487D"/>
    <w:rsid w:val="00F35C07"/>
    <w:rsid w:val="00F3704F"/>
    <w:rsid w:val="00F37FA8"/>
    <w:rsid w:val="00F40C38"/>
    <w:rsid w:val="00F47E28"/>
    <w:rsid w:val="00F5050E"/>
    <w:rsid w:val="00F53572"/>
    <w:rsid w:val="00F5485B"/>
    <w:rsid w:val="00F5751E"/>
    <w:rsid w:val="00F60A49"/>
    <w:rsid w:val="00F61D80"/>
    <w:rsid w:val="00F62C63"/>
    <w:rsid w:val="00F634C3"/>
    <w:rsid w:val="00F64E32"/>
    <w:rsid w:val="00F64E80"/>
    <w:rsid w:val="00F650A1"/>
    <w:rsid w:val="00F65536"/>
    <w:rsid w:val="00F65941"/>
    <w:rsid w:val="00F67FC3"/>
    <w:rsid w:val="00F70708"/>
    <w:rsid w:val="00F71480"/>
    <w:rsid w:val="00F71A96"/>
    <w:rsid w:val="00F71EDE"/>
    <w:rsid w:val="00F72393"/>
    <w:rsid w:val="00F727B5"/>
    <w:rsid w:val="00F72C98"/>
    <w:rsid w:val="00F74575"/>
    <w:rsid w:val="00F74B0B"/>
    <w:rsid w:val="00F75CF1"/>
    <w:rsid w:val="00F75F90"/>
    <w:rsid w:val="00F7643F"/>
    <w:rsid w:val="00F80BE5"/>
    <w:rsid w:val="00F83ACC"/>
    <w:rsid w:val="00F8413B"/>
    <w:rsid w:val="00F86C82"/>
    <w:rsid w:val="00F87897"/>
    <w:rsid w:val="00F91057"/>
    <w:rsid w:val="00F918E6"/>
    <w:rsid w:val="00F92840"/>
    <w:rsid w:val="00F936D1"/>
    <w:rsid w:val="00F94879"/>
    <w:rsid w:val="00F96D74"/>
    <w:rsid w:val="00F977A1"/>
    <w:rsid w:val="00F97C33"/>
    <w:rsid w:val="00FA34E8"/>
    <w:rsid w:val="00FA418C"/>
    <w:rsid w:val="00FA6064"/>
    <w:rsid w:val="00FA6110"/>
    <w:rsid w:val="00FB321B"/>
    <w:rsid w:val="00FB3E90"/>
    <w:rsid w:val="00FB4DA8"/>
    <w:rsid w:val="00FB5053"/>
    <w:rsid w:val="00FB6DB8"/>
    <w:rsid w:val="00FB78C8"/>
    <w:rsid w:val="00FB7E5F"/>
    <w:rsid w:val="00FC1AE0"/>
    <w:rsid w:val="00FC1D24"/>
    <w:rsid w:val="00FC2718"/>
    <w:rsid w:val="00FC3457"/>
    <w:rsid w:val="00FC50D2"/>
    <w:rsid w:val="00FD4498"/>
    <w:rsid w:val="00FD486D"/>
    <w:rsid w:val="00FD492D"/>
    <w:rsid w:val="00FD4D56"/>
    <w:rsid w:val="00FD5169"/>
    <w:rsid w:val="00FD703E"/>
    <w:rsid w:val="00FE0622"/>
    <w:rsid w:val="00FE148E"/>
    <w:rsid w:val="00FE1D6D"/>
    <w:rsid w:val="00FE24F1"/>
    <w:rsid w:val="00FE552B"/>
    <w:rsid w:val="00FE61E9"/>
    <w:rsid w:val="00FE661F"/>
    <w:rsid w:val="00FE6E38"/>
    <w:rsid w:val="0875473C"/>
    <w:rsid w:val="4CFC3D2B"/>
    <w:rsid w:val="697F8E6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408E"/>
  <w15:docId w15:val="{74276653-B438-43D4-BFED-12881B8E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D1"/>
    <w:pPr>
      <w:spacing w:line="276" w:lineRule="auto"/>
    </w:pPr>
    <w:rPr>
      <w:rFonts w:ascii="Georgia" w:hAnsi="Georgia"/>
      <w:color w:val="585756"/>
      <w:sz w:val="21"/>
    </w:rPr>
  </w:style>
  <w:style w:type="paragraph" w:styleId="Heading1">
    <w:name w:val="heading 1"/>
    <w:basedOn w:val="Normal"/>
    <w:next w:val="Normal"/>
    <w:link w:val="Heading1Char"/>
    <w:uiPriority w:val="9"/>
    <w:qFormat/>
    <w:rsid w:val="00A379B8"/>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Heading2">
    <w:name w:val="heading 2"/>
    <w:aliases w:val="Chapter x.x,H2,Heading 2a,h2,2,Header 2,l2,UNDERRUBRIK 1-2"/>
    <w:basedOn w:val="Normal"/>
    <w:next w:val="Normal"/>
    <w:link w:val="Heading2Char"/>
    <w:uiPriority w:val="9"/>
    <w:unhideWhenUsed/>
    <w:qFormat/>
    <w:rsid w:val="000753B2"/>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Heading3">
    <w:name w:val="heading 3"/>
    <w:aliases w:val="Car"/>
    <w:basedOn w:val="ListParagraph"/>
    <w:next w:val="Normal"/>
    <w:link w:val="Heading3Char"/>
    <w:uiPriority w:val="9"/>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basedOn w:val="Normal"/>
    <w:next w:val="Normal"/>
    <w:link w:val="Heading4Char"/>
    <w:uiPriority w:val="9"/>
    <w:unhideWhenUsed/>
    <w:qFormat/>
    <w:rsid w:val="005D080C"/>
    <w:pPr>
      <w:keepNext/>
      <w:keepLines/>
      <w:numPr>
        <w:ilvl w:val="3"/>
        <w:numId w:val="2"/>
      </w:numPr>
      <w:spacing w:before="60" w:after="60"/>
      <w:outlineLvl w:val="3"/>
    </w:pPr>
    <w:rPr>
      <w:rFonts w:asciiTheme="minorHAnsi" w:eastAsiaTheme="majorEastAsia" w:hAnsiTheme="minorHAnsi" w:cstheme="majorBidi"/>
      <w:b/>
      <w:iCs/>
    </w:rPr>
  </w:style>
  <w:style w:type="paragraph" w:styleId="Heading5">
    <w:name w:val="heading 5"/>
    <w:aliases w:val="(1.1.1.1.1.),a"/>
    <w:basedOn w:val="Normal"/>
    <w:next w:val="Normal"/>
    <w:link w:val="Heading5Char"/>
    <w:uiPriority w:val="9"/>
    <w:unhideWhenUsed/>
    <w:qFormat/>
    <w:rsid w:val="00C45EFE"/>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C45EFE"/>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aliases w:val="centré 12"/>
    <w:basedOn w:val="Normal"/>
    <w:next w:val="Normal"/>
    <w:link w:val="Heading7Char"/>
    <w:uiPriority w:val="9"/>
    <w:unhideWhenUsed/>
    <w:qFormat/>
    <w:rsid w:val="00C45EFE"/>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5EFE"/>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aliases w:val="Heading 9-paranum"/>
    <w:basedOn w:val="Normal"/>
    <w:next w:val="Normal"/>
    <w:link w:val="Heading9Char"/>
    <w:uiPriority w:val="9"/>
    <w:unhideWhenUsed/>
    <w:qFormat/>
    <w:rsid w:val="00C45EFE"/>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basedOn w:val="DefaultParagraphFont"/>
    <w:uiPriority w:val="99"/>
    <w:semiHidden/>
    <w:rsid w:val="003664E0"/>
    <w:rPr>
      <w:color w:val="808080"/>
    </w:rPr>
  </w:style>
  <w:style w:type="character" w:customStyle="1" w:styleId="TitrecouvertureCar">
    <w:name w:val="Titre couverture Car"/>
    <w:basedOn w:val="DefaultParagraphFont"/>
    <w:link w:val="Titrecouverture"/>
    <w:rsid w:val="004145B4"/>
    <w:rPr>
      <w:rFonts w:ascii="Calibri" w:hAnsi="Calibri"/>
      <w:color w:val="262626" w:themeColor="text1" w:themeTint="D9"/>
      <w:sz w:val="32"/>
    </w:rPr>
  </w:style>
  <w:style w:type="character" w:customStyle="1" w:styleId="Heading1Char">
    <w:name w:val="Heading 1 Char"/>
    <w:basedOn w:val="DefaultParagraphFont"/>
    <w:link w:val="Heading1"/>
    <w:uiPriority w:val="9"/>
    <w:rsid w:val="00A379B8"/>
    <w:rPr>
      <w:rFonts w:cstheme="minorHAnsi"/>
      <w:b/>
      <w:color w:val="FFFFFF" w:themeColor="background1"/>
      <w:sz w:val="32"/>
      <w:szCs w:val="32"/>
      <w:shd w:val="clear" w:color="auto" w:fill="D81A1C"/>
    </w:rPr>
  </w:style>
  <w:style w:type="character" w:customStyle="1" w:styleId="Heading2Char">
    <w:name w:val="Heading 2 Char"/>
    <w:aliases w:val="Chapter x.x Char,H2 Char,Heading 2a Char,h2 Char,2 Char,Header 2 Char,l2 Char,UNDERRUBRIK 1-2 Char"/>
    <w:basedOn w:val="DefaultParagraphFont"/>
    <w:link w:val="Heading2"/>
    <w:uiPriority w:val="9"/>
    <w:rsid w:val="000753B2"/>
    <w:rPr>
      <w:rFonts w:ascii="Calibri" w:eastAsiaTheme="majorEastAsia" w:hAnsi="Calibri" w:cstheme="majorBidi"/>
      <w:b/>
      <w:color w:val="D81A1A"/>
      <w:sz w:val="28"/>
      <w:szCs w:val="26"/>
    </w:rPr>
  </w:style>
  <w:style w:type="character" w:customStyle="1" w:styleId="Heading3Char">
    <w:name w:val="Heading 3 Char"/>
    <w:aliases w:val="Car Char"/>
    <w:basedOn w:val="DefaultParagraphFont"/>
    <w:link w:val="Heading3"/>
    <w:uiPriority w:val="9"/>
    <w:rsid w:val="005D080C"/>
    <w:rPr>
      <w:rFonts w:ascii="Calibri" w:hAnsi="Calibri" w:cs="Calibri-Bold"/>
      <w:b/>
      <w:bCs/>
      <w:color w:val="585756"/>
      <w:sz w:val="24"/>
      <w:szCs w:val="24"/>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basedOn w:val="DefaultParagraphFont"/>
    <w:link w:val="Title"/>
    <w:uiPriority w:val="10"/>
    <w:rsid w:val="00A379B8"/>
    <w:rPr>
      <w:rFonts w:ascii="Calibri" w:hAnsi="Calibri" w:cs="Calibri-Bold"/>
      <w:b/>
      <w:bCs/>
      <w:color w:val="333333"/>
      <w:sz w:val="21"/>
      <w:szCs w:val="21"/>
    </w:rPr>
  </w:style>
  <w:style w:type="paragraph" w:customStyle="1" w:styleId="Basdepage">
    <w:name w:val="Bas de page"/>
    <w:basedOn w:val="Normal"/>
    <w:link w:val="BasdepageCar"/>
    <w:qFormat/>
    <w:rsid w:val="008367A0"/>
    <w:pPr>
      <w:keepNext/>
      <w:keepLines/>
      <w:spacing w:after="0"/>
      <w:outlineLvl w:val="0"/>
    </w:pPr>
    <w:rPr>
      <w:rFonts w:ascii="Calibri" w:eastAsiaTheme="majorEastAsia" w:hAnsi="Calibri" w:cstheme="majorBidi"/>
      <w:sz w:val="18"/>
      <w:szCs w:val="24"/>
    </w:rPr>
  </w:style>
  <w:style w:type="character" w:customStyle="1" w:styleId="BasdepageCar">
    <w:name w:val="Bas de page Car"/>
    <w:basedOn w:val="DefaultParagraphFont"/>
    <w:link w:val="Basdepage"/>
    <w:rsid w:val="008367A0"/>
    <w:rPr>
      <w:rFonts w:ascii="Calibri" w:eastAsiaTheme="majorEastAsia" w:hAnsi="Calibri" w:cstheme="majorBidi"/>
      <w:color w:val="262626" w:themeColor="text1" w:themeTint="D9"/>
      <w:sz w:val="18"/>
      <w:szCs w:val="24"/>
      <w:lang w:val="fr-FR"/>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iPriority w:val="99"/>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basedOn w:val="DefaultParagraphFont"/>
    <w:uiPriority w:val="99"/>
    <w:unhideWhenUsed/>
    <w:rsid w:val="00C913B3"/>
    <w:rPr>
      <w:color w:val="0563C1" w:themeColor="hyperlink"/>
      <w:u w:val="single"/>
    </w:rPr>
  </w:style>
  <w:style w:type="paragraph" w:styleId="ListParagraph">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ListParagraphChar1"/>
    <w:qFormat/>
    <w:rsid w:val="00AB1DAB"/>
    <w:pPr>
      <w:ind w:left="720"/>
      <w:contextualSpacing/>
    </w:pPr>
  </w:style>
  <w:style w:type="character" w:customStyle="1" w:styleId="Heading4Char">
    <w:name w:val="Heading 4 Char"/>
    <w:basedOn w:val="DefaultParagraphFont"/>
    <w:link w:val="Heading4"/>
    <w:uiPriority w:val="9"/>
    <w:rsid w:val="005D080C"/>
    <w:rPr>
      <w:rFonts w:eastAsiaTheme="majorEastAsia" w:cstheme="majorBidi"/>
      <w:b/>
      <w:iCs/>
      <w:color w:val="585756"/>
      <w:sz w:val="21"/>
    </w:rPr>
  </w:style>
  <w:style w:type="paragraph" w:styleId="Subtitle">
    <w:name w:val="Subtitle"/>
    <w:basedOn w:val="Titrecouverture"/>
    <w:next w:val="Normal"/>
    <w:link w:val="SubtitleChar"/>
    <w:uiPriority w:val="11"/>
    <w:qFormat/>
    <w:rsid w:val="004145B4"/>
  </w:style>
  <w:style w:type="character" w:customStyle="1" w:styleId="SubtitleChar">
    <w:name w:val="Subtitle Char"/>
    <w:basedOn w:val="DefaultParagraphFont"/>
    <w:link w:val="Subtitle"/>
    <w:uiPriority w:val="11"/>
    <w:rsid w:val="004145B4"/>
    <w:rPr>
      <w:rFonts w:ascii="Calibri" w:hAnsi="Calibri"/>
      <w:color w:val="262626" w:themeColor="text1" w:themeTint="D9"/>
      <w:sz w:val="32"/>
    </w:rPr>
  </w:style>
  <w:style w:type="paragraph" w:styleId="TOC1">
    <w:name w:val="toc 1"/>
    <w:basedOn w:val="Normal"/>
    <w:next w:val="Normal"/>
    <w:autoRedefine/>
    <w:uiPriority w:val="39"/>
    <w:unhideWhenUsed/>
    <w:rsid w:val="00C838AD"/>
    <w:pPr>
      <w:tabs>
        <w:tab w:val="left" w:pos="567"/>
        <w:tab w:val="right" w:leader="dot" w:pos="8494"/>
      </w:tabs>
      <w:spacing w:after="100"/>
    </w:pPr>
    <w:rPr>
      <w:rFonts w:ascii="Calibri" w:hAnsi="Calibri"/>
      <w:b/>
    </w:rPr>
  </w:style>
  <w:style w:type="paragraph" w:styleId="TOC2">
    <w:name w:val="toc 2"/>
    <w:basedOn w:val="Normal"/>
    <w:next w:val="Normal"/>
    <w:autoRedefine/>
    <w:uiPriority w:val="39"/>
    <w:unhideWhenUsed/>
    <w:rsid w:val="000753B2"/>
    <w:pPr>
      <w:spacing w:after="100"/>
      <w:ind w:left="210"/>
    </w:pPr>
    <w:rPr>
      <w:rFonts w:ascii="Calibri" w:hAnsi="Calibri"/>
    </w:rPr>
  </w:style>
  <w:style w:type="paragraph" w:styleId="TOC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OC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Heading5Char">
    <w:name w:val="Heading 5 Char"/>
    <w:aliases w:val="(1.1.1.1.1.) Char,a Char"/>
    <w:basedOn w:val="DefaultParagraphFont"/>
    <w:link w:val="Heading5"/>
    <w:uiPriority w:val="9"/>
    <w:rsid w:val="00C45EFE"/>
    <w:rPr>
      <w:rFonts w:asciiTheme="majorHAnsi" w:eastAsiaTheme="majorEastAsia" w:hAnsiTheme="majorHAnsi" w:cstheme="majorBidi"/>
      <w:color w:val="2E74B5" w:themeColor="accent1" w:themeShade="BF"/>
      <w:sz w:val="21"/>
    </w:rPr>
  </w:style>
  <w:style w:type="character" w:customStyle="1" w:styleId="Heading6Char">
    <w:name w:val="Heading 6 Char"/>
    <w:basedOn w:val="DefaultParagraphFont"/>
    <w:link w:val="Heading6"/>
    <w:uiPriority w:val="9"/>
    <w:rsid w:val="00C45EFE"/>
    <w:rPr>
      <w:rFonts w:asciiTheme="majorHAnsi" w:eastAsiaTheme="majorEastAsia" w:hAnsiTheme="majorHAnsi" w:cstheme="majorBidi"/>
      <w:color w:val="1F4D78" w:themeColor="accent1" w:themeShade="7F"/>
      <w:sz w:val="21"/>
    </w:rPr>
  </w:style>
  <w:style w:type="character" w:customStyle="1" w:styleId="Heading7Char">
    <w:name w:val="Heading 7 Char"/>
    <w:aliases w:val="centré 12 Char"/>
    <w:basedOn w:val="DefaultParagraphFont"/>
    <w:link w:val="Heading7"/>
    <w:uiPriority w:val="9"/>
    <w:rsid w:val="00C45EFE"/>
    <w:rPr>
      <w:rFonts w:asciiTheme="majorHAnsi" w:eastAsiaTheme="majorEastAsia" w:hAnsiTheme="majorHAnsi" w:cstheme="majorBidi"/>
      <w:i/>
      <w:iCs/>
      <w:color w:val="1F4D78" w:themeColor="accent1" w:themeShade="7F"/>
      <w:sz w:val="21"/>
    </w:rPr>
  </w:style>
  <w:style w:type="character" w:customStyle="1" w:styleId="Heading8Char">
    <w:name w:val="Heading 8 Char"/>
    <w:basedOn w:val="DefaultParagraphFont"/>
    <w:link w:val="Heading8"/>
    <w:uiPriority w:val="9"/>
    <w:rsid w:val="00C45EFE"/>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eading 9-paranum Char"/>
    <w:basedOn w:val="DefaultParagraphFont"/>
    <w:link w:val="Heading9"/>
    <w:uiPriority w:val="9"/>
    <w:rsid w:val="00C45EF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qFormat/>
    <w:rsid w:val="00495502"/>
    <w:pPr>
      <w:spacing w:after="0" w:line="240" w:lineRule="auto"/>
    </w:pPr>
    <w:rPr>
      <w:rFonts w:ascii="Calibri" w:hAnsi="Calibri"/>
      <w:sz w:val="14"/>
      <w:szCs w:val="20"/>
    </w:rPr>
  </w:style>
  <w:style w:type="character" w:customStyle="1" w:styleId="FootnoteTextChar">
    <w:name w:val="Footnote Text Char"/>
    <w:basedOn w:val="DefaultParagraphFont"/>
    <w:link w:val="FootnoteText"/>
    <w:uiPriority w:val="99"/>
    <w:semiHidden/>
    <w:rsid w:val="00495502"/>
    <w:rPr>
      <w:rFonts w:ascii="Calibri" w:hAnsi="Calibri"/>
      <w:color w:val="585756"/>
      <w:sz w:val="14"/>
      <w:szCs w:val="20"/>
    </w:rPr>
  </w:style>
  <w:style w:type="character" w:styleId="FootnoteReference">
    <w:name w:val="footnote reference"/>
    <w:basedOn w:val="DefaultParagraphFont"/>
    <w:uiPriority w:val="99"/>
    <w:semiHidden/>
    <w:unhideWhenUsed/>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basedOn w:val="DefaultParagraphFont"/>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3A4"/>
    <w:rPr>
      <w:rFonts w:ascii="Tahoma" w:hAnsi="Tahoma" w:cs="Tahoma"/>
      <w:color w:val="585756"/>
      <w:sz w:val="16"/>
      <w:szCs w:val="16"/>
    </w:rPr>
  </w:style>
  <w:style w:type="table" w:styleId="TableGrid">
    <w:name w:val="Table Grid"/>
    <w:basedOn w:val="TableNormal"/>
    <w:uiPriority w:val="59"/>
    <w:rsid w:val="00EC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B04D1E"/>
    <w:pPr>
      <w:spacing w:after="100"/>
      <w:ind w:left="880"/>
    </w:pPr>
    <w:rPr>
      <w:rFonts w:asciiTheme="minorHAnsi" w:eastAsiaTheme="minorEastAsia" w:hAnsiTheme="minorHAnsi"/>
      <w:color w:val="auto"/>
      <w:sz w:val="22"/>
      <w:lang w:eastAsia="en-GB"/>
    </w:rPr>
  </w:style>
  <w:style w:type="paragraph" w:styleId="TOC6">
    <w:name w:val="toc 6"/>
    <w:basedOn w:val="Normal"/>
    <w:next w:val="Normal"/>
    <w:autoRedefine/>
    <w:uiPriority w:val="39"/>
    <w:unhideWhenUsed/>
    <w:rsid w:val="00B04D1E"/>
    <w:pPr>
      <w:spacing w:after="100"/>
      <w:ind w:left="1100"/>
    </w:pPr>
    <w:rPr>
      <w:rFonts w:asciiTheme="minorHAnsi" w:eastAsiaTheme="minorEastAsia" w:hAnsiTheme="minorHAnsi"/>
      <w:color w:val="auto"/>
      <w:sz w:val="22"/>
      <w:lang w:eastAsia="en-GB"/>
    </w:rPr>
  </w:style>
  <w:style w:type="paragraph" w:styleId="TOC7">
    <w:name w:val="toc 7"/>
    <w:basedOn w:val="Normal"/>
    <w:next w:val="Normal"/>
    <w:autoRedefine/>
    <w:uiPriority w:val="39"/>
    <w:unhideWhenUsed/>
    <w:rsid w:val="00B04D1E"/>
    <w:pPr>
      <w:spacing w:after="100"/>
      <w:ind w:left="1320"/>
    </w:pPr>
    <w:rPr>
      <w:rFonts w:asciiTheme="minorHAnsi" w:eastAsiaTheme="minorEastAsia" w:hAnsiTheme="minorHAnsi"/>
      <w:color w:val="auto"/>
      <w:sz w:val="22"/>
      <w:lang w:eastAsia="en-GB"/>
    </w:rPr>
  </w:style>
  <w:style w:type="paragraph" w:styleId="TOC8">
    <w:name w:val="toc 8"/>
    <w:basedOn w:val="Normal"/>
    <w:next w:val="Normal"/>
    <w:autoRedefine/>
    <w:uiPriority w:val="39"/>
    <w:unhideWhenUsed/>
    <w:rsid w:val="00B04D1E"/>
    <w:pPr>
      <w:spacing w:after="100"/>
      <w:ind w:left="1540"/>
    </w:pPr>
    <w:rPr>
      <w:rFonts w:asciiTheme="minorHAnsi" w:eastAsiaTheme="minorEastAsia" w:hAnsiTheme="minorHAnsi"/>
      <w:color w:val="auto"/>
      <w:sz w:val="22"/>
      <w:lang w:eastAsia="en-GB"/>
    </w:rPr>
  </w:style>
  <w:style w:type="paragraph" w:styleId="TOC9">
    <w:name w:val="toc 9"/>
    <w:basedOn w:val="Normal"/>
    <w:next w:val="Normal"/>
    <w:autoRedefine/>
    <w:uiPriority w:val="39"/>
    <w:unhideWhenUsed/>
    <w:rsid w:val="00B04D1E"/>
    <w:pPr>
      <w:spacing w:after="100"/>
      <w:ind w:left="1760"/>
    </w:pPr>
    <w:rPr>
      <w:rFonts w:asciiTheme="minorHAnsi" w:eastAsiaTheme="minorEastAsia" w:hAnsiTheme="minorHAnsi"/>
      <w:color w:val="auto"/>
      <w:sz w:val="22"/>
      <w:lang w:eastAsia="en-GB"/>
    </w:rPr>
  </w:style>
  <w:style w:type="paragraph" w:styleId="BodyText">
    <w:name w:val="Body Text"/>
    <w:aliases w:val="bt,Body Text Char2,A - Corps de texte,TextMG,Body Text Char,Body Text Char Char Char Char,Body Text Char1,Body Text Char Char,Body Text Char1 Char Char Char,Body Text Char1 Char Char Char Char Char,TextM,Rapport-normal,gl"/>
    <w:basedOn w:val="Normal"/>
    <w:link w:val="BodyTextChar3"/>
    <w:rsid w:val="007C0648"/>
    <w:pPr>
      <w:widowControl w:val="0"/>
      <w:suppressAutoHyphens/>
      <w:spacing w:after="120" w:line="288" w:lineRule="auto"/>
      <w:jc w:val="both"/>
    </w:pPr>
    <w:rPr>
      <w:rFonts w:ascii="Arial" w:eastAsia="DejaVu Sans" w:hAnsi="Arial" w:cs="Tahoma"/>
      <w:color w:val="auto"/>
      <w:kern w:val="18"/>
      <w:sz w:val="20"/>
      <w:szCs w:val="24"/>
      <w:lang w:eastAsia="fr-FR"/>
    </w:rPr>
  </w:style>
  <w:style w:type="character" w:customStyle="1" w:styleId="BodyTextChar3">
    <w:name w:val="Body Text Char3"/>
    <w:aliases w:val="bt Char,Body Text Char2 Char,A - Corps de texte Char,TextMG Char,Body Text Char Char1,Body Text Char Char Char Char Char,Body Text Char1 Char,Body Text Char Char Char,Body Text Char1 Char Char Char Char,TextM Char,Rapport-normal Char"/>
    <w:basedOn w:val="DefaultParagraphFont"/>
    <w:link w:val="BodyText"/>
    <w:rsid w:val="007C0648"/>
    <w:rPr>
      <w:rFonts w:ascii="Arial" w:eastAsia="DejaVu Sans" w:hAnsi="Arial" w:cs="Tahoma"/>
      <w:kern w:val="18"/>
      <w:sz w:val="20"/>
      <w:szCs w:val="24"/>
      <w:lang w:val="fr-FR" w:eastAsia="fr-FR"/>
    </w:rPr>
  </w:style>
  <w:style w:type="character" w:styleId="FollowedHyperlink">
    <w:name w:val="FollowedHyperlink"/>
    <w:basedOn w:val="DefaultParagraphFont"/>
    <w:uiPriority w:val="99"/>
    <w:semiHidden/>
    <w:unhideWhenUsed/>
    <w:rsid w:val="00013402"/>
    <w:rPr>
      <w:color w:val="954F72" w:themeColor="followedHyperlink"/>
      <w:u w:val="single"/>
    </w:rPr>
  </w:style>
  <w:style w:type="paragraph" w:customStyle="1" w:styleId="CTBCorpsdetexte">
    <w:name w:val="CTB Corps de texte"/>
    <w:basedOn w:val="Normal"/>
    <w:qFormat/>
    <w:rsid w:val="00C96A86"/>
    <w:pPr>
      <w:widowControl w:val="0"/>
      <w:suppressAutoHyphens/>
      <w:spacing w:before="120" w:after="120" w:line="288" w:lineRule="auto"/>
      <w:jc w:val="both"/>
    </w:pPr>
    <w:rPr>
      <w:rFonts w:ascii="Arial" w:eastAsia="Times New Roman" w:hAnsi="Arial" w:cs="Times New Roman"/>
      <w:color w:val="auto"/>
      <w:kern w:val="18"/>
      <w:sz w:val="20"/>
      <w:szCs w:val="2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0F0383"/>
    <w:rPr>
      <w:rFonts w:ascii="Georgia" w:hAnsi="Georgia"/>
      <w:color w:val="585756"/>
      <w:sz w:val="20"/>
      <w:szCs w:val="20"/>
    </w:rPr>
  </w:style>
  <w:style w:type="paragraph" w:styleId="CommentSubject">
    <w:name w:val="annotation subject"/>
    <w:basedOn w:val="CommentText"/>
    <w:next w:val="CommentText"/>
    <w:link w:val="CommentSubjectChar"/>
    <w:uiPriority w:val="99"/>
    <w:semiHidden/>
    <w:unhideWhenUsed/>
    <w:rsid w:val="000F0383"/>
    <w:rPr>
      <w:b/>
      <w:bCs/>
    </w:rPr>
  </w:style>
  <w:style w:type="character" w:customStyle="1" w:styleId="CommentSubjectChar">
    <w:name w:val="Comment Subject Char"/>
    <w:basedOn w:val="CommentTextChar"/>
    <w:link w:val="CommentSubject"/>
    <w:uiPriority w:val="99"/>
    <w:semiHidden/>
    <w:rsid w:val="000F0383"/>
    <w:rPr>
      <w:rFonts w:ascii="Georgia" w:hAnsi="Georgia"/>
      <w:b/>
      <w:bCs/>
      <w:color w:val="585756"/>
      <w:sz w:val="20"/>
      <w:szCs w:val="20"/>
    </w:rPr>
  </w:style>
  <w:style w:type="paragraph" w:customStyle="1" w:styleId="BTCtextCTB">
    <w:name w:val="BTC text CTB"/>
    <w:rsid w:val="00612EFE"/>
    <w:pPr>
      <w:spacing w:before="120" w:after="120" w:line="240" w:lineRule="auto"/>
      <w:jc w:val="both"/>
    </w:pPr>
    <w:rPr>
      <w:rFonts w:ascii="Garamond" w:eastAsia="Times New Roman" w:hAnsi="Garamond" w:cs="Times New Roman"/>
      <w:sz w:val="24"/>
      <w:szCs w:val="20"/>
      <w:lang w:eastAsia="fr-FR"/>
    </w:rPr>
  </w:style>
  <w:style w:type="paragraph" w:customStyle="1" w:styleId="BTCbulletsCTB">
    <w:name w:val="BTC bullets CTB"/>
    <w:basedOn w:val="Normal"/>
    <w:rsid w:val="001B27A2"/>
    <w:pPr>
      <w:tabs>
        <w:tab w:val="left" w:pos="360"/>
        <w:tab w:val="num" w:pos="1224"/>
      </w:tabs>
      <w:spacing w:after="120" w:line="288" w:lineRule="auto"/>
      <w:ind w:left="1152" w:hanging="288"/>
      <w:jc w:val="both"/>
    </w:pPr>
    <w:rPr>
      <w:rFonts w:ascii="Arial" w:eastAsia="Times New Roman" w:hAnsi="Arial" w:cs="Times New Roman"/>
      <w:bCs/>
      <w:color w:val="auto"/>
      <w:kern w:val="1"/>
      <w:sz w:val="20"/>
      <w:szCs w:val="24"/>
      <w:lang w:eastAsia="fr-FR"/>
    </w:rPr>
  </w:style>
  <w:style w:type="paragraph" w:customStyle="1" w:styleId="BTCBullets">
    <w:name w:val="BTC Bullets"/>
    <w:basedOn w:val="BodyText"/>
    <w:rsid w:val="00102EEB"/>
    <w:pPr>
      <w:numPr>
        <w:ilvl w:val="8"/>
        <w:numId w:val="10"/>
      </w:numPr>
      <w:spacing w:after="60"/>
    </w:pPr>
  </w:style>
  <w:style w:type="paragraph" w:styleId="NormalWeb">
    <w:name w:val="Normal (Web)"/>
    <w:basedOn w:val="Normal"/>
    <w:uiPriority w:val="99"/>
    <w:semiHidden/>
    <w:unhideWhenUsed/>
    <w:rsid w:val="00321ACA"/>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paragraph" w:styleId="List">
    <w:name w:val="List"/>
    <w:basedOn w:val="BodyText"/>
    <w:semiHidden/>
    <w:rsid w:val="00D70DBF"/>
    <w:pPr>
      <w:numPr>
        <w:numId w:val="11"/>
      </w:numPr>
      <w:tabs>
        <w:tab w:val="clear" w:pos="2138"/>
      </w:tabs>
      <w:ind w:left="0" w:firstLine="0"/>
    </w:pPr>
  </w:style>
  <w:style w:type="paragraph" w:customStyle="1" w:styleId="Heading10">
    <w:name w:val="Heading 10"/>
    <w:basedOn w:val="Normal"/>
    <w:next w:val="BodyText"/>
    <w:rsid w:val="000542D1"/>
    <w:pPr>
      <w:keepNext/>
      <w:widowControl w:val="0"/>
      <w:numPr>
        <w:ilvl w:val="1"/>
        <w:numId w:val="12"/>
      </w:numPr>
      <w:tabs>
        <w:tab w:val="num" w:pos="1584"/>
      </w:tabs>
      <w:suppressAutoHyphens/>
      <w:spacing w:before="240" w:after="120" w:line="240" w:lineRule="auto"/>
      <w:ind w:left="1584" w:hanging="1584"/>
      <w:outlineLvl w:val="8"/>
    </w:pPr>
    <w:rPr>
      <w:rFonts w:ascii="Arial" w:eastAsia="Arial Unicode MS" w:hAnsi="Arial" w:cs="Tahoma"/>
      <w:b/>
      <w:bCs/>
      <w:color w:val="auto"/>
      <w:kern w:val="1"/>
      <w:szCs w:val="21"/>
    </w:rPr>
  </w:style>
  <w:style w:type="character" w:customStyle="1" w:styleId="ListParagraphChar1">
    <w:name w:val="List Paragraph Char1"/>
    <w:aliases w:val="Lettre d'introduction Char,Paragraphe Char,Bullet 1 Char,List Paragraph1 Char,Liste Niveau 1 Char,Indent Paragraph Char,Paragraphe de liste PBLH Char,Bullet Points Char,Liste Paragraf Char,Llista Nivell1 Char,Lista de nivel 1 Char"/>
    <w:basedOn w:val="DefaultParagraphFont"/>
    <w:link w:val="ListParagraph"/>
    <w:qFormat/>
    <w:locked/>
    <w:rsid w:val="0005367B"/>
    <w:rPr>
      <w:rFonts w:ascii="Georgia" w:hAnsi="Georgia"/>
      <w:color w:val="585756"/>
      <w:sz w:val="21"/>
    </w:rPr>
  </w:style>
  <w:style w:type="character" w:styleId="Strong">
    <w:name w:val="Strong"/>
    <w:basedOn w:val="DefaultParagraphFont"/>
    <w:uiPriority w:val="22"/>
    <w:qFormat/>
    <w:rsid w:val="00345752"/>
    <w:rPr>
      <w:b/>
      <w:bCs/>
    </w:rPr>
  </w:style>
  <w:style w:type="character" w:customStyle="1" w:styleId="Onopgelostemelding1">
    <w:name w:val="Onopgeloste melding1"/>
    <w:basedOn w:val="DefaultParagraphFont"/>
    <w:uiPriority w:val="99"/>
    <w:semiHidden/>
    <w:unhideWhenUsed/>
    <w:rsid w:val="004B74D8"/>
    <w:rPr>
      <w:color w:val="605E5C"/>
      <w:shd w:val="clear" w:color="auto" w:fill="E1DFDD"/>
    </w:rPr>
  </w:style>
  <w:style w:type="paragraph" w:styleId="Revision">
    <w:name w:val="Revision"/>
    <w:hidden/>
    <w:uiPriority w:val="99"/>
    <w:semiHidden/>
    <w:rsid w:val="001E5BA0"/>
    <w:pPr>
      <w:spacing w:after="0" w:line="240" w:lineRule="auto"/>
    </w:pPr>
    <w:rPr>
      <w:rFonts w:ascii="Georgia" w:hAnsi="Georgia"/>
      <w:color w:val="585756"/>
      <w:sz w:val="21"/>
    </w:rPr>
  </w:style>
  <w:style w:type="paragraph" w:styleId="BodyTextIndent2">
    <w:name w:val="Body Text Indent 2"/>
    <w:basedOn w:val="Normal"/>
    <w:link w:val="BodyTextIndent2Char"/>
    <w:uiPriority w:val="99"/>
    <w:semiHidden/>
    <w:unhideWhenUsed/>
    <w:rsid w:val="00465177"/>
    <w:pPr>
      <w:spacing w:after="120" w:line="480" w:lineRule="auto"/>
      <w:ind w:left="283"/>
    </w:pPr>
  </w:style>
  <w:style w:type="character" w:customStyle="1" w:styleId="BodyTextIndent2Char">
    <w:name w:val="Body Text Indent 2 Char"/>
    <w:basedOn w:val="DefaultParagraphFont"/>
    <w:link w:val="BodyTextIndent2"/>
    <w:uiPriority w:val="99"/>
    <w:semiHidden/>
    <w:rsid w:val="00465177"/>
    <w:rPr>
      <w:rFonts w:ascii="Georgia" w:hAnsi="Georgia"/>
      <w:color w:val="585756"/>
      <w:sz w:val="21"/>
    </w:rPr>
  </w:style>
  <w:style w:type="table" w:customStyle="1" w:styleId="TableNormal1">
    <w:name w:val="Table Normal1"/>
    <w:uiPriority w:val="2"/>
    <w:semiHidden/>
    <w:unhideWhenUsed/>
    <w:qFormat/>
    <w:rsid w:val="00465177"/>
    <w:pPr>
      <w:widowControl w:val="0"/>
      <w:autoSpaceDE w:val="0"/>
      <w:autoSpaceDN w:val="0"/>
      <w:spacing w:after="0" w:line="240" w:lineRule="auto"/>
    </w:pPr>
    <w:rPr>
      <w:rFonts w:ascii="Calibri" w:eastAsia="Calibri" w:hAnsi="Calibri" w:cs="Arial"/>
    </w:rPr>
    <w:tblPr>
      <w:tblInd w:w="0" w:type="dxa"/>
      <w:tblCellMar>
        <w:top w:w="0" w:type="dxa"/>
        <w:left w:w="0" w:type="dxa"/>
        <w:bottom w:w="0" w:type="dxa"/>
        <w:right w:w="0" w:type="dxa"/>
      </w:tblCellMar>
    </w:tblPr>
  </w:style>
  <w:style w:type="paragraph" w:customStyle="1" w:styleId="paragraph">
    <w:name w:val="paragraph"/>
    <w:basedOn w:val="Normal"/>
    <w:rsid w:val="007D68DE"/>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character" w:customStyle="1" w:styleId="normaltextrun">
    <w:name w:val="normaltextrun"/>
    <w:rsid w:val="007D68DE"/>
  </w:style>
  <w:style w:type="character" w:customStyle="1" w:styleId="eop">
    <w:name w:val="eop"/>
    <w:rsid w:val="007D68DE"/>
  </w:style>
  <w:style w:type="character" w:customStyle="1" w:styleId="spellingerror">
    <w:name w:val="spellingerror"/>
    <w:rsid w:val="007D68DE"/>
  </w:style>
  <w:style w:type="character" w:customStyle="1" w:styleId="contextualspellingandgrammarerror">
    <w:name w:val="contextualspellingandgrammarerror"/>
    <w:rsid w:val="007D68DE"/>
  </w:style>
  <w:style w:type="character" w:customStyle="1" w:styleId="scxw174104514">
    <w:name w:val="scxw174104514"/>
    <w:rsid w:val="007D68DE"/>
  </w:style>
  <w:style w:type="character" w:styleId="UnresolvedMention">
    <w:name w:val="Unresolved Mention"/>
    <w:basedOn w:val="DefaultParagraphFont"/>
    <w:uiPriority w:val="99"/>
    <w:semiHidden/>
    <w:unhideWhenUsed/>
    <w:rsid w:val="005B7D75"/>
    <w:rPr>
      <w:color w:val="605E5C"/>
      <w:shd w:val="clear" w:color="auto" w:fill="E1DFDD"/>
    </w:rPr>
  </w:style>
  <w:style w:type="character" w:customStyle="1" w:styleId="ListParagraphChar">
    <w:name w:val="List Paragraph Char"/>
    <w:aliases w:val="PCA-§list Char,References Char,Liste couleur - Accent 11 Char,List Paragraph nowy Char,List Paragraph (numbered (a)) Char,Liste 1 Char,Liste Bullet Char,séga Char,MCHIP_list paragraph Char,Recommendation Char,Bullet List Char"/>
    <w:basedOn w:val="DefaultParagraphFont"/>
    <w:link w:val="ListParagraph2"/>
    <w:qFormat/>
    <w:locked/>
    <w:rsid w:val="001F2A49"/>
  </w:style>
  <w:style w:type="paragraph" w:customStyle="1" w:styleId="ListParagraph2">
    <w:name w:val="List Paragraph2"/>
    <w:aliases w:val="PCA-§list,References,Liste couleur - Accent 11,List Paragraph nowy,List Paragraph (numbered (a)),Liste 1,Liste Bullet,séga,MCHIP_list paragraph,Recommendation,Bullet List,FooterText,Paragraphe de liste1,Bullets,numbere"/>
    <w:basedOn w:val="Normal"/>
    <w:link w:val="ListParagraphChar"/>
    <w:rsid w:val="001F2A49"/>
    <w:pPr>
      <w:spacing w:line="252" w:lineRule="auto"/>
      <w:ind w:left="720"/>
      <w:contextualSpacing/>
    </w:pPr>
    <w:rPr>
      <w:rFonts w:asciiTheme="minorHAnsi" w:hAnsiTheme="minorHAns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14">
      <w:bodyDiv w:val="1"/>
      <w:marLeft w:val="0"/>
      <w:marRight w:val="0"/>
      <w:marTop w:val="0"/>
      <w:marBottom w:val="0"/>
      <w:divBdr>
        <w:top w:val="none" w:sz="0" w:space="0" w:color="auto"/>
        <w:left w:val="none" w:sz="0" w:space="0" w:color="auto"/>
        <w:bottom w:val="none" w:sz="0" w:space="0" w:color="auto"/>
        <w:right w:val="none" w:sz="0" w:space="0" w:color="auto"/>
      </w:divBdr>
    </w:div>
    <w:div w:id="241990997">
      <w:bodyDiv w:val="1"/>
      <w:marLeft w:val="0"/>
      <w:marRight w:val="0"/>
      <w:marTop w:val="0"/>
      <w:marBottom w:val="0"/>
      <w:divBdr>
        <w:top w:val="none" w:sz="0" w:space="0" w:color="auto"/>
        <w:left w:val="none" w:sz="0" w:space="0" w:color="auto"/>
        <w:bottom w:val="none" w:sz="0" w:space="0" w:color="auto"/>
        <w:right w:val="none" w:sz="0" w:space="0" w:color="auto"/>
      </w:divBdr>
    </w:div>
    <w:div w:id="313686535">
      <w:bodyDiv w:val="1"/>
      <w:marLeft w:val="0"/>
      <w:marRight w:val="0"/>
      <w:marTop w:val="0"/>
      <w:marBottom w:val="0"/>
      <w:divBdr>
        <w:top w:val="none" w:sz="0" w:space="0" w:color="auto"/>
        <w:left w:val="none" w:sz="0" w:space="0" w:color="auto"/>
        <w:bottom w:val="none" w:sz="0" w:space="0" w:color="auto"/>
        <w:right w:val="none" w:sz="0" w:space="0" w:color="auto"/>
      </w:divBdr>
    </w:div>
    <w:div w:id="370808594">
      <w:bodyDiv w:val="1"/>
      <w:marLeft w:val="0"/>
      <w:marRight w:val="0"/>
      <w:marTop w:val="0"/>
      <w:marBottom w:val="0"/>
      <w:divBdr>
        <w:top w:val="none" w:sz="0" w:space="0" w:color="auto"/>
        <w:left w:val="none" w:sz="0" w:space="0" w:color="auto"/>
        <w:bottom w:val="none" w:sz="0" w:space="0" w:color="auto"/>
        <w:right w:val="none" w:sz="0" w:space="0" w:color="auto"/>
      </w:divBdr>
    </w:div>
    <w:div w:id="662201782">
      <w:bodyDiv w:val="1"/>
      <w:marLeft w:val="0"/>
      <w:marRight w:val="0"/>
      <w:marTop w:val="0"/>
      <w:marBottom w:val="0"/>
      <w:divBdr>
        <w:top w:val="none" w:sz="0" w:space="0" w:color="auto"/>
        <w:left w:val="none" w:sz="0" w:space="0" w:color="auto"/>
        <w:bottom w:val="none" w:sz="0" w:space="0" w:color="auto"/>
        <w:right w:val="none" w:sz="0" w:space="0" w:color="auto"/>
      </w:divBdr>
      <w:divsChild>
        <w:div w:id="329454494">
          <w:marLeft w:val="0"/>
          <w:marRight w:val="0"/>
          <w:marTop w:val="0"/>
          <w:marBottom w:val="0"/>
          <w:divBdr>
            <w:top w:val="none" w:sz="0" w:space="0" w:color="auto"/>
            <w:left w:val="none" w:sz="0" w:space="0" w:color="auto"/>
            <w:bottom w:val="none" w:sz="0" w:space="0" w:color="auto"/>
            <w:right w:val="none" w:sz="0" w:space="0" w:color="auto"/>
          </w:divBdr>
        </w:div>
        <w:div w:id="601063420">
          <w:marLeft w:val="0"/>
          <w:marRight w:val="0"/>
          <w:marTop w:val="0"/>
          <w:marBottom w:val="0"/>
          <w:divBdr>
            <w:top w:val="none" w:sz="0" w:space="0" w:color="auto"/>
            <w:left w:val="none" w:sz="0" w:space="0" w:color="auto"/>
            <w:bottom w:val="none" w:sz="0" w:space="0" w:color="auto"/>
            <w:right w:val="none" w:sz="0" w:space="0" w:color="auto"/>
          </w:divBdr>
        </w:div>
        <w:div w:id="830414073">
          <w:marLeft w:val="0"/>
          <w:marRight w:val="0"/>
          <w:marTop w:val="0"/>
          <w:marBottom w:val="0"/>
          <w:divBdr>
            <w:top w:val="none" w:sz="0" w:space="0" w:color="auto"/>
            <w:left w:val="none" w:sz="0" w:space="0" w:color="auto"/>
            <w:bottom w:val="none" w:sz="0" w:space="0" w:color="auto"/>
            <w:right w:val="none" w:sz="0" w:space="0" w:color="auto"/>
          </w:divBdr>
        </w:div>
        <w:div w:id="2052656082">
          <w:marLeft w:val="0"/>
          <w:marRight w:val="0"/>
          <w:marTop w:val="0"/>
          <w:marBottom w:val="0"/>
          <w:divBdr>
            <w:top w:val="none" w:sz="0" w:space="0" w:color="auto"/>
            <w:left w:val="none" w:sz="0" w:space="0" w:color="auto"/>
            <w:bottom w:val="none" w:sz="0" w:space="0" w:color="auto"/>
            <w:right w:val="none" w:sz="0" w:space="0" w:color="auto"/>
          </w:divBdr>
        </w:div>
      </w:divsChild>
    </w:div>
    <w:div w:id="693384708">
      <w:bodyDiv w:val="1"/>
      <w:marLeft w:val="0"/>
      <w:marRight w:val="0"/>
      <w:marTop w:val="0"/>
      <w:marBottom w:val="0"/>
      <w:divBdr>
        <w:top w:val="none" w:sz="0" w:space="0" w:color="auto"/>
        <w:left w:val="none" w:sz="0" w:space="0" w:color="auto"/>
        <w:bottom w:val="none" w:sz="0" w:space="0" w:color="auto"/>
        <w:right w:val="none" w:sz="0" w:space="0" w:color="auto"/>
      </w:divBdr>
    </w:div>
    <w:div w:id="800003548">
      <w:bodyDiv w:val="1"/>
      <w:marLeft w:val="0"/>
      <w:marRight w:val="0"/>
      <w:marTop w:val="0"/>
      <w:marBottom w:val="0"/>
      <w:divBdr>
        <w:top w:val="none" w:sz="0" w:space="0" w:color="auto"/>
        <w:left w:val="none" w:sz="0" w:space="0" w:color="auto"/>
        <w:bottom w:val="none" w:sz="0" w:space="0" w:color="auto"/>
        <w:right w:val="none" w:sz="0" w:space="0" w:color="auto"/>
      </w:divBdr>
    </w:div>
    <w:div w:id="1026954199">
      <w:bodyDiv w:val="1"/>
      <w:marLeft w:val="0"/>
      <w:marRight w:val="0"/>
      <w:marTop w:val="0"/>
      <w:marBottom w:val="0"/>
      <w:divBdr>
        <w:top w:val="none" w:sz="0" w:space="0" w:color="auto"/>
        <w:left w:val="none" w:sz="0" w:space="0" w:color="auto"/>
        <w:bottom w:val="none" w:sz="0" w:space="0" w:color="auto"/>
        <w:right w:val="none" w:sz="0" w:space="0" w:color="auto"/>
      </w:divBdr>
    </w:div>
    <w:div w:id="1219173644">
      <w:bodyDiv w:val="1"/>
      <w:marLeft w:val="0"/>
      <w:marRight w:val="0"/>
      <w:marTop w:val="0"/>
      <w:marBottom w:val="0"/>
      <w:divBdr>
        <w:top w:val="none" w:sz="0" w:space="0" w:color="auto"/>
        <w:left w:val="none" w:sz="0" w:space="0" w:color="auto"/>
        <w:bottom w:val="none" w:sz="0" w:space="0" w:color="auto"/>
        <w:right w:val="none" w:sz="0" w:space="0" w:color="auto"/>
      </w:divBdr>
      <w:divsChild>
        <w:div w:id="50229073">
          <w:marLeft w:val="0"/>
          <w:marRight w:val="0"/>
          <w:marTop w:val="0"/>
          <w:marBottom w:val="0"/>
          <w:divBdr>
            <w:top w:val="none" w:sz="0" w:space="0" w:color="auto"/>
            <w:left w:val="none" w:sz="0" w:space="0" w:color="auto"/>
            <w:bottom w:val="none" w:sz="0" w:space="0" w:color="auto"/>
            <w:right w:val="none" w:sz="0" w:space="0" w:color="auto"/>
          </w:divBdr>
        </w:div>
        <w:div w:id="225920008">
          <w:marLeft w:val="0"/>
          <w:marRight w:val="0"/>
          <w:marTop w:val="0"/>
          <w:marBottom w:val="0"/>
          <w:divBdr>
            <w:top w:val="none" w:sz="0" w:space="0" w:color="auto"/>
            <w:left w:val="none" w:sz="0" w:space="0" w:color="auto"/>
            <w:bottom w:val="none" w:sz="0" w:space="0" w:color="auto"/>
            <w:right w:val="none" w:sz="0" w:space="0" w:color="auto"/>
          </w:divBdr>
        </w:div>
        <w:div w:id="605581893">
          <w:marLeft w:val="0"/>
          <w:marRight w:val="0"/>
          <w:marTop w:val="0"/>
          <w:marBottom w:val="0"/>
          <w:divBdr>
            <w:top w:val="none" w:sz="0" w:space="0" w:color="auto"/>
            <w:left w:val="none" w:sz="0" w:space="0" w:color="auto"/>
            <w:bottom w:val="none" w:sz="0" w:space="0" w:color="auto"/>
            <w:right w:val="none" w:sz="0" w:space="0" w:color="auto"/>
          </w:divBdr>
        </w:div>
        <w:div w:id="654259766">
          <w:marLeft w:val="0"/>
          <w:marRight w:val="0"/>
          <w:marTop w:val="0"/>
          <w:marBottom w:val="0"/>
          <w:divBdr>
            <w:top w:val="none" w:sz="0" w:space="0" w:color="auto"/>
            <w:left w:val="none" w:sz="0" w:space="0" w:color="auto"/>
            <w:bottom w:val="none" w:sz="0" w:space="0" w:color="auto"/>
            <w:right w:val="none" w:sz="0" w:space="0" w:color="auto"/>
          </w:divBdr>
        </w:div>
        <w:div w:id="1613588591">
          <w:marLeft w:val="0"/>
          <w:marRight w:val="0"/>
          <w:marTop w:val="0"/>
          <w:marBottom w:val="0"/>
          <w:divBdr>
            <w:top w:val="none" w:sz="0" w:space="0" w:color="auto"/>
            <w:left w:val="none" w:sz="0" w:space="0" w:color="auto"/>
            <w:bottom w:val="none" w:sz="0" w:space="0" w:color="auto"/>
            <w:right w:val="none" w:sz="0" w:space="0" w:color="auto"/>
          </w:divBdr>
        </w:div>
      </w:divsChild>
    </w:div>
    <w:div w:id="1292788156">
      <w:bodyDiv w:val="1"/>
      <w:marLeft w:val="0"/>
      <w:marRight w:val="0"/>
      <w:marTop w:val="0"/>
      <w:marBottom w:val="0"/>
      <w:divBdr>
        <w:top w:val="none" w:sz="0" w:space="0" w:color="auto"/>
        <w:left w:val="none" w:sz="0" w:space="0" w:color="auto"/>
        <w:bottom w:val="none" w:sz="0" w:space="0" w:color="auto"/>
        <w:right w:val="none" w:sz="0" w:space="0" w:color="auto"/>
      </w:divBdr>
      <w:divsChild>
        <w:div w:id="993526256">
          <w:marLeft w:val="0"/>
          <w:marRight w:val="0"/>
          <w:marTop w:val="0"/>
          <w:marBottom w:val="0"/>
          <w:divBdr>
            <w:top w:val="none" w:sz="0" w:space="0" w:color="auto"/>
            <w:left w:val="none" w:sz="0" w:space="0" w:color="auto"/>
            <w:bottom w:val="none" w:sz="0" w:space="0" w:color="auto"/>
            <w:right w:val="none" w:sz="0" w:space="0" w:color="auto"/>
          </w:divBdr>
        </w:div>
        <w:div w:id="1120488669">
          <w:marLeft w:val="0"/>
          <w:marRight w:val="0"/>
          <w:marTop w:val="0"/>
          <w:marBottom w:val="0"/>
          <w:divBdr>
            <w:top w:val="none" w:sz="0" w:space="0" w:color="auto"/>
            <w:left w:val="none" w:sz="0" w:space="0" w:color="auto"/>
            <w:bottom w:val="none" w:sz="0" w:space="0" w:color="auto"/>
            <w:right w:val="none" w:sz="0" w:space="0" w:color="auto"/>
          </w:divBdr>
        </w:div>
        <w:div w:id="1673486054">
          <w:marLeft w:val="0"/>
          <w:marRight w:val="0"/>
          <w:marTop w:val="0"/>
          <w:marBottom w:val="0"/>
          <w:divBdr>
            <w:top w:val="none" w:sz="0" w:space="0" w:color="auto"/>
            <w:left w:val="none" w:sz="0" w:space="0" w:color="auto"/>
            <w:bottom w:val="none" w:sz="0" w:space="0" w:color="auto"/>
            <w:right w:val="none" w:sz="0" w:space="0" w:color="auto"/>
          </w:divBdr>
        </w:div>
        <w:div w:id="2067490052">
          <w:marLeft w:val="0"/>
          <w:marRight w:val="0"/>
          <w:marTop w:val="0"/>
          <w:marBottom w:val="0"/>
          <w:divBdr>
            <w:top w:val="none" w:sz="0" w:space="0" w:color="auto"/>
            <w:left w:val="none" w:sz="0" w:space="0" w:color="auto"/>
            <w:bottom w:val="none" w:sz="0" w:space="0" w:color="auto"/>
            <w:right w:val="none" w:sz="0" w:space="0" w:color="auto"/>
          </w:divBdr>
        </w:div>
      </w:divsChild>
    </w:div>
    <w:div w:id="1779134996">
      <w:bodyDiv w:val="1"/>
      <w:marLeft w:val="0"/>
      <w:marRight w:val="0"/>
      <w:marTop w:val="0"/>
      <w:marBottom w:val="0"/>
      <w:divBdr>
        <w:top w:val="none" w:sz="0" w:space="0" w:color="auto"/>
        <w:left w:val="none" w:sz="0" w:space="0" w:color="auto"/>
        <w:bottom w:val="none" w:sz="0" w:space="0" w:color="auto"/>
        <w:right w:val="none" w:sz="0" w:space="0" w:color="auto"/>
      </w:divBdr>
      <w:divsChild>
        <w:div w:id="634718194">
          <w:marLeft w:val="0"/>
          <w:marRight w:val="0"/>
          <w:marTop w:val="0"/>
          <w:marBottom w:val="0"/>
          <w:divBdr>
            <w:top w:val="none" w:sz="0" w:space="0" w:color="auto"/>
            <w:left w:val="none" w:sz="0" w:space="0" w:color="auto"/>
            <w:bottom w:val="none" w:sz="0" w:space="0" w:color="auto"/>
            <w:right w:val="none" w:sz="0" w:space="0" w:color="auto"/>
          </w:divBdr>
        </w:div>
      </w:divsChild>
    </w:div>
    <w:div w:id="1859080848">
      <w:bodyDiv w:val="1"/>
      <w:marLeft w:val="0"/>
      <w:marRight w:val="0"/>
      <w:marTop w:val="0"/>
      <w:marBottom w:val="0"/>
      <w:divBdr>
        <w:top w:val="none" w:sz="0" w:space="0" w:color="auto"/>
        <w:left w:val="none" w:sz="0" w:space="0" w:color="auto"/>
        <w:bottom w:val="none" w:sz="0" w:space="0" w:color="auto"/>
        <w:right w:val="none" w:sz="0" w:space="0" w:color="auto"/>
      </w:divBdr>
    </w:div>
    <w:div w:id="2099712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enabel.be/fr/marches-publics/" TargetMode="External"/><Relationship Id="rId26" Type="http://schemas.openxmlformats.org/officeDocument/2006/relationships/hyperlink" Target="mailto:info.cdcdck@minfin.fed.be" TargetMode="External"/><Relationship Id="rId3" Type="http://schemas.openxmlformats.org/officeDocument/2006/relationships/customXml" Target="../customXml/item3.xml"/><Relationship Id="rId21" Type="http://schemas.openxmlformats.org/officeDocument/2006/relationships/hyperlink" Target="http://www.map24.be/map24/routingform.php3?map24_sid=ed17551eca14ea9f1b6a60a8566e17aa" TargetMode="External"/><Relationship Id="rId34" Type="http://schemas.openxmlformats.org/officeDocument/2006/relationships/hyperlink" Target="https://finances.belgium.be/fr/sur_le_spf/structure_et_services/administrations_generales/tr%C3%A9sorerie/contr%C3%B4le-des-instruments-1-2"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nabelintegrity.be" TargetMode="External"/><Relationship Id="rId25" Type="http://schemas.openxmlformats.org/officeDocument/2006/relationships/hyperlink" Target="https://finances.belgium.be/sites/default/files/01_marche_public.pdf" TargetMode="External"/><Relationship Id="rId33" Type="http://schemas.openxmlformats.org/officeDocument/2006/relationships/hyperlink" Target="https://eeas.europa.eu/sites/eeas/files/restrictive_measures-2017-01-17-clean.pdf" TargetMode="External"/><Relationship Id="rId2" Type="http://schemas.openxmlformats.org/officeDocument/2006/relationships/customXml" Target="../customXml/item2.xml"/><Relationship Id="rId16" Type="http://schemas.openxmlformats.org/officeDocument/2006/relationships/hyperlink" Target="https://www.enabel.be/fr/content/declaration-de-confidentialite-denabel" TargetMode="External"/><Relationship Id="rId20" Type="http://schemas.openxmlformats.org/officeDocument/2006/relationships/hyperlink" Target="http://www.belgium.be/eportal/application?origin=navigationBanner.jsp&amp;event=bea.portal.framework.internal.refresh&amp;pageid=indexPage&amp;navId=2147" TargetMode="External"/><Relationship Id="rId29" Type="http://schemas.openxmlformats.org/officeDocument/2006/relationships/hyperlink" Target="https://peppol.org/members/peppol-certified-service-provide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zaiha.arezki@enabel.be" TargetMode="External"/><Relationship Id="rId32" Type="http://schemas.openxmlformats.org/officeDocument/2006/relationships/hyperlink" Target="https://eeas.europa.eu/headquarters/headquarters-homepage/8442/consolidated-list-sanctions"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dume.publicprocurement.be/" TargetMode="External"/><Relationship Id="rId28" Type="http://schemas.openxmlformats.org/officeDocument/2006/relationships/hyperlink" Target="https://peppol.org/about/"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ublicprocurement.be/" TargetMode="External"/><Relationship Id="rId31" Type="http://schemas.openxmlformats.org/officeDocument/2006/relationships/hyperlink" Target="https://finances.belgium.be/fr/tresorerie/sanctions-financieres/sanctions-europ%C3%A9ennes-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ejustice.just.fgov.be/eli/arrete/2018/07/02/2018040199/moniteur" TargetMode="External"/><Relationship Id="rId27" Type="http://schemas.openxmlformats.org/officeDocument/2006/relationships/hyperlink" Target="https://openpeppol.atlassian.net/wiki/spaces/Belgium/pages/617906281/Strat+gie+du+secteur+public+belge+en+mati+re+de+facturation+lectronique" TargetMode="External"/><Relationship Id="rId30" Type="http://schemas.openxmlformats.org/officeDocument/2006/relationships/hyperlink" Target="https://finances.belgium.be/fr/tresorerie/sanctions-financieres/sanctions-internationales-nations-unies"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9CC87A36D87B74DB418DEE1F6D3FB20" ma:contentTypeVersion="17" ma:contentTypeDescription="Crée un document." ma:contentTypeScope="" ma:versionID="c50621428413163d80facece5a0fa4e3">
  <xsd:schema xmlns:xsd="http://www.w3.org/2001/XMLSchema" xmlns:xs="http://www.w3.org/2001/XMLSchema" xmlns:p="http://schemas.microsoft.com/office/2006/metadata/properties" xmlns:ns2="d6af9b4d-6e5d-405c-aaeb-1dafca956d6d" xmlns:ns3="ff2deb72-29e1-441c-add8-2f28f08d1985" targetNamespace="http://schemas.microsoft.com/office/2006/metadata/properties" ma:root="true" ma:fieldsID="3799861662331d728baf1c7351513477" ns2:_="" ns3:_="">
    <xsd:import namespace="d6af9b4d-6e5d-405c-aaeb-1dafca956d6d"/>
    <xsd:import namespace="ff2deb72-29e1-441c-add8-2f28f08d19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Due_x0020_date"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f9b4d-6e5d-405c-aaeb-1dafca956d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Due_x0020_date" ma:index="16" nillable="true" ma:displayName="Due date" ma:format="DateOnly" ma:internalName="Due_x0020_date">
      <xsd:simpleType>
        <xsd:restriction base="dms:DateTime"/>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2deb72-29e1-441c-add8-2f28f08d198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24c2ae6b-caf2-4666-8c4a-c6f8f5e28a08}" ma:internalName="TaxCatchAll" ma:showField="CatchAllData" ma:web="ff2deb72-29e1-441c-add8-2f28f08d1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ff2deb72-29e1-441c-add8-2f28f08d1985">
      <UserInfo>
        <DisplayName>SCHEPS, Rebecca</DisplayName>
        <AccountId>21</AccountId>
        <AccountType/>
      </UserInfo>
      <UserInfo>
        <DisplayName>LASTRA, Isabel</DisplayName>
        <AccountId>74</AccountId>
        <AccountType/>
      </UserInfo>
    </SharedWithUsers>
    <Due_x0020_date xmlns="d6af9b4d-6e5d-405c-aaeb-1dafca956d6d" xsi:nil="true"/>
    <TaxCatchAll xmlns="ff2deb72-29e1-441c-add8-2f28f08d1985" xsi:nil="true"/>
    <lcf76f155ced4ddcb4097134ff3c332f xmlns="d6af9b4d-6e5d-405c-aaeb-1dafca956d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A859FE-2F16-406C-B81B-46A7DDFCAA34}">
  <ds:schemaRefs>
    <ds:schemaRef ds:uri="http://schemas.openxmlformats.org/officeDocument/2006/bibliography"/>
  </ds:schemaRefs>
</ds:datastoreItem>
</file>

<file path=customXml/itemProps2.xml><?xml version="1.0" encoding="utf-8"?>
<ds:datastoreItem xmlns:ds="http://schemas.openxmlformats.org/officeDocument/2006/customXml" ds:itemID="{37068B12-0748-4855-A165-D79EC04E1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f9b4d-6e5d-405c-aaeb-1dafca956d6d"/>
    <ds:schemaRef ds:uri="ff2deb72-29e1-441c-add8-2f28f08d1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B70BF0-D64E-454F-9FB6-8FCACA764A65}">
  <ds:schemaRefs>
    <ds:schemaRef ds:uri="http://schemas.microsoft.com/sharepoint/v3/contenttype/forms"/>
  </ds:schemaRefs>
</ds:datastoreItem>
</file>

<file path=customXml/itemProps4.xml><?xml version="1.0" encoding="utf-8"?>
<ds:datastoreItem xmlns:ds="http://schemas.openxmlformats.org/officeDocument/2006/customXml" ds:itemID="{D26392D6-7DDE-4A6B-B8D1-E681D494BCBB}">
  <ds:schemaRefs>
    <ds:schemaRef ds:uri="http://schemas.microsoft.com/office/2006/metadata/properties"/>
    <ds:schemaRef ds:uri="http://schemas.microsoft.com/office/infopath/2007/PartnerControls"/>
    <ds:schemaRef ds:uri="ff2deb72-29e1-441c-add8-2f28f08d1985"/>
    <ds:schemaRef ds:uri="d6af9b4d-6e5d-405c-aaeb-1dafca956d6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73</Pages>
  <Words>26835</Words>
  <Characters>147593</Characters>
  <Application>Microsoft Office Word</Application>
  <DocSecurity>0</DocSecurity>
  <Lines>1229</Lines>
  <Paragraphs>348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BTCCTB</Company>
  <LinksUpToDate>false</LinksUpToDate>
  <CharactersWithSpaces>174080</CharactersWithSpaces>
  <SharedDoc>false</SharedDoc>
  <HLinks>
    <vt:vector size="810" baseType="variant">
      <vt:variant>
        <vt:i4>2359404</vt:i4>
      </vt:variant>
      <vt:variant>
        <vt:i4>774</vt:i4>
      </vt:variant>
      <vt:variant>
        <vt:i4>0</vt:i4>
      </vt:variant>
      <vt:variant>
        <vt:i4>5</vt:i4>
      </vt:variant>
      <vt:variant>
        <vt:lpwstr>http://www.intosai.org/</vt:lpwstr>
      </vt:variant>
      <vt:variant>
        <vt:lpwstr/>
      </vt:variant>
      <vt:variant>
        <vt:i4>4325481</vt:i4>
      </vt:variant>
      <vt:variant>
        <vt:i4>771</vt:i4>
      </vt:variant>
      <vt:variant>
        <vt:i4>0</vt:i4>
      </vt:variant>
      <vt:variant>
        <vt:i4>5</vt:i4>
      </vt:variant>
      <vt:variant>
        <vt:lpwstr>mailto:info.cdcdck@minfin.fed.be</vt:lpwstr>
      </vt:variant>
      <vt:variant>
        <vt:lpwstr/>
      </vt:variant>
      <vt:variant>
        <vt:i4>8126566</vt:i4>
      </vt:variant>
      <vt:variant>
        <vt:i4>768</vt:i4>
      </vt:variant>
      <vt:variant>
        <vt:i4>0</vt:i4>
      </vt:variant>
      <vt:variant>
        <vt:i4>5</vt:i4>
      </vt:variant>
      <vt:variant>
        <vt:lpwstr>https://finances.belgium.be/sites/default/files/01_marche_public.pdf</vt:lpwstr>
      </vt:variant>
      <vt:variant>
        <vt:lpwstr/>
      </vt:variant>
      <vt:variant>
        <vt:i4>6357036</vt:i4>
      </vt:variant>
      <vt:variant>
        <vt:i4>765</vt:i4>
      </vt:variant>
      <vt:variant>
        <vt:i4>0</vt:i4>
      </vt:variant>
      <vt:variant>
        <vt:i4>5</vt:i4>
      </vt:variant>
      <vt:variant>
        <vt:lpwstr>http://europass.cedefop.europa.eu/</vt:lpwstr>
      </vt:variant>
      <vt:variant>
        <vt:lpwstr/>
      </vt:variant>
      <vt:variant>
        <vt:i4>655371</vt:i4>
      </vt:variant>
      <vt:variant>
        <vt:i4>762</vt:i4>
      </vt:variant>
      <vt:variant>
        <vt:i4>0</vt:i4>
      </vt:variant>
      <vt:variant>
        <vt:i4>5</vt:i4>
      </vt:variant>
      <vt:variant>
        <vt:lpwstr>https://www.publicprocurement.be/sites/default/files/documents/man_espd_entreprise_fr_100.pdf</vt:lpwstr>
      </vt:variant>
      <vt:variant>
        <vt:lpwstr/>
      </vt:variant>
      <vt:variant>
        <vt:i4>2687030</vt:i4>
      </vt:variant>
      <vt:variant>
        <vt:i4>759</vt:i4>
      </vt:variant>
      <vt:variant>
        <vt:i4>0</vt:i4>
      </vt:variant>
      <vt:variant>
        <vt:i4>5</vt:i4>
      </vt:variant>
      <vt:variant>
        <vt:lpwstr>https://dume.publicprocurement.be/</vt:lpwstr>
      </vt:variant>
      <vt:variant>
        <vt:lpwstr/>
      </vt:variant>
      <vt:variant>
        <vt:i4>6422648</vt:i4>
      </vt:variant>
      <vt:variant>
        <vt:i4>756</vt:i4>
      </vt:variant>
      <vt:variant>
        <vt:i4>0</vt:i4>
      </vt:variant>
      <vt:variant>
        <vt:i4>5</vt:i4>
      </vt:variant>
      <vt:variant>
        <vt:lpwstr>https://my.publicprocurement.be/um/home.action</vt:lpwstr>
      </vt:variant>
      <vt:variant>
        <vt:lpwstr/>
      </vt:variant>
      <vt:variant>
        <vt:i4>655484</vt:i4>
      </vt:variant>
      <vt:variant>
        <vt:i4>753</vt:i4>
      </vt:variant>
      <vt:variant>
        <vt:i4>0</vt:i4>
      </vt:variant>
      <vt:variant>
        <vt:i4>5</vt:i4>
      </vt:variant>
      <vt:variant>
        <vt:lpwstr>mailto:florence.seeuws@enabel.be</vt:lpwstr>
      </vt:variant>
      <vt:variant>
        <vt:lpwstr/>
      </vt:variant>
      <vt:variant>
        <vt:i4>65618</vt:i4>
      </vt:variant>
      <vt:variant>
        <vt:i4>750</vt:i4>
      </vt:variant>
      <vt:variant>
        <vt:i4>0</vt:i4>
      </vt:variant>
      <vt:variant>
        <vt:i4>5</vt:i4>
      </vt:variant>
      <vt:variant>
        <vt:lpwstr>http://www.enabel.be/</vt:lpwstr>
      </vt:variant>
      <vt:variant>
        <vt:lpwstr/>
      </vt:variant>
      <vt:variant>
        <vt:i4>7209001</vt:i4>
      </vt:variant>
      <vt:variant>
        <vt:i4>747</vt:i4>
      </vt:variant>
      <vt:variant>
        <vt:i4>0</vt:i4>
      </vt:variant>
      <vt:variant>
        <vt:i4>5</vt:i4>
      </vt:variant>
      <vt:variant>
        <vt:lpwstr>https://www.enabelintegrity.be/</vt:lpwstr>
      </vt:variant>
      <vt:variant>
        <vt:lpwstr/>
      </vt:variant>
      <vt:variant>
        <vt:i4>8126497</vt:i4>
      </vt:variant>
      <vt:variant>
        <vt:i4>744</vt:i4>
      </vt:variant>
      <vt:variant>
        <vt:i4>0</vt:i4>
      </vt:variant>
      <vt:variant>
        <vt:i4>5</vt:i4>
      </vt:variant>
      <vt:variant>
        <vt:lpwstr>https://www.enabel.be/fr/content/declaration-de-confidentialite-denabel</vt:lpwstr>
      </vt:variant>
      <vt:variant>
        <vt:lpwstr/>
      </vt:variant>
      <vt:variant>
        <vt:i4>4325377</vt:i4>
      </vt:variant>
      <vt:variant>
        <vt:i4>741</vt:i4>
      </vt:variant>
      <vt:variant>
        <vt:i4>0</vt:i4>
      </vt:variant>
      <vt:variant>
        <vt:i4>5</vt:i4>
      </vt:variant>
      <vt:variant>
        <vt:lpwstr>https://www.enabel.be/fr/content/lethique-enabel</vt:lpwstr>
      </vt:variant>
      <vt:variant>
        <vt:lpwstr/>
      </vt:variant>
      <vt:variant>
        <vt:i4>1048636</vt:i4>
      </vt:variant>
      <vt:variant>
        <vt:i4>734</vt:i4>
      </vt:variant>
      <vt:variant>
        <vt:i4>0</vt:i4>
      </vt:variant>
      <vt:variant>
        <vt:i4>5</vt:i4>
      </vt:variant>
      <vt:variant>
        <vt:lpwstr/>
      </vt:variant>
      <vt:variant>
        <vt:lpwstr>_Toc77261680</vt:lpwstr>
      </vt:variant>
      <vt:variant>
        <vt:i4>1638451</vt:i4>
      </vt:variant>
      <vt:variant>
        <vt:i4>728</vt:i4>
      </vt:variant>
      <vt:variant>
        <vt:i4>0</vt:i4>
      </vt:variant>
      <vt:variant>
        <vt:i4>5</vt:i4>
      </vt:variant>
      <vt:variant>
        <vt:lpwstr/>
      </vt:variant>
      <vt:variant>
        <vt:lpwstr>_Toc77261679</vt:lpwstr>
      </vt:variant>
      <vt:variant>
        <vt:i4>1572915</vt:i4>
      </vt:variant>
      <vt:variant>
        <vt:i4>722</vt:i4>
      </vt:variant>
      <vt:variant>
        <vt:i4>0</vt:i4>
      </vt:variant>
      <vt:variant>
        <vt:i4>5</vt:i4>
      </vt:variant>
      <vt:variant>
        <vt:lpwstr/>
      </vt:variant>
      <vt:variant>
        <vt:lpwstr>_Toc77261678</vt:lpwstr>
      </vt:variant>
      <vt:variant>
        <vt:i4>1507379</vt:i4>
      </vt:variant>
      <vt:variant>
        <vt:i4>716</vt:i4>
      </vt:variant>
      <vt:variant>
        <vt:i4>0</vt:i4>
      </vt:variant>
      <vt:variant>
        <vt:i4>5</vt:i4>
      </vt:variant>
      <vt:variant>
        <vt:lpwstr/>
      </vt:variant>
      <vt:variant>
        <vt:lpwstr>_Toc77261677</vt:lpwstr>
      </vt:variant>
      <vt:variant>
        <vt:i4>1441843</vt:i4>
      </vt:variant>
      <vt:variant>
        <vt:i4>710</vt:i4>
      </vt:variant>
      <vt:variant>
        <vt:i4>0</vt:i4>
      </vt:variant>
      <vt:variant>
        <vt:i4>5</vt:i4>
      </vt:variant>
      <vt:variant>
        <vt:lpwstr/>
      </vt:variant>
      <vt:variant>
        <vt:lpwstr>_Toc77261676</vt:lpwstr>
      </vt:variant>
      <vt:variant>
        <vt:i4>1376307</vt:i4>
      </vt:variant>
      <vt:variant>
        <vt:i4>704</vt:i4>
      </vt:variant>
      <vt:variant>
        <vt:i4>0</vt:i4>
      </vt:variant>
      <vt:variant>
        <vt:i4>5</vt:i4>
      </vt:variant>
      <vt:variant>
        <vt:lpwstr/>
      </vt:variant>
      <vt:variant>
        <vt:lpwstr>_Toc77261675</vt:lpwstr>
      </vt:variant>
      <vt:variant>
        <vt:i4>1310771</vt:i4>
      </vt:variant>
      <vt:variant>
        <vt:i4>698</vt:i4>
      </vt:variant>
      <vt:variant>
        <vt:i4>0</vt:i4>
      </vt:variant>
      <vt:variant>
        <vt:i4>5</vt:i4>
      </vt:variant>
      <vt:variant>
        <vt:lpwstr/>
      </vt:variant>
      <vt:variant>
        <vt:lpwstr>_Toc77261674</vt:lpwstr>
      </vt:variant>
      <vt:variant>
        <vt:i4>1245235</vt:i4>
      </vt:variant>
      <vt:variant>
        <vt:i4>692</vt:i4>
      </vt:variant>
      <vt:variant>
        <vt:i4>0</vt:i4>
      </vt:variant>
      <vt:variant>
        <vt:i4>5</vt:i4>
      </vt:variant>
      <vt:variant>
        <vt:lpwstr/>
      </vt:variant>
      <vt:variant>
        <vt:lpwstr>_Toc77261673</vt:lpwstr>
      </vt:variant>
      <vt:variant>
        <vt:i4>1179699</vt:i4>
      </vt:variant>
      <vt:variant>
        <vt:i4>686</vt:i4>
      </vt:variant>
      <vt:variant>
        <vt:i4>0</vt:i4>
      </vt:variant>
      <vt:variant>
        <vt:i4>5</vt:i4>
      </vt:variant>
      <vt:variant>
        <vt:lpwstr/>
      </vt:variant>
      <vt:variant>
        <vt:lpwstr>_Toc77261672</vt:lpwstr>
      </vt:variant>
      <vt:variant>
        <vt:i4>1114163</vt:i4>
      </vt:variant>
      <vt:variant>
        <vt:i4>680</vt:i4>
      </vt:variant>
      <vt:variant>
        <vt:i4>0</vt:i4>
      </vt:variant>
      <vt:variant>
        <vt:i4>5</vt:i4>
      </vt:variant>
      <vt:variant>
        <vt:lpwstr/>
      </vt:variant>
      <vt:variant>
        <vt:lpwstr>_Toc77261671</vt:lpwstr>
      </vt:variant>
      <vt:variant>
        <vt:i4>1048627</vt:i4>
      </vt:variant>
      <vt:variant>
        <vt:i4>674</vt:i4>
      </vt:variant>
      <vt:variant>
        <vt:i4>0</vt:i4>
      </vt:variant>
      <vt:variant>
        <vt:i4>5</vt:i4>
      </vt:variant>
      <vt:variant>
        <vt:lpwstr/>
      </vt:variant>
      <vt:variant>
        <vt:lpwstr>_Toc77261670</vt:lpwstr>
      </vt:variant>
      <vt:variant>
        <vt:i4>1638450</vt:i4>
      </vt:variant>
      <vt:variant>
        <vt:i4>668</vt:i4>
      </vt:variant>
      <vt:variant>
        <vt:i4>0</vt:i4>
      </vt:variant>
      <vt:variant>
        <vt:i4>5</vt:i4>
      </vt:variant>
      <vt:variant>
        <vt:lpwstr/>
      </vt:variant>
      <vt:variant>
        <vt:lpwstr>_Toc77261669</vt:lpwstr>
      </vt:variant>
      <vt:variant>
        <vt:i4>1572914</vt:i4>
      </vt:variant>
      <vt:variant>
        <vt:i4>662</vt:i4>
      </vt:variant>
      <vt:variant>
        <vt:i4>0</vt:i4>
      </vt:variant>
      <vt:variant>
        <vt:i4>5</vt:i4>
      </vt:variant>
      <vt:variant>
        <vt:lpwstr/>
      </vt:variant>
      <vt:variant>
        <vt:lpwstr>_Toc77261668</vt:lpwstr>
      </vt:variant>
      <vt:variant>
        <vt:i4>1507378</vt:i4>
      </vt:variant>
      <vt:variant>
        <vt:i4>656</vt:i4>
      </vt:variant>
      <vt:variant>
        <vt:i4>0</vt:i4>
      </vt:variant>
      <vt:variant>
        <vt:i4>5</vt:i4>
      </vt:variant>
      <vt:variant>
        <vt:lpwstr/>
      </vt:variant>
      <vt:variant>
        <vt:lpwstr>_Toc77261667</vt:lpwstr>
      </vt:variant>
      <vt:variant>
        <vt:i4>1441842</vt:i4>
      </vt:variant>
      <vt:variant>
        <vt:i4>650</vt:i4>
      </vt:variant>
      <vt:variant>
        <vt:i4>0</vt:i4>
      </vt:variant>
      <vt:variant>
        <vt:i4>5</vt:i4>
      </vt:variant>
      <vt:variant>
        <vt:lpwstr/>
      </vt:variant>
      <vt:variant>
        <vt:lpwstr>_Toc77261666</vt:lpwstr>
      </vt:variant>
      <vt:variant>
        <vt:i4>1376306</vt:i4>
      </vt:variant>
      <vt:variant>
        <vt:i4>644</vt:i4>
      </vt:variant>
      <vt:variant>
        <vt:i4>0</vt:i4>
      </vt:variant>
      <vt:variant>
        <vt:i4>5</vt:i4>
      </vt:variant>
      <vt:variant>
        <vt:lpwstr/>
      </vt:variant>
      <vt:variant>
        <vt:lpwstr>_Toc77261665</vt:lpwstr>
      </vt:variant>
      <vt:variant>
        <vt:i4>1310770</vt:i4>
      </vt:variant>
      <vt:variant>
        <vt:i4>638</vt:i4>
      </vt:variant>
      <vt:variant>
        <vt:i4>0</vt:i4>
      </vt:variant>
      <vt:variant>
        <vt:i4>5</vt:i4>
      </vt:variant>
      <vt:variant>
        <vt:lpwstr/>
      </vt:variant>
      <vt:variant>
        <vt:lpwstr>_Toc77261664</vt:lpwstr>
      </vt:variant>
      <vt:variant>
        <vt:i4>1245234</vt:i4>
      </vt:variant>
      <vt:variant>
        <vt:i4>632</vt:i4>
      </vt:variant>
      <vt:variant>
        <vt:i4>0</vt:i4>
      </vt:variant>
      <vt:variant>
        <vt:i4>5</vt:i4>
      </vt:variant>
      <vt:variant>
        <vt:lpwstr/>
      </vt:variant>
      <vt:variant>
        <vt:lpwstr>_Toc77261663</vt:lpwstr>
      </vt:variant>
      <vt:variant>
        <vt:i4>1179698</vt:i4>
      </vt:variant>
      <vt:variant>
        <vt:i4>626</vt:i4>
      </vt:variant>
      <vt:variant>
        <vt:i4>0</vt:i4>
      </vt:variant>
      <vt:variant>
        <vt:i4>5</vt:i4>
      </vt:variant>
      <vt:variant>
        <vt:lpwstr/>
      </vt:variant>
      <vt:variant>
        <vt:lpwstr>_Toc77261662</vt:lpwstr>
      </vt:variant>
      <vt:variant>
        <vt:i4>1114162</vt:i4>
      </vt:variant>
      <vt:variant>
        <vt:i4>620</vt:i4>
      </vt:variant>
      <vt:variant>
        <vt:i4>0</vt:i4>
      </vt:variant>
      <vt:variant>
        <vt:i4>5</vt:i4>
      </vt:variant>
      <vt:variant>
        <vt:lpwstr/>
      </vt:variant>
      <vt:variant>
        <vt:lpwstr>_Toc77261661</vt:lpwstr>
      </vt:variant>
      <vt:variant>
        <vt:i4>1048626</vt:i4>
      </vt:variant>
      <vt:variant>
        <vt:i4>614</vt:i4>
      </vt:variant>
      <vt:variant>
        <vt:i4>0</vt:i4>
      </vt:variant>
      <vt:variant>
        <vt:i4>5</vt:i4>
      </vt:variant>
      <vt:variant>
        <vt:lpwstr/>
      </vt:variant>
      <vt:variant>
        <vt:lpwstr>_Toc77261660</vt:lpwstr>
      </vt:variant>
      <vt:variant>
        <vt:i4>1638449</vt:i4>
      </vt:variant>
      <vt:variant>
        <vt:i4>608</vt:i4>
      </vt:variant>
      <vt:variant>
        <vt:i4>0</vt:i4>
      </vt:variant>
      <vt:variant>
        <vt:i4>5</vt:i4>
      </vt:variant>
      <vt:variant>
        <vt:lpwstr/>
      </vt:variant>
      <vt:variant>
        <vt:lpwstr>_Toc77261659</vt:lpwstr>
      </vt:variant>
      <vt:variant>
        <vt:i4>1572913</vt:i4>
      </vt:variant>
      <vt:variant>
        <vt:i4>602</vt:i4>
      </vt:variant>
      <vt:variant>
        <vt:i4>0</vt:i4>
      </vt:variant>
      <vt:variant>
        <vt:i4>5</vt:i4>
      </vt:variant>
      <vt:variant>
        <vt:lpwstr/>
      </vt:variant>
      <vt:variant>
        <vt:lpwstr>_Toc77261658</vt:lpwstr>
      </vt:variant>
      <vt:variant>
        <vt:i4>1507377</vt:i4>
      </vt:variant>
      <vt:variant>
        <vt:i4>596</vt:i4>
      </vt:variant>
      <vt:variant>
        <vt:i4>0</vt:i4>
      </vt:variant>
      <vt:variant>
        <vt:i4>5</vt:i4>
      </vt:variant>
      <vt:variant>
        <vt:lpwstr/>
      </vt:variant>
      <vt:variant>
        <vt:lpwstr>_Toc77261657</vt:lpwstr>
      </vt:variant>
      <vt:variant>
        <vt:i4>1441841</vt:i4>
      </vt:variant>
      <vt:variant>
        <vt:i4>590</vt:i4>
      </vt:variant>
      <vt:variant>
        <vt:i4>0</vt:i4>
      </vt:variant>
      <vt:variant>
        <vt:i4>5</vt:i4>
      </vt:variant>
      <vt:variant>
        <vt:lpwstr/>
      </vt:variant>
      <vt:variant>
        <vt:lpwstr>_Toc77261656</vt:lpwstr>
      </vt:variant>
      <vt:variant>
        <vt:i4>1376305</vt:i4>
      </vt:variant>
      <vt:variant>
        <vt:i4>584</vt:i4>
      </vt:variant>
      <vt:variant>
        <vt:i4>0</vt:i4>
      </vt:variant>
      <vt:variant>
        <vt:i4>5</vt:i4>
      </vt:variant>
      <vt:variant>
        <vt:lpwstr/>
      </vt:variant>
      <vt:variant>
        <vt:lpwstr>_Toc77261655</vt:lpwstr>
      </vt:variant>
      <vt:variant>
        <vt:i4>1310769</vt:i4>
      </vt:variant>
      <vt:variant>
        <vt:i4>578</vt:i4>
      </vt:variant>
      <vt:variant>
        <vt:i4>0</vt:i4>
      </vt:variant>
      <vt:variant>
        <vt:i4>5</vt:i4>
      </vt:variant>
      <vt:variant>
        <vt:lpwstr/>
      </vt:variant>
      <vt:variant>
        <vt:lpwstr>_Toc77261654</vt:lpwstr>
      </vt:variant>
      <vt:variant>
        <vt:i4>1245233</vt:i4>
      </vt:variant>
      <vt:variant>
        <vt:i4>572</vt:i4>
      </vt:variant>
      <vt:variant>
        <vt:i4>0</vt:i4>
      </vt:variant>
      <vt:variant>
        <vt:i4>5</vt:i4>
      </vt:variant>
      <vt:variant>
        <vt:lpwstr/>
      </vt:variant>
      <vt:variant>
        <vt:lpwstr>_Toc77261653</vt:lpwstr>
      </vt:variant>
      <vt:variant>
        <vt:i4>1179697</vt:i4>
      </vt:variant>
      <vt:variant>
        <vt:i4>566</vt:i4>
      </vt:variant>
      <vt:variant>
        <vt:i4>0</vt:i4>
      </vt:variant>
      <vt:variant>
        <vt:i4>5</vt:i4>
      </vt:variant>
      <vt:variant>
        <vt:lpwstr/>
      </vt:variant>
      <vt:variant>
        <vt:lpwstr>_Toc77261652</vt:lpwstr>
      </vt:variant>
      <vt:variant>
        <vt:i4>1114161</vt:i4>
      </vt:variant>
      <vt:variant>
        <vt:i4>560</vt:i4>
      </vt:variant>
      <vt:variant>
        <vt:i4>0</vt:i4>
      </vt:variant>
      <vt:variant>
        <vt:i4>5</vt:i4>
      </vt:variant>
      <vt:variant>
        <vt:lpwstr/>
      </vt:variant>
      <vt:variant>
        <vt:lpwstr>_Toc77261651</vt:lpwstr>
      </vt:variant>
      <vt:variant>
        <vt:i4>1048625</vt:i4>
      </vt:variant>
      <vt:variant>
        <vt:i4>554</vt:i4>
      </vt:variant>
      <vt:variant>
        <vt:i4>0</vt:i4>
      </vt:variant>
      <vt:variant>
        <vt:i4>5</vt:i4>
      </vt:variant>
      <vt:variant>
        <vt:lpwstr/>
      </vt:variant>
      <vt:variant>
        <vt:lpwstr>_Toc77261650</vt:lpwstr>
      </vt:variant>
      <vt:variant>
        <vt:i4>1638448</vt:i4>
      </vt:variant>
      <vt:variant>
        <vt:i4>548</vt:i4>
      </vt:variant>
      <vt:variant>
        <vt:i4>0</vt:i4>
      </vt:variant>
      <vt:variant>
        <vt:i4>5</vt:i4>
      </vt:variant>
      <vt:variant>
        <vt:lpwstr/>
      </vt:variant>
      <vt:variant>
        <vt:lpwstr>_Toc77261649</vt:lpwstr>
      </vt:variant>
      <vt:variant>
        <vt:i4>1572912</vt:i4>
      </vt:variant>
      <vt:variant>
        <vt:i4>542</vt:i4>
      </vt:variant>
      <vt:variant>
        <vt:i4>0</vt:i4>
      </vt:variant>
      <vt:variant>
        <vt:i4>5</vt:i4>
      </vt:variant>
      <vt:variant>
        <vt:lpwstr/>
      </vt:variant>
      <vt:variant>
        <vt:lpwstr>_Toc77261648</vt:lpwstr>
      </vt:variant>
      <vt:variant>
        <vt:i4>1507376</vt:i4>
      </vt:variant>
      <vt:variant>
        <vt:i4>536</vt:i4>
      </vt:variant>
      <vt:variant>
        <vt:i4>0</vt:i4>
      </vt:variant>
      <vt:variant>
        <vt:i4>5</vt:i4>
      </vt:variant>
      <vt:variant>
        <vt:lpwstr/>
      </vt:variant>
      <vt:variant>
        <vt:lpwstr>_Toc77261647</vt:lpwstr>
      </vt:variant>
      <vt:variant>
        <vt:i4>1441840</vt:i4>
      </vt:variant>
      <vt:variant>
        <vt:i4>530</vt:i4>
      </vt:variant>
      <vt:variant>
        <vt:i4>0</vt:i4>
      </vt:variant>
      <vt:variant>
        <vt:i4>5</vt:i4>
      </vt:variant>
      <vt:variant>
        <vt:lpwstr/>
      </vt:variant>
      <vt:variant>
        <vt:lpwstr>_Toc77261646</vt:lpwstr>
      </vt:variant>
      <vt:variant>
        <vt:i4>1376304</vt:i4>
      </vt:variant>
      <vt:variant>
        <vt:i4>524</vt:i4>
      </vt:variant>
      <vt:variant>
        <vt:i4>0</vt:i4>
      </vt:variant>
      <vt:variant>
        <vt:i4>5</vt:i4>
      </vt:variant>
      <vt:variant>
        <vt:lpwstr/>
      </vt:variant>
      <vt:variant>
        <vt:lpwstr>_Toc77261645</vt:lpwstr>
      </vt:variant>
      <vt:variant>
        <vt:i4>1310768</vt:i4>
      </vt:variant>
      <vt:variant>
        <vt:i4>518</vt:i4>
      </vt:variant>
      <vt:variant>
        <vt:i4>0</vt:i4>
      </vt:variant>
      <vt:variant>
        <vt:i4>5</vt:i4>
      </vt:variant>
      <vt:variant>
        <vt:lpwstr/>
      </vt:variant>
      <vt:variant>
        <vt:lpwstr>_Toc77261644</vt:lpwstr>
      </vt:variant>
      <vt:variant>
        <vt:i4>1245232</vt:i4>
      </vt:variant>
      <vt:variant>
        <vt:i4>512</vt:i4>
      </vt:variant>
      <vt:variant>
        <vt:i4>0</vt:i4>
      </vt:variant>
      <vt:variant>
        <vt:i4>5</vt:i4>
      </vt:variant>
      <vt:variant>
        <vt:lpwstr/>
      </vt:variant>
      <vt:variant>
        <vt:lpwstr>_Toc77261643</vt:lpwstr>
      </vt:variant>
      <vt:variant>
        <vt:i4>1179696</vt:i4>
      </vt:variant>
      <vt:variant>
        <vt:i4>506</vt:i4>
      </vt:variant>
      <vt:variant>
        <vt:i4>0</vt:i4>
      </vt:variant>
      <vt:variant>
        <vt:i4>5</vt:i4>
      </vt:variant>
      <vt:variant>
        <vt:lpwstr/>
      </vt:variant>
      <vt:variant>
        <vt:lpwstr>_Toc77261642</vt:lpwstr>
      </vt:variant>
      <vt:variant>
        <vt:i4>1114160</vt:i4>
      </vt:variant>
      <vt:variant>
        <vt:i4>500</vt:i4>
      </vt:variant>
      <vt:variant>
        <vt:i4>0</vt:i4>
      </vt:variant>
      <vt:variant>
        <vt:i4>5</vt:i4>
      </vt:variant>
      <vt:variant>
        <vt:lpwstr/>
      </vt:variant>
      <vt:variant>
        <vt:lpwstr>_Toc77261641</vt:lpwstr>
      </vt:variant>
      <vt:variant>
        <vt:i4>1048624</vt:i4>
      </vt:variant>
      <vt:variant>
        <vt:i4>494</vt:i4>
      </vt:variant>
      <vt:variant>
        <vt:i4>0</vt:i4>
      </vt:variant>
      <vt:variant>
        <vt:i4>5</vt:i4>
      </vt:variant>
      <vt:variant>
        <vt:lpwstr/>
      </vt:variant>
      <vt:variant>
        <vt:lpwstr>_Toc77261640</vt:lpwstr>
      </vt:variant>
      <vt:variant>
        <vt:i4>1638455</vt:i4>
      </vt:variant>
      <vt:variant>
        <vt:i4>488</vt:i4>
      </vt:variant>
      <vt:variant>
        <vt:i4>0</vt:i4>
      </vt:variant>
      <vt:variant>
        <vt:i4>5</vt:i4>
      </vt:variant>
      <vt:variant>
        <vt:lpwstr/>
      </vt:variant>
      <vt:variant>
        <vt:lpwstr>_Toc77261639</vt:lpwstr>
      </vt:variant>
      <vt:variant>
        <vt:i4>1572919</vt:i4>
      </vt:variant>
      <vt:variant>
        <vt:i4>482</vt:i4>
      </vt:variant>
      <vt:variant>
        <vt:i4>0</vt:i4>
      </vt:variant>
      <vt:variant>
        <vt:i4>5</vt:i4>
      </vt:variant>
      <vt:variant>
        <vt:lpwstr/>
      </vt:variant>
      <vt:variant>
        <vt:lpwstr>_Toc77261638</vt:lpwstr>
      </vt:variant>
      <vt:variant>
        <vt:i4>1507383</vt:i4>
      </vt:variant>
      <vt:variant>
        <vt:i4>476</vt:i4>
      </vt:variant>
      <vt:variant>
        <vt:i4>0</vt:i4>
      </vt:variant>
      <vt:variant>
        <vt:i4>5</vt:i4>
      </vt:variant>
      <vt:variant>
        <vt:lpwstr/>
      </vt:variant>
      <vt:variant>
        <vt:lpwstr>_Toc77261637</vt:lpwstr>
      </vt:variant>
      <vt:variant>
        <vt:i4>1441847</vt:i4>
      </vt:variant>
      <vt:variant>
        <vt:i4>470</vt:i4>
      </vt:variant>
      <vt:variant>
        <vt:i4>0</vt:i4>
      </vt:variant>
      <vt:variant>
        <vt:i4>5</vt:i4>
      </vt:variant>
      <vt:variant>
        <vt:lpwstr/>
      </vt:variant>
      <vt:variant>
        <vt:lpwstr>_Toc77261636</vt:lpwstr>
      </vt:variant>
      <vt:variant>
        <vt:i4>1376311</vt:i4>
      </vt:variant>
      <vt:variant>
        <vt:i4>464</vt:i4>
      </vt:variant>
      <vt:variant>
        <vt:i4>0</vt:i4>
      </vt:variant>
      <vt:variant>
        <vt:i4>5</vt:i4>
      </vt:variant>
      <vt:variant>
        <vt:lpwstr/>
      </vt:variant>
      <vt:variant>
        <vt:lpwstr>_Toc77261635</vt:lpwstr>
      </vt:variant>
      <vt:variant>
        <vt:i4>1310775</vt:i4>
      </vt:variant>
      <vt:variant>
        <vt:i4>458</vt:i4>
      </vt:variant>
      <vt:variant>
        <vt:i4>0</vt:i4>
      </vt:variant>
      <vt:variant>
        <vt:i4>5</vt:i4>
      </vt:variant>
      <vt:variant>
        <vt:lpwstr/>
      </vt:variant>
      <vt:variant>
        <vt:lpwstr>_Toc77261634</vt:lpwstr>
      </vt:variant>
      <vt:variant>
        <vt:i4>1245239</vt:i4>
      </vt:variant>
      <vt:variant>
        <vt:i4>452</vt:i4>
      </vt:variant>
      <vt:variant>
        <vt:i4>0</vt:i4>
      </vt:variant>
      <vt:variant>
        <vt:i4>5</vt:i4>
      </vt:variant>
      <vt:variant>
        <vt:lpwstr/>
      </vt:variant>
      <vt:variant>
        <vt:lpwstr>_Toc77261633</vt:lpwstr>
      </vt:variant>
      <vt:variant>
        <vt:i4>1179703</vt:i4>
      </vt:variant>
      <vt:variant>
        <vt:i4>446</vt:i4>
      </vt:variant>
      <vt:variant>
        <vt:i4>0</vt:i4>
      </vt:variant>
      <vt:variant>
        <vt:i4>5</vt:i4>
      </vt:variant>
      <vt:variant>
        <vt:lpwstr/>
      </vt:variant>
      <vt:variant>
        <vt:lpwstr>_Toc77261632</vt:lpwstr>
      </vt:variant>
      <vt:variant>
        <vt:i4>1114167</vt:i4>
      </vt:variant>
      <vt:variant>
        <vt:i4>440</vt:i4>
      </vt:variant>
      <vt:variant>
        <vt:i4>0</vt:i4>
      </vt:variant>
      <vt:variant>
        <vt:i4>5</vt:i4>
      </vt:variant>
      <vt:variant>
        <vt:lpwstr/>
      </vt:variant>
      <vt:variant>
        <vt:lpwstr>_Toc77261631</vt:lpwstr>
      </vt:variant>
      <vt:variant>
        <vt:i4>1048631</vt:i4>
      </vt:variant>
      <vt:variant>
        <vt:i4>434</vt:i4>
      </vt:variant>
      <vt:variant>
        <vt:i4>0</vt:i4>
      </vt:variant>
      <vt:variant>
        <vt:i4>5</vt:i4>
      </vt:variant>
      <vt:variant>
        <vt:lpwstr/>
      </vt:variant>
      <vt:variant>
        <vt:lpwstr>_Toc77261630</vt:lpwstr>
      </vt:variant>
      <vt:variant>
        <vt:i4>1638454</vt:i4>
      </vt:variant>
      <vt:variant>
        <vt:i4>428</vt:i4>
      </vt:variant>
      <vt:variant>
        <vt:i4>0</vt:i4>
      </vt:variant>
      <vt:variant>
        <vt:i4>5</vt:i4>
      </vt:variant>
      <vt:variant>
        <vt:lpwstr/>
      </vt:variant>
      <vt:variant>
        <vt:lpwstr>_Toc77261629</vt:lpwstr>
      </vt:variant>
      <vt:variant>
        <vt:i4>1572918</vt:i4>
      </vt:variant>
      <vt:variant>
        <vt:i4>422</vt:i4>
      </vt:variant>
      <vt:variant>
        <vt:i4>0</vt:i4>
      </vt:variant>
      <vt:variant>
        <vt:i4>5</vt:i4>
      </vt:variant>
      <vt:variant>
        <vt:lpwstr/>
      </vt:variant>
      <vt:variant>
        <vt:lpwstr>_Toc77261628</vt:lpwstr>
      </vt:variant>
      <vt:variant>
        <vt:i4>1507382</vt:i4>
      </vt:variant>
      <vt:variant>
        <vt:i4>416</vt:i4>
      </vt:variant>
      <vt:variant>
        <vt:i4>0</vt:i4>
      </vt:variant>
      <vt:variant>
        <vt:i4>5</vt:i4>
      </vt:variant>
      <vt:variant>
        <vt:lpwstr/>
      </vt:variant>
      <vt:variant>
        <vt:lpwstr>_Toc77261627</vt:lpwstr>
      </vt:variant>
      <vt:variant>
        <vt:i4>1441846</vt:i4>
      </vt:variant>
      <vt:variant>
        <vt:i4>410</vt:i4>
      </vt:variant>
      <vt:variant>
        <vt:i4>0</vt:i4>
      </vt:variant>
      <vt:variant>
        <vt:i4>5</vt:i4>
      </vt:variant>
      <vt:variant>
        <vt:lpwstr/>
      </vt:variant>
      <vt:variant>
        <vt:lpwstr>_Toc77261626</vt:lpwstr>
      </vt:variant>
      <vt:variant>
        <vt:i4>1376310</vt:i4>
      </vt:variant>
      <vt:variant>
        <vt:i4>404</vt:i4>
      </vt:variant>
      <vt:variant>
        <vt:i4>0</vt:i4>
      </vt:variant>
      <vt:variant>
        <vt:i4>5</vt:i4>
      </vt:variant>
      <vt:variant>
        <vt:lpwstr/>
      </vt:variant>
      <vt:variant>
        <vt:lpwstr>_Toc77261625</vt:lpwstr>
      </vt:variant>
      <vt:variant>
        <vt:i4>1310774</vt:i4>
      </vt:variant>
      <vt:variant>
        <vt:i4>398</vt:i4>
      </vt:variant>
      <vt:variant>
        <vt:i4>0</vt:i4>
      </vt:variant>
      <vt:variant>
        <vt:i4>5</vt:i4>
      </vt:variant>
      <vt:variant>
        <vt:lpwstr/>
      </vt:variant>
      <vt:variant>
        <vt:lpwstr>_Toc77261624</vt:lpwstr>
      </vt:variant>
      <vt:variant>
        <vt:i4>1245238</vt:i4>
      </vt:variant>
      <vt:variant>
        <vt:i4>392</vt:i4>
      </vt:variant>
      <vt:variant>
        <vt:i4>0</vt:i4>
      </vt:variant>
      <vt:variant>
        <vt:i4>5</vt:i4>
      </vt:variant>
      <vt:variant>
        <vt:lpwstr/>
      </vt:variant>
      <vt:variant>
        <vt:lpwstr>_Toc77261623</vt:lpwstr>
      </vt:variant>
      <vt:variant>
        <vt:i4>1179702</vt:i4>
      </vt:variant>
      <vt:variant>
        <vt:i4>386</vt:i4>
      </vt:variant>
      <vt:variant>
        <vt:i4>0</vt:i4>
      </vt:variant>
      <vt:variant>
        <vt:i4>5</vt:i4>
      </vt:variant>
      <vt:variant>
        <vt:lpwstr/>
      </vt:variant>
      <vt:variant>
        <vt:lpwstr>_Toc77261622</vt:lpwstr>
      </vt:variant>
      <vt:variant>
        <vt:i4>1114166</vt:i4>
      </vt:variant>
      <vt:variant>
        <vt:i4>380</vt:i4>
      </vt:variant>
      <vt:variant>
        <vt:i4>0</vt:i4>
      </vt:variant>
      <vt:variant>
        <vt:i4>5</vt:i4>
      </vt:variant>
      <vt:variant>
        <vt:lpwstr/>
      </vt:variant>
      <vt:variant>
        <vt:lpwstr>_Toc77261621</vt:lpwstr>
      </vt:variant>
      <vt:variant>
        <vt:i4>1048630</vt:i4>
      </vt:variant>
      <vt:variant>
        <vt:i4>374</vt:i4>
      </vt:variant>
      <vt:variant>
        <vt:i4>0</vt:i4>
      </vt:variant>
      <vt:variant>
        <vt:i4>5</vt:i4>
      </vt:variant>
      <vt:variant>
        <vt:lpwstr/>
      </vt:variant>
      <vt:variant>
        <vt:lpwstr>_Toc77261620</vt:lpwstr>
      </vt:variant>
      <vt:variant>
        <vt:i4>1638453</vt:i4>
      </vt:variant>
      <vt:variant>
        <vt:i4>368</vt:i4>
      </vt:variant>
      <vt:variant>
        <vt:i4>0</vt:i4>
      </vt:variant>
      <vt:variant>
        <vt:i4>5</vt:i4>
      </vt:variant>
      <vt:variant>
        <vt:lpwstr/>
      </vt:variant>
      <vt:variant>
        <vt:lpwstr>_Toc77261619</vt:lpwstr>
      </vt:variant>
      <vt:variant>
        <vt:i4>1572917</vt:i4>
      </vt:variant>
      <vt:variant>
        <vt:i4>362</vt:i4>
      </vt:variant>
      <vt:variant>
        <vt:i4>0</vt:i4>
      </vt:variant>
      <vt:variant>
        <vt:i4>5</vt:i4>
      </vt:variant>
      <vt:variant>
        <vt:lpwstr/>
      </vt:variant>
      <vt:variant>
        <vt:lpwstr>_Toc77261618</vt:lpwstr>
      </vt:variant>
      <vt:variant>
        <vt:i4>1507381</vt:i4>
      </vt:variant>
      <vt:variant>
        <vt:i4>356</vt:i4>
      </vt:variant>
      <vt:variant>
        <vt:i4>0</vt:i4>
      </vt:variant>
      <vt:variant>
        <vt:i4>5</vt:i4>
      </vt:variant>
      <vt:variant>
        <vt:lpwstr/>
      </vt:variant>
      <vt:variant>
        <vt:lpwstr>_Toc77261617</vt:lpwstr>
      </vt:variant>
      <vt:variant>
        <vt:i4>1441845</vt:i4>
      </vt:variant>
      <vt:variant>
        <vt:i4>350</vt:i4>
      </vt:variant>
      <vt:variant>
        <vt:i4>0</vt:i4>
      </vt:variant>
      <vt:variant>
        <vt:i4>5</vt:i4>
      </vt:variant>
      <vt:variant>
        <vt:lpwstr/>
      </vt:variant>
      <vt:variant>
        <vt:lpwstr>_Toc77261616</vt:lpwstr>
      </vt:variant>
      <vt:variant>
        <vt:i4>1376309</vt:i4>
      </vt:variant>
      <vt:variant>
        <vt:i4>344</vt:i4>
      </vt:variant>
      <vt:variant>
        <vt:i4>0</vt:i4>
      </vt:variant>
      <vt:variant>
        <vt:i4>5</vt:i4>
      </vt:variant>
      <vt:variant>
        <vt:lpwstr/>
      </vt:variant>
      <vt:variant>
        <vt:lpwstr>_Toc77261615</vt:lpwstr>
      </vt:variant>
      <vt:variant>
        <vt:i4>1310773</vt:i4>
      </vt:variant>
      <vt:variant>
        <vt:i4>338</vt:i4>
      </vt:variant>
      <vt:variant>
        <vt:i4>0</vt:i4>
      </vt:variant>
      <vt:variant>
        <vt:i4>5</vt:i4>
      </vt:variant>
      <vt:variant>
        <vt:lpwstr/>
      </vt:variant>
      <vt:variant>
        <vt:lpwstr>_Toc77261614</vt:lpwstr>
      </vt:variant>
      <vt:variant>
        <vt:i4>1245237</vt:i4>
      </vt:variant>
      <vt:variant>
        <vt:i4>332</vt:i4>
      </vt:variant>
      <vt:variant>
        <vt:i4>0</vt:i4>
      </vt:variant>
      <vt:variant>
        <vt:i4>5</vt:i4>
      </vt:variant>
      <vt:variant>
        <vt:lpwstr/>
      </vt:variant>
      <vt:variant>
        <vt:lpwstr>_Toc77261613</vt:lpwstr>
      </vt:variant>
      <vt:variant>
        <vt:i4>1179701</vt:i4>
      </vt:variant>
      <vt:variant>
        <vt:i4>326</vt:i4>
      </vt:variant>
      <vt:variant>
        <vt:i4>0</vt:i4>
      </vt:variant>
      <vt:variant>
        <vt:i4>5</vt:i4>
      </vt:variant>
      <vt:variant>
        <vt:lpwstr/>
      </vt:variant>
      <vt:variant>
        <vt:lpwstr>_Toc77261612</vt:lpwstr>
      </vt:variant>
      <vt:variant>
        <vt:i4>1114165</vt:i4>
      </vt:variant>
      <vt:variant>
        <vt:i4>320</vt:i4>
      </vt:variant>
      <vt:variant>
        <vt:i4>0</vt:i4>
      </vt:variant>
      <vt:variant>
        <vt:i4>5</vt:i4>
      </vt:variant>
      <vt:variant>
        <vt:lpwstr/>
      </vt:variant>
      <vt:variant>
        <vt:lpwstr>_Toc77261611</vt:lpwstr>
      </vt:variant>
      <vt:variant>
        <vt:i4>1048629</vt:i4>
      </vt:variant>
      <vt:variant>
        <vt:i4>314</vt:i4>
      </vt:variant>
      <vt:variant>
        <vt:i4>0</vt:i4>
      </vt:variant>
      <vt:variant>
        <vt:i4>5</vt:i4>
      </vt:variant>
      <vt:variant>
        <vt:lpwstr/>
      </vt:variant>
      <vt:variant>
        <vt:lpwstr>_Toc77261610</vt:lpwstr>
      </vt:variant>
      <vt:variant>
        <vt:i4>1638452</vt:i4>
      </vt:variant>
      <vt:variant>
        <vt:i4>308</vt:i4>
      </vt:variant>
      <vt:variant>
        <vt:i4>0</vt:i4>
      </vt:variant>
      <vt:variant>
        <vt:i4>5</vt:i4>
      </vt:variant>
      <vt:variant>
        <vt:lpwstr/>
      </vt:variant>
      <vt:variant>
        <vt:lpwstr>_Toc77261609</vt:lpwstr>
      </vt:variant>
      <vt:variant>
        <vt:i4>1572916</vt:i4>
      </vt:variant>
      <vt:variant>
        <vt:i4>302</vt:i4>
      </vt:variant>
      <vt:variant>
        <vt:i4>0</vt:i4>
      </vt:variant>
      <vt:variant>
        <vt:i4>5</vt:i4>
      </vt:variant>
      <vt:variant>
        <vt:lpwstr/>
      </vt:variant>
      <vt:variant>
        <vt:lpwstr>_Toc77261608</vt:lpwstr>
      </vt:variant>
      <vt:variant>
        <vt:i4>1507380</vt:i4>
      </vt:variant>
      <vt:variant>
        <vt:i4>296</vt:i4>
      </vt:variant>
      <vt:variant>
        <vt:i4>0</vt:i4>
      </vt:variant>
      <vt:variant>
        <vt:i4>5</vt:i4>
      </vt:variant>
      <vt:variant>
        <vt:lpwstr/>
      </vt:variant>
      <vt:variant>
        <vt:lpwstr>_Toc77261607</vt:lpwstr>
      </vt:variant>
      <vt:variant>
        <vt:i4>1441844</vt:i4>
      </vt:variant>
      <vt:variant>
        <vt:i4>290</vt:i4>
      </vt:variant>
      <vt:variant>
        <vt:i4>0</vt:i4>
      </vt:variant>
      <vt:variant>
        <vt:i4>5</vt:i4>
      </vt:variant>
      <vt:variant>
        <vt:lpwstr/>
      </vt:variant>
      <vt:variant>
        <vt:lpwstr>_Toc77261606</vt:lpwstr>
      </vt:variant>
      <vt:variant>
        <vt:i4>1376308</vt:i4>
      </vt:variant>
      <vt:variant>
        <vt:i4>284</vt:i4>
      </vt:variant>
      <vt:variant>
        <vt:i4>0</vt:i4>
      </vt:variant>
      <vt:variant>
        <vt:i4>5</vt:i4>
      </vt:variant>
      <vt:variant>
        <vt:lpwstr/>
      </vt:variant>
      <vt:variant>
        <vt:lpwstr>_Toc77261605</vt:lpwstr>
      </vt:variant>
      <vt:variant>
        <vt:i4>1310772</vt:i4>
      </vt:variant>
      <vt:variant>
        <vt:i4>278</vt:i4>
      </vt:variant>
      <vt:variant>
        <vt:i4>0</vt:i4>
      </vt:variant>
      <vt:variant>
        <vt:i4>5</vt:i4>
      </vt:variant>
      <vt:variant>
        <vt:lpwstr/>
      </vt:variant>
      <vt:variant>
        <vt:lpwstr>_Toc77261604</vt:lpwstr>
      </vt:variant>
      <vt:variant>
        <vt:i4>1245236</vt:i4>
      </vt:variant>
      <vt:variant>
        <vt:i4>272</vt:i4>
      </vt:variant>
      <vt:variant>
        <vt:i4>0</vt:i4>
      </vt:variant>
      <vt:variant>
        <vt:i4>5</vt:i4>
      </vt:variant>
      <vt:variant>
        <vt:lpwstr/>
      </vt:variant>
      <vt:variant>
        <vt:lpwstr>_Toc77261603</vt:lpwstr>
      </vt:variant>
      <vt:variant>
        <vt:i4>1179700</vt:i4>
      </vt:variant>
      <vt:variant>
        <vt:i4>266</vt:i4>
      </vt:variant>
      <vt:variant>
        <vt:i4>0</vt:i4>
      </vt:variant>
      <vt:variant>
        <vt:i4>5</vt:i4>
      </vt:variant>
      <vt:variant>
        <vt:lpwstr/>
      </vt:variant>
      <vt:variant>
        <vt:lpwstr>_Toc77261602</vt:lpwstr>
      </vt:variant>
      <vt:variant>
        <vt:i4>1114164</vt:i4>
      </vt:variant>
      <vt:variant>
        <vt:i4>260</vt:i4>
      </vt:variant>
      <vt:variant>
        <vt:i4>0</vt:i4>
      </vt:variant>
      <vt:variant>
        <vt:i4>5</vt:i4>
      </vt:variant>
      <vt:variant>
        <vt:lpwstr/>
      </vt:variant>
      <vt:variant>
        <vt:lpwstr>_Toc77261601</vt:lpwstr>
      </vt:variant>
      <vt:variant>
        <vt:i4>1048628</vt:i4>
      </vt:variant>
      <vt:variant>
        <vt:i4>254</vt:i4>
      </vt:variant>
      <vt:variant>
        <vt:i4>0</vt:i4>
      </vt:variant>
      <vt:variant>
        <vt:i4>5</vt:i4>
      </vt:variant>
      <vt:variant>
        <vt:lpwstr/>
      </vt:variant>
      <vt:variant>
        <vt:lpwstr>_Toc77261600</vt:lpwstr>
      </vt:variant>
      <vt:variant>
        <vt:i4>1703997</vt:i4>
      </vt:variant>
      <vt:variant>
        <vt:i4>248</vt:i4>
      </vt:variant>
      <vt:variant>
        <vt:i4>0</vt:i4>
      </vt:variant>
      <vt:variant>
        <vt:i4>5</vt:i4>
      </vt:variant>
      <vt:variant>
        <vt:lpwstr/>
      </vt:variant>
      <vt:variant>
        <vt:lpwstr>_Toc77261599</vt:lpwstr>
      </vt:variant>
      <vt:variant>
        <vt:i4>1769533</vt:i4>
      </vt:variant>
      <vt:variant>
        <vt:i4>242</vt:i4>
      </vt:variant>
      <vt:variant>
        <vt:i4>0</vt:i4>
      </vt:variant>
      <vt:variant>
        <vt:i4>5</vt:i4>
      </vt:variant>
      <vt:variant>
        <vt:lpwstr/>
      </vt:variant>
      <vt:variant>
        <vt:lpwstr>_Toc77261598</vt:lpwstr>
      </vt:variant>
      <vt:variant>
        <vt:i4>1310781</vt:i4>
      </vt:variant>
      <vt:variant>
        <vt:i4>236</vt:i4>
      </vt:variant>
      <vt:variant>
        <vt:i4>0</vt:i4>
      </vt:variant>
      <vt:variant>
        <vt:i4>5</vt:i4>
      </vt:variant>
      <vt:variant>
        <vt:lpwstr/>
      </vt:variant>
      <vt:variant>
        <vt:lpwstr>_Toc77261597</vt:lpwstr>
      </vt:variant>
      <vt:variant>
        <vt:i4>1376317</vt:i4>
      </vt:variant>
      <vt:variant>
        <vt:i4>230</vt:i4>
      </vt:variant>
      <vt:variant>
        <vt:i4>0</vt:i4>
      </vt:variant>
      <vt:variant>
        <vt:i4>5</vt:i4>
      </vt:variant>
      <vt:variant>
        <vt:lpwstr/>
      </vt:variant>
      <vt:variant>
        <vt:lpwstr>_Toc77261596</vt:lpwstr>
      </vt:variant>
      <vt:variant>
        <vt:i4>1441853</vt:i4>
      </vt:variant>
      <vt:variant>
        <vt:i4>224</vt:i4>
      </vt:variant>
      <vt:variant>
        <vt:i4>0</vt:i4>
      </vt:variant>
      <vt:variant>
        <vt:i4>5</vt:i4>
      </vt:variant>
      <vt:variant>
        <vt:lpwstr/>
      </vt:variant>
      <vt:variant>
        <vt:lpwstr>_Toc77261595</vt:lpwstr>
      </vt:variant>
      <vt:variant>
        <vt:i4>1507389</vt:i4>
      </vt:variant>
      <vt:variant>
        <vt:i4>218</vt:i4>
      </vt:variant>
      <vt:variant>
        <vt:i4>0</vt:i4>
      </vt:variant>
      <vt:variant>
        <vt:i4>5</vt:i4>
      </vt:variant>
      <vt:variant>
        <vt:lpwstr/>
      </vt:variant>
      <vt:variant>
        <vt:lpwstr>_Toc77261594</vt:lpwstr>
      </vt:variant>
      <vt:variant>
        <vt:i4>1048637</vt:i4>
      </vt:variant>
      <vt:variant>
        <vt:i4>212</vt:i4>
      </vt:variant>
      <vt:variant>
        <vt:i4>0</vt:i4>
      </vt:variant>
      <vt:variant>
        <vt:i4>5</vt:i4>
      </vt:variant>
      <vt:variant>
        <vt:lpwstr/>
      </vt:variant>
      <vt:variant>
        <vt:lpwstr>_Toc77261593</vt:lpwstr>
      </vt:variant>
      <vt:variant>
        <vt:i4>1114173</vt:i4>
      </vt:variant>
      <vt:variant>
        <vt:i4>206</vt:i4>
      </vt:variant>
      <vt:variant>
        <vt:i4>0</vt:i4>
      </vt:variant>
      <vt:variant>
        <vt:i4>5</vt:i4>
      </vt:variant>
      <vt:variant>
        <vt:lpwstr/>
      </vt:variant>
      <vt:variant>
        <vt:lpwstr>_Toc77261592</vt:lpwstr>
      </vt:variant>
      <vt:variant>
        <vt:i4>1179709</vt:i4>
      </vt:variant>
      <vt:variant>
        <vt:i4>200</vt:i4>
      </vt:variant>
      <vt:variant>
        <vt:i4>0</vt:i4>
      </vt:variant>
      <vt:variant>
        <vt:i4>5</vt:i4>
      </vt:variant>
      <vt:variant>
        <vt:lpwstr/>
      </vt:variant>
      <vt:variant>
        <vt:lpwstr>_Toc77261591</vt:lpwstr>
      </vt:variant>
      <vt:variant>
        <vt:i4>1245245</vt:i4>
      </vt:variant>
      <vt:variant>
        <vt:i4>194</vt:i4>
      </vt:variant>
      <vt:variant>
        <vt:i4>0</vt:i4>
      </vt:variant>
      <vt:variant>
        <vt:i4>5</vt:i4>
      </vt:variant>
      <vt:variant>
        <vt:lpwstr/>
      </vt:variant>
      <vt:variant>
        <vt:lpwstr>_Toc77261590</vt:lpwstr>
      </vt:variant>
      <vt:variant>
        <vt:i4>1703996</vt:i4>
      </vt:variant>
      <vt:variant>
        <vt:i4>188</vt:i4>
      </vt:variant>
      <vt:variant>
        <vt:i4>0</vt:i4>
      </vt:variant>
      <vt:variant>
        <vt:i4>5</vt:i4>
      </vt:variant>
      <vt:variant>
        <vt:lpwstr/>
      </vt:variant>
      <vt:variant>
        <vt:lpwstr>_Toc77261589</vt:lpwstr>
      </vt:variant>
      <vt:variant>
        <vt:i4>1769532</vt:i4>
      </vt:variant>
      <vt:variant>
        <vt:i4>182</vt:i4>
      </vt:variant>
      <vt:variant>
        <vt:i4>0</vt:i4>
      </vt:variant>
      <vt:variant>
        <vt:i4>5</vt:i4>
      </vt:variant>
      <vt:variant>
        <vt:lpwstr/>
      </vt:variant>
      <vt:variant>
        <vt:lpwstr>_Toc77261588</vt:lpwstr>
      </vt:variant>
      <vt:variant>
        <vt:i4>1310780</vt:i4>
      </vt:variant>
      <vt:variant>
        <vt:i4>176</vt:i4>
      </vt:variant>
      <vt:variant>
        <vt:i4>0</vt:i4>
      </vt:variant>
      <vt:variant>
        <vt:i4>5</vt:i4>
      </vt:variant>
      <vt:variant>
        <vt:lpwstr/>
      </vt:variant>
      <vt:variant>
        <vt:lpwstr>_Toc77261587</vt:lpwstr>
      </vt:variant>
      <vt:variant>
        <vt:i4>1376316</vt:i4>
      </vt:variant>
      <vt:variant>
        <vt:i4>170</vt:i4>
      </vt:variant>
      <vt:variant>
        <vt:i4>0</vt:i4>
      </vt:variant>
      <vt:variant>
        <vt:i4>5</vt:i4>
      </vt:variant>
      <vt:variant>
        <vt:lpwstr/>
      </vt:variant>
      <vt:variant>
        <vt:lpwstr>_Toc77261586</vt:lpwstr>
      </vt:variant>
      <vt:variant>
        <vt:i4>1441852</vt:i4>
      </vt:variant>
      <vt:variant>
        <vt:i4>164</vt:i4>
      </vt:variant>
      <vt:variant>
        <vt:i4>0</vt:i4>
      </vt:variant>
      <vt:variant>
        <vt:i4>5</vt:i4>
      </vt:variant>
      <vt:variant>
        <vt:lpwstr/>
      </vt:variant>
      <vt:variant>
        <vt:lpwstr>_Toc77261585</vt:lpwstr>
      </vt:variant>
      <vt:variant>
        <vt:i4>1507388</vt:i4>
      </vt:variant>
      <vt:variant>
        <vt:i4>158</vt:i4>
      </vt:variant>
      <vt:variant>
        <vt:i4>0</vt:i4>
      </vt:variant>
      <vt:variant>
        <vt:i4>5</vt:i4>
      </vt:variant>
      <vt:variant>
        <vt:lpwstr/>
      </vt:variant>
      <vt:variant>
        <vt:lpwstr>_Toc77261584</vt:lpwstr>
      </vt:variant>
      <vt:variant>
        <vt:i4>1048636</vt:i4>
      </vt:variant>
      <vt:variant>
        <vt:i4>152</vt:i4>
      </vt:variant>
      <vt:variant>
        <vt:i4>0</vt:i4>
      </vt:variant>
      <vt:variant>
        <vt:i4>5</vt:i4>
      </vt:variant>
      <vt:variant>
        <vt:lpwstr/>
      </vt:variant>
      <vt:variant>
        <vt:lpwstr>_Toc77261583</vt:lpwstr>
      </vt:variant>
      <vt:variant>
        <vt:i4>1114172</vt:i4>
      </vt:variant>
      <vt:variant>
        <vt:i4>146</vt:i4>
      </vt:variant>
      <vt:variant>
        <vt:i4>0</vt:i4>
      </vt:variant>
      <vt:variant>
        <vt:i4>5</vt:i4>
      </vt:variant>
      <vt:variant>
        <vt:lpwstr/>
      </vt:variant>
      <vt:variant>
        <vt:lpwstr>_Toc77261582</vt:lpwstr>
      </vt:variant>
      <vt:variant>
        <vt:i4>1179708</vt:i4>
      </vt:variant>
      <vt:variant>
        <vt:i4>140</vt:i4>
      </vt:variant>
      <vt:variant>
        <vt:i4>0</vt:i4>
      </vt:variant>
      <vt:variant>
        <vt:i4>5</vt:i4>
      </vt:variant>
      <vt:variant>
        <vt:lpwstr/>
      </vt:variant>
      <vt:variant>
        <vt:lpwstr>_Toc77261581</vt:lpwstr>
      </vt:variant>
      <vt:variant>
        <vt:i4>1245244</vt:i4>
      </vt:variant>
      <vt:variant>
        <vt:i4>134</vt:i4>
      </vt:variant>
      <vt:variant>
        <vt:i4>0</vt:i4>
      </vt:variant>
      <vt:variant>
        <vt:i4>5</vt:i4>
      </vt:variant>
      <vt:variant>
        <vt:lpwstr/>
      </vt:variant>
      <vt:variant>
        <vt:lpwstr>_Toc77261580</vt:lpwstr>
      </vt:variant>
      <vt:variant>
        <vt:i4>1703987</vt:i4>
      </vt:variant>
      <vt:variant>
        <vt:i4>128</vt:i4>
      </vt:variant>
      <vt:variant>
        <vt:i4>0</vt:i4>
      </vt:variant>
      <vt:variant>
        <vt:i4>5</vt:i4>
      </vt:variant>
      <vt:variant>
        <vt:lpwstr/>
      </vt:variant>
      <vt:variant>
        <vt:lpwstr>_Toc77261579</vt:lpwstr>
      </vt:variant>
      <vt:variant>
        <vt:i4>1769523</vt:i4>
      </vt:variant>
      <vt:variant>
        <vt:i4>122</vt:i4>
      </vt:variant>
      <vt:variant>
        <vt:i4>0</vt:i4>
      </vt:variant>
      <vt:variant>
        <vt:i4>5</vt:i4>
      </vt:variant>
      <vt:variant>
        <vt:lpwstr/>
      </vt:variant>
      <vt:variant>
        <vt:lpwstr>_Toc77261578</vt:lpwstr>
      </vt:variant>
      <vt:variant>
        <vt:i4>1310771</vt:i4>
      </vt:variant>
      <vt:variant>
        <vt:i4>116</vt:i4>
      </vt:variant>
      <vt:variant>
        <vt:i4>0</vt:i4>
      </vt:variant>
      <vt:variant>
        <vt:i4>5</vt:i4>
      </vt:variant>
      <vt:variant>
        <vt:lpwstr/>
      </vt:variant>
      <vt:variant>
        <vt:lpwstr>_Toc77261577</vt:lpwstr>
      </vt:variant>
      <vt:variant>
        <vt:i4>1376307</vt:i4>
      </vt:variant>
      <vt:variant>
        <vt:i4>110</vt:i4>
      </vt:variant>
      <vt:variant>
        <vt:i4>0</vt:i4>
      </vt:variant>
      <vt:variant>
        <vt:i4>5</vt:i4>
      </vt:variant>
      <vt:variant>
        <vt:lpwstr/>
      </vt:variant>
      <vt:variant>
        <vt:lpwstr>_Toc77261576</vt:lpwstr>
      </vt:variant>
      <vt:variant>
        <vt:i4>1441843</vt:i4>
      </vt:variant>
      <vt:variant>
        <vt:i4>104</vt:i4>
      </vt:variant>
      <vt:variant>
        <vt:i4>0</vt:i4>
      </vt:variant>
      <vt:variant>
        <vt:i4>5</vt:i4>
      </vt:variant>
      <vt:variant>
        <vt:lpwstr/>
      </vt:variant>
      <vt:variant>
        <vt:lpwstr>_Toc77261575</vt:lpwstr>
      </vt:variant>
      <vt:variant>
        <vt:i4>1507379</vt:i4>
      </vt:variant>
      <vt:variant>
        <vt:i4>98</vt:i4>
      </vt:variant>
      <vt:variant>
        <vt:i4>0</vt:i4>
      </vt:variant>
      <vt:variant>
        <vt:i4>5</vt:i4>
      </vt:variant>
      <vt:variant>
        <vt:lpwstr/>
      </vt:variant>
      <vt:variant>
        <vt:lpwstr>_Toc77261574</vt:lpwstr>
      </vt:variant>
      <vt:variant>
        <vt:i4>1048627</vt:i4>
      </vt:variant>
      <vt:variant>
        <vt:i4>92</vt:i4>
      </vt:variant>
      <vt:variant>
        <vt:i4>0</vt:i4>
      </vt:variant>
      <vt:variant>
        <vt:i4>5</vt:i4>
      </vt:variant>
      <vt:variant>
        <vt:lpwstr/>
      </vt:variant>
      <vt:variant>
        <vt:lpwstr>_Toc77261573</vt:lpwstr>
      </vt:variant>
      <vt:variant>
        <vt:i4>1114163</vt:i4>
      </vt:variant>
      <vt:variant>
        <vt:i4>86</vt:i4>
      </vt:variant>
      <vt:variant>
        <vt:i4>0</vt:i4>
      </vt:variant>
      <vt:variant>
        <vt:i4>5</vt:i4>
      </vt:variant>
      <vt:variant>
        <vt:lpwstr/>
      </vt:variant>
      <vt:variant>
        <vt:lpwstr>_Toc77261572</vt:lpwstr>
      </vt:variant>
      <vt:variant>
        <vt:i4>1179699</vt:i4>
      </vt:variant>
      <vt:variant>
        <vt:i4>80</vt:i4>
      </vt:variant>
      <vt:variant>
        <vt:i4>0</vt:i4>
      </vt:variant>
      <vt:variant>
        <vt:i4>5</vt:i4>
      </vt:variant>
      <vt:variant>
        <vt:lpwstr/>
      </vt:variant>
      <vt:variant>
        <vt:lpwstr>_Toc77261571</vt:lpwstr>
      </vt:variant>
      <vt:variant>
        <vt:i4>1245235</vt:i4>
      </vt:variant>
      <vt:variant>
        <vt:i4>74</vt:i4>
      </vt:variant>
      <vt:variant>
        <vt:i4>0</vt:i4>
      </vt:variant>
      <vt:variant>
        <vt:i4>5</vt:i4>
      </vt:variant>
      <vt:variant>
        <vt:lpwstr/>
      </vt:variant>
      <vt:variant>
        <vt:lpwstr>_Toc77261570</vt:lpwstr>
      </vt:variant>
      <vt:variant>
        <vt:i4>1703986</vt:i4>
      </vt:variant>
      <vt:variant>
        <vt:i4>68</vt:i4>
      </vt:variant>
      <vt:variant>
        <vt:i4>0</vt:i4>
      </vt:variant>
      <vt:variant>
        <vt:i4>5</vt:i4>
      </vt:variant>
      <vt:variant>
        <vt:lpwstr/>
      </vt:variant>
      <vt:variant>
        <vt:lpwstr>_Toc77261569</vt:lpwstr>
      </vt:variant>
      <vt:variant>
        <vt:i4>1769522</vt:i4>
      </vt:variant>
      <vt:variant>
        <vt:i4>62</vt:i4>
      </vt:variant>
      <vt:variant>
        <vt:i4>0</vt:i4>
      </vt:variant>
      <vt:variant>
        <vt:i4>5</vt:i4>
      </vt:variant>
      <vt:variant>
        <vt:lpwstr/>
      </vt:variant>
      <vt:variant>
        <vt:lpwstr>_Toc77261568</vt:lpwstr>
      </vt:variant>
      <vt:variant>
        <vt:i4>1310770</vt:i4>
      </vt:variant>
      <vt:variant>
        <vt:i4>56</vt:i4>
      </vt:variant>
      <vt:variant>
        <vt:i4>0</vt:i4>
      </vt:variant>
      <vt:variant>
        <vt:i4>5</vt:i4>
      </vt:variant>
      <vt:variant>
        <vt:lpwstr/>
      </vt:variant>
      <vt:variant>
        <vt:lpwstr>_Toc77261567</vt:lpwstr>
      </vt:variant>
      <vt:variant>
        <vt:i4>1376306</vt:i4>
      </vt:variant>
      <vt:variant>
        <vt:i4>50</vt:i4>
      </vt:variant>
      <vt:variant>
        <vt:i4>0</vt:i4>
      </vt:variant>
      <vt:variant>
        <vt:i4>5</vt:i4>
      </vt:variant>
      <vt:variant>
        <vt:lpwstr/>
      </vt:variant>
      <vt:variant>
        <vt:lpwstr>_Toc77261566</vt:lpwstr>
      </vt:variant>
      <vt:variant>
        <vt:i4>1441842</vt:i4>
      </vt:variant>
      <vt:variant>
        <vt:i4>44</vt:i4>
      </vt:variant>
      <vt:variant>
        <vt:i4>0</vt:i4>
      </vt:variant>
      <vt:variant>
        <vt:i4>5</vt:i4>
      </vt:variant>
      <vt:variant>
        <vt:lpwstr/>
      </vt:variant>
      <vt:variant>
        <vt:lpwstr>_Toc77261565</vt:lpwstr>
      </vt:variant>
      <vt:variant>
        <vt:i4>1507378</vt:i4>
      </vt:variant>
      <vt:variant>
        <vt:i4>38</vt:i4>
      </vt:variant>
      <vt:variant>
        <vt:i4>0</vt:i4>
      </vt:variant>
      <vt:variant>
        <vt:i4>5</vt:i4>
      </vt:variant>
      <vt:variant>
        <vt:lpwstr/>
      </vt:variant>
      <vt:variant>
        <vt:lpwstr>_Toc77261564</vt:lpwstr>
      </vt:variant>
      <vt:variant>
        <vt:i4>1048626</vt:i4>
      </vt:variant>
      <vt:variant>
        <vt:i4>32</vt:i4>
      </vt:variant>
      <vt:variant>
        <vt:i4>0</vt:i4>
      </vt:variant>
      <vt:variant>
        <vt:i4>5</vt:i4>
      </vt:variant>
      <vt:variant>
        <vt:lpwstr/>
      </vt:variant>
      <vt:variant>
        <vt:lpwstr>_Toc77261563</vt:lpwstr>
      </vt:variant>
      <vt:variant>
        <vt:i4>1114162</vt:i4>
      </vt:variant>
      <vt:variant>
        <vt:i4>26</vt:i4>
      </vt:variant>
      <vt:variant>
        <vt:i4>0</vt:i4>
      </vt:variant>
      <vt:variant>
        <vt:i4>5</vt:i4>
      </vt:variant>
      <vt:variant>
        <vt:lpwstr/>
      </vt:variant>
      <vt:variant>
        <vt:lpwstr>_Toc77261562</vt:lpwstr>
      </vt:variant>
      <vt:variant>
        <vt:i4>1179698</vt:i4>
      </vt:variant>
      <vt:variant>
        <vt:i4>20</vt:i4>
      </vt:variant>
      <vt:variant>
        <vt:i4>0</vt:i4>
      </vt:variant>
      <vt:variant>
        <vt:i4>5</vt:i4>
      </vt:variant>
      <vt:variant>
        <vt:lpwstr/>
      </vt:variant>
      <vt:variant>
        <vt:lpwstr>_Toc77261561</vt:lpwstr>
      </vt:variant>
      <vt:variant>
        <vt:i4>1245234</vt:i4>
      </vt:variant>
      <vt:variant>
        <vt:i4>14</vt:i4>
      </vt:variant>
      <vt:variant>
        <vt:i4>0</vt:i4>
      </vt:variant>
      <vt:variant>
        <vt:i4>5</vt:i4>
      </vt:variant>
      <vt:variant>
        <vt:lpwstr/>
      </vt:variant>
      <vt:variant>
        <vt:lpwstr>_Toc77261560</vt:lpwstr>
      </vt:variant>
      <vt:variant>
        <vt:i4>1703985</vt:i4>
      </vt:variant>
      <vt:variant>
        <vt:i4>8</vt:i4>
      </vt:variant>
      <vt:variant>
        <vt:i4>0</vt:i4>
      </vt:variant>
      <vt:variant>
        <vt:i4>5</vt:i4>
      </vt:variant>
      <vt:variant>
        <vt:lpwstr/>
      </vt:variant>
      <vt:variant>
        <vt:lpwstr>_Toc77261559</vt:lpwstr>
      </vt:variant>
      <vt:variant>
        <vt:i4>1769521</vt:i4>
      </vt:variant>
      <vt:variant>
        <vt:i4>2</vt:i4>
      </vt:variant>
      <vt:variant>
        <vt:i4>0</vt:i4>
      </vt:variant>
      <vt:variant>
        <vt:i4>5</vt:i4>
      </vt:variant>
      <vt:variant>
        <vt:lpwstr/>
      </vt:variant>
      <vt:variant>
        <vt:lpwstr>_Toc77261558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didier.pocet@enabel.be</dc:creator>
  <cp:keywords/>
  <dc:description/>
  <cp:lastModifiedBy>TALLON, John</cp:lastModifiedBy>
  <cp:revision>11</cp:revision>
  <cp:lastPrinted>2023-04-17T16:32:00Z</cp:lastPrinted>
  <dcterms:created xsi:type="dcterms:W3CDTF">2024-03-06T06:48:00Z</dcterms:created>
  <dcterms:modified xsi:type="dcterms:W3CDTF">2024-03-06T08:35:00Z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0x01010039CC87A36D87B74DB418DEE1F6D3FB20</vt:lpwstr>
  </property>
  <property fmtid="{D5CDD505-2E9C-101B-9397-08002B2CF9AE}" pid="3" name="_dlc_DocIdItemGuid">
    <vt:lpwstr>78973832-2b03-404a-82ef-5cf4611b1f83</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Document_Type">
    <vt:lpwstr/>
  </property>
  <property fmtid="{D5CDD505-2E9C-101B-9397-08002B2CF9AE}" pid="8" name="Document_Language">
    <vt:lpwstr>18</vt:lpwstr>
  </property>
  <property fmtid="{D5CDD505-2E9C-101B-9397-08002B2CF9AE}" pid="9" name="Country">
    <vt:lpwstr>5;#PSE|9ea7551c-3779-4ad9-9661-273f91da302a</vt:lpwstr>
  </property>
  <property fmtid="{D5CDD505-2E9C-101B-9397-08002B2CF9AE}" pid="10" name="_ExtendedDescription">
    <vt:lpwstr/>
  </property>
  <property fmtid="{D5CDD505-2E9C-101B-9397-08002B2CF9AE}" pid="11" name="Document_Status">
    <vt:lpwstr/>
  </property>
  <property fmtid="{D5CDD505-2E9C-101B-9397-08002B2CF9AE}" pid="12" name="TriggerFlowInfo">
    <vt:lpwstr/>
  </property>
  <property fmtid="{D5CDD505-2E9C-101B-9397-08002B2CF9AE}" pid="13" name="Contract_reference">
    <vt:lpwstr>201</vt:lpwstr>
  </property>
  <property fmtid="{D5CDD505-2E9C-101B-9397-08002B2CF9AE}" pid="14" name="xd_Signature">
    <vt:bool>false</vt:bool>
  </property>
  <property fmtid="{D5CDD505-2E9C-101B-9397-08002B2CF9AE}" pid="15" name="Project_code">
    <vt:lpwstr>32</vt:lpwstr>
  </property>
  <property fmtid="{D5CDD505-2E9C-101B-9397-08002B2CF9AE}" pid="16" name="_docset_NoMedatataSyncRequired">
    <vt:lpwstr>False</vt:lpwstr>
  </property>
  <property fmtid="{D5CDD505-2E9C-101B-9397-08002B2CF9AE}" pid="17" name="MediaServiceImageTags">
    <vt:lpwstr/>
  </property>
</Properties>
</file>