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6D97F" w14:textId="770C7A1F" w:rsidR="00943A55" w:rsidRDefault="00943A55" w:rsidP="003C18B5">
      <w:pPr>
        <w:pStyle w:val="Titrecouverture"/>
        <w:shd w:val="clear" w:color="auto" w:fill="FFC000"/>
        <w:spacing w:after="0" w:line="240" w:lineRule="auto"/>
        <w:jc w:val="center"/>
      </w:pPr>
      <w:r w:rsidRPr="00943A55">
        <w:rPr>
          <w:rFonts w:ascii="Georgia" w:hAnsi="Georgia"/>
          <w:b/>
          <w:bCs/>
          <w:sz w:val="28"/>
          <w:szCs w:val="28"/>
          <w14:ligatures w14:val="none"/>
        </w:rPr>
        <w:t>Cahier Spécial des Charges BEN23004-1003</w:t>
      </w:r>
      <w:r w:rsidR="00BD369B">
        <w:rPr>
          <w:rFonts w:ascii="Georgia" w:hAnsi="Georgia"/>
          <w:b/>
          <w:bCs/>
          <w:sz w:val="28"/>
          <w:szCs w:val="28"/>
          <w14:ligatures w14:val="none"/>
        </w:rPr>
        <w:t>3</w:t>
      </w:r>
    </w:p>
    <w:p w14:paraId="139580A5" w14:textId="291B356E" w:rsidR="00943A55" w:rsidRDefault="00943A55" w:rsidP="00040283">
      <w:pPr>
        <w:spacing w:after="0"/>
        <w:jc w:val="center"/>
      </w:pPr>
      <w:r w:rsidRPr="00943A55">
        <w:rPr>
          <w:rFonts w:ascii="Georgia" w:eastAsia="Calibri" w:hAnsi="Georgia" w:cs="Times New Roman"/>
          <w:color w:val="585756"/>
          <w:kern w:val="0"/>
          <w:sz w:val="24"/>
          <w:szCs w:val="24"/>
          <w:lang w:val="fr-BE"/>
          <w14:ligatures w14:val="none"/>
        </w:rPr>
        <w:t xml:space="preserve">Marché de Services relatif à </w:t>
      </w:r>
      <w:r w:rsidR="00BD369B" w:rsidRPr="00BD369B">
        <w:rPr>
          <w:rFonts w:ascii="Georgia" w:eastAsia="Calibri" w:hAnsi="Georgia" w:cs="Times New Roman"/>
          <w:color w:val="585756"/>
          <w:kern w:val="0"/>
          <w:sz w:val="24"/>
          <w:szCs w:val="24"/>
          <w:lang w:val="fr-BE"/>
          <w14:ligatures w14:val="none"/>
        </w:rPr>
        <w:t>la mise en place d'un porte-monnaie électronique "</w:t>
      </w:r>
      <w:proofErr w:type="spellStart"/>
      <w:r w:rsidR="00BD369B" w:rsidRPr="00BD369B">
        <w:rPr>
          <w:rFonts w:ascii="Georgia" w:eastAsia="Calibri" w:hAnsi="Georgia" w:cs="Times New Roman"/>
          <w:color w:val="585756"/>
          <w:kern w:val="0"/>
          <w:sz w:val="24"/>
          <w:szCs w:val="24"/>
          <w:lang w:val="fr-BE"/>
          <w14:ligatures w14:val="none"/>
        </w:rPr>
        <w:t>Agriwallet</w:t>
      </w:r>
      <w:proofErr w:type="spellEnd"/>
      <w:r w:rsidR="00BD369B" w:rsidRPr="00BD369B">
        <w:rPr>
          <w:rFonts w:ascii="Georgia" w:eastAsia="Calibri" w:hAnsi="Georgia" w:cs="Times New Roman"/>
          <w:color w:val="585756"/>
          <w:kern w:val="0"/>
          <w:sz w:val="24"/>
          <w:szCs w:val="24"/>
          <w:lang w:val="fr-BE"/>
          <w14:ligatures w14:val="none"/>
        </w:rPr>
        <w:t>" pour accompagner la digitalisation des paiements au sein des clusters de la filière riz dans le sud du Bénin, et des clusters d’une filière du pôle de développement agricole 4</w:t>
      </w:r>
    </w:p>
    <w:p w14:paraId="489E8EBB" w14:textId="77777777" w:rsidR="00943A55" w:rsidRPr="001A4E3C" w:rsidRDefault="00943A55" w:rsidP="00040283">
      <w:pPr>
        <w:spacing w:after="0"/>
      </w:pPr>
    </w:p>
    <w:p w14:paraId="32F2DDDB" w14:textId="746362EB" w:rsidR="00525666" w:rsidRDefault="00943A55">
      <w:pPr>
        <w:rPr>
          <w:rFonts w:ascii="Georgia" w:eastAsia="Calibri" w:hAnsi="Georgia" w:cs="Times New Roman"/>
          <w:b/>
          <w:bCs/>
          <w:color w:val="585756"/>
          <w:kern w:val="0"/>
          <w:sz w:val="28"/>
          <w:szCs w:val="28"/>
          <w:lang w:val="fr-BE"/>
          <w14:ligatures w14:val="none"/>
        </w:rPr>
      </w:pPr>
      <w:r w:rsidRPr="00943A55">
        <w:rPr>
          <w:rFonts w:ascii="Georgia" w:eastAsia="Calibri" w:hAnsi="Georgia" w:cs="Times New Roman"/>
          <w:b/>
          <w:bCs/>
          <w:color w:val="585756"/>
          <w:kern w:val="0"/>
          <w:sz w:val="28"/>
          <w:szCs w:val="28"/>
          <w:lang w:val="fr-BE"/>
          <w14:ligatures w14:val="none"/>
        </w:rPr>
        <w:t xml:space="preserve">Aperçu des questions réponses </w:t>
      </w:r>
      <w:r w:rsidR="00040283">
        <w:rPr>
          <w:rFonts w:ascii="Georgia" w:eastAsia="Calibri" w:hAnsi="Georgia" w:cs="Times New Roman"/>
          <w:b/>
          <w:bCs/>
          <w:color w:val="585756"/>
          <w:kern w:val="0"/>
          <w:sz w:val="28"/>
          <w:szCs w:val="28"/>
          <w:lang w:val="fr-BE"/>
          <w14:ligatures w14:val="none"/>
        </w:rPr>
        <w:t>(mise à jour du 07 mai 2024)</w:t>
      </w:r>
    </w:p>
    <w:tbl>
      <w:tblPr>
        <w:tblStyle w:val="Grilledutableau"/>
        <w:tblW w:w="14029" w:type="dxa"/>
        <w:tblLook w:val="04A0" w:firstRow="1" w:lastRow="0" w:firstColumn="1" w:lastColumn="0" w:noHBand="0" w:noVBand="1"/>
      </w:tblPr>
      <w:tblGrid>
        <w:gridCol w:w="804"/>
        <w:gridCol w:w="6115"/>
        <w:gridCol w:w="7110"/>
      </w:tblGrid>
      <w:tr w:rsidR="001212C9" w:rsidRPr="00943A55" w14:paraId="0313B488" w14:textId="77777777" w:rsidTr="001212C9">
        <w:tc>
          <w:tcPr>
            <w:tcW w:w="6919" w:type="dxa"/>
            <w:gridSpan w:val="2"/>
            <w:shd w:val="clear" w:color="auto" w:fill="002060"/>
          </w:tcPr>
          <w:p w14:paraId="77880DB9" w14:textId="11ADAE2B" w:rsidR="001212C9" w:rsidRPr="00943A55" w:rsidRDefault="001212C9">
            <w:pPr>
              <w:rPr>
                <w:rFonts w:ascii="Georgia" w:eastAsia="Calibri" w:hAnsi="Georgia" w:cs="Times New Roman"/>
                <w:b/>
                <w:bCs/>
                <w:color w:val="FFFFFF" w:themeColor="background1"/>
                <w:kern w:val="0"/>
                <w:sz w:val="28"/>
                <w:szCs w:val="28"/>
                <w:lang w:val="fr-BE"/>
                <w14:ligatures w14:val="none"/>
              </w:rPr>
            </w:pPr>
            <w:r w:rsidRPr="00943A55">
              <w:rPr>
                <w:rFonts w:ascii="Georgia" w:eastAsia="Calibri" w:hAnsi="Georgia" w:cs="Times New Roman"/>
                <w:b/>
                <w:bCs/>
                <w:color w:val="FFFFFF" w:themeColor="background1"/>
                <w:kern w:val="0"/>
                <w:sz w:val="28"/>
                <w:szCs w:val="28"/>
                <w:lang w:val="fr-BE"/>
                <w14:ligatures w14:val="none"/>
              </w:rPr>
              <w:t>Questions</w:t>
            </w:r>
          </w:p>
        </w:tc>
        <w:tc>
          <w:tcPr>
            <w:tcW w:w="7110" w:type="dxa"/>
            <w:shd w:val="clear" w:color="auto" w:fill="002060"/>
          </w:tcPr>
          <w:p w14:paraId="3983745C" w14:textId="4D5DED2D" w:rsidR="001212C9" w:rsidRPr="00943A55" w:rsidRDefault="001212C9">
            <w:pPr>
              <w:rPr>
                <w:rFonts w:ascii="Georgia" w:eastAsia="Calibri" w:hAnsi="Georgia" w:cs="Times New Roman"/>
                <w:b/>
                <w:bCs/>
                <w:color w:val="FFFFFF" w:themeColor="background1"/>
                <w:kern w:val="0"/>
                <w:sz w:val="28"/>
                <w:szCs w:val="28"/>
                <w:lang w:val="fr-BE"/>
                <w14:ligatures w14:val="none"/>
              </w:rPr>
            </w:pPr>
            <w:r w:rsidRPr="00943A55">
              <w:rPr>
                <w:rFonts w:ascii="Georgia" w:eastAsia="Calibri" w:hAnsi="Georgia" w:cs="Times New Roman"/>
                <w:b/>
                <w:bCs/>
                <w:color w:val="FFFFFF" w:themeColor="background1"/>
                <w:kern w:val="0"/>
                <w:sz w:val="28"/>
                <w:szCs w:val="28"/>
                <w:lang w:val="fr-BE"/>
                <w14:ligatures w14:val="none"/>
              </w:rPr>
              <w:t>Réponse du pouvoir adjudicateur</w:t>
            </w:r>
          </w:p>
        </w:tc>
      </w:tr>
      <w:tr w:rsidR="001212C9" w14:paraId="74E61771" w14:textId="77777777" w:rsidTr="001212C9">
        <w:tc>
          <w:tcPr>
            <w:tcW w:w="804" w:type="dxa"/>
          </w:tcPr>
          <w:p w14:paraId="62E31B19" w14:textId="77777777" w:rsidR="001212C9" w:rsidRPr="00943A55" w:rsidRDefault="001212C9" w:rsidP="00943A55">
            <w:pPr>
              <w:pStyle w:val="Paragraphedeliste"/>
              <w:numPr>
                <w:ilvl w:val="0"/>
                <w:numId w:val="1"/>
              </w:numPr>
              <w:ind w:left="425"/>
              <w:rPr>
                <w:rFonts w:ascii="Georgia" w:eastAsia="Calibri" w:hAnsi="Georgia" w:cs="Times New Roman"/>
                <w:color w:val="585756"/>
                <w:kern w:val="0"/>
                <w:lang w:val="fr-BE"/>
                <w14:ligatures w14:val="none"/>
              </w:rPr>
            </w:pPr>
          </w:p>
        </w:tc>
        <w:tc>
          <w:tcPr>
            <w:tcW w:w="6115" w:type="dxa"/>
          </w:tcPr>
          <w:p w14:paraId="23B20ED1" w14:textId="75E45225" w:rsidR="001212C9" w:rsidRPr="00943A55" w:rsidRDefault="001212C9" w:rsidP="00943A55">
            <w:pPr>
              <w:ind w:left="65"/>
              <w:rPr>
                <w:rFonts w:ascii="Georgia" w:eastAsia="Calibri" w:hAnsi="Georgia" w:cs="Times New Roman"/>
                <w:b/>
                <w:bCs/>
                <w:color w:val="585756"/>
                <w:kern w:val="0"/>
                <w:sz w:val="28"/>
                <w:szCs w:val="28"/>
                <w:lang w:val="fr-BE"/>
                <w14:ligatures w14:val="none"/>
              </w:rPr>
            </w:pPr>
            <w:r w:rsidRPr="00BD369B">
              <w:rPr>
                <w:rFonts w:ascii="Georgia" w:eastAsia="Calibri" w:hAnsi="Georgia" w:cs="Times New Roman"/>
                <w:color w:val="585756"/>
                <w:kern w:val="0"/>
                <w:lang w:val="fr-BE"/>
                <w14:ligatures w14:val="none"/>
              </w:rPr>
              <w:t>En cas de groupement de deux structures, les deux structures sont-elles obligées de remplir les formulaires ou revient-il</w:t>
            </w:r>
            <w:r>
              <w:rPr>
                <w:rFonts w:ascii="Georgia" w:eastAsia="Calibri" w:hAnsi="Georgia" w:cs="Times New Roman"/>
                <w:color w:val="585756"/>
                <w:kern w:val="0"/>
                <w:lang w:val="fr-BE"/>
                <w14:ligatures w14:val="none"/>
              </w:rPr>
              <w:t xml:space="preserve"> </w:t>
            </w:r>
            <w:r w:rsidRPr="00BD369B">
              <w:rPr>
                <w:rFonts w:ascii="Georgia" w:eastAsia="Calibri" w:hAnsi="Georgia" w:cs="Times New Roman"/>
                <w:color w:val="585756"/>
                <w:kern w:val="0"/>
                <w:lang w:val="fr-BE"/>
                <w14:ligatures w14:val="none"/>
              </w:rPr>
              <w:t xml:space="preserve">au mandataire de le </w:t>
            </w:r>
            <w:proofErr w:type="gramStart"/>
            <w:r w:rsidRPr="00BD369B">
              <w:rPr>
                <w:rFonts w:ascii="Georgia" w:eastAsia="Calibri" w:hAnsi="Georgia" w:cs="Times New Roman"/>
                <w:color w:val="585756"/>
                <w:kern w:val="0"/>
                <w:lang w:val="fr-BE"/>
                <w14:ligatures w14:val="none"/>
              </w:rPr>
              <w:t>faire?</w:t>
            </w:r>
            <w:proofErr w:type="gramEnd"/>
          </w:p>
        </w:tc>
        <w:tc>
          <w:tcPr>
            <w:tcW w:w="7110" w:type="dxa"/>
          </w:tcPr>
          <w:p w14:paraId="00EF3C39" w14:textId="3A1FF0AB" w:rsidR="001212C9" w:rsidRDefault="001212C9" w:rsidP="00BD369B">
            <w:pPr>
              <w:jc w:val="both"/>
              <w:rPr>
                <w:rFonts w:ascii="Georgia" w:eastAsia="Calibri" w:hAnsi="Georgia" w:cs="Times New Roman"/>
                <w:b/>
                <w:bCs/>
                <w:color w:val="585756"/>
                <w:kern w:val="0"/>
                <w:sz w:val="28"/>
                <w:szCs w:val="28"/>
                <w:lang w:val="fr-BE"/>
                <w14:ligatures w14:val="none"/>
              </w:rPr>
            </w:pPr>
            <w:r w:rsidRPr="00BD369B">
              <w:rPr>
                <w:rFonts w:ascii="Georgia" w:eastAsia="Calibri" w:hAnsi="Georgia" w:cs="Times New Roman"/>
                <w:color w:val="585756"/>
                <w:kern w:val="0"/>
                <w:lang w:val="fr-BE"/>
                <w14:ligatures w14:val="none"/>
              </w:rPr>
              <w:t>En cas de groupement, les formulaires peuvent être remplis et signés par le mandataire si les membres du groupement en ont désigné un (bien vouloir joindre dans ce cas le pouvoir habilitant ce dernier).</w:t>
            </w:r>
            <w:r>
              <w:rPr>
                <w:rFonts w:ascii="Georgia" w:eastAsia="Calibri" w:hAnsi="Georgia" w:cs="Times New Roman"/>
                <w:color w:val="585756"/>
                <w:kern w:val="0"/>
                <w:lang w:val="fr-BE"/>
                <w14:ligatures w14:val="none"/>
              </w:rPr>
              <w:t xml:space="preserve"> </w:t>
            </w:r>
            <w:r w:rsidRPr="00BD369B">
              <w:rPr>
                <w:rFonts w:ascii="Georgia" w:eastAsia="Calibri" w:hAnsi="Georgia" w:cs="Times New Roman"/>
                <w:color w:val="585756"/>
                <w:kern w:val="0"/>
                <w:lang w:val="fr-BE"/>
                <w14:ligatures w14:val="none"/>
              </w:rPr>
              <w:t>Toutefois, la déclaration sur l'honneur relative aux motifs d'exclusion ainsi que le formulaire d'identification devront être produits et signés</w:t>
            </w:r>
            <w:r>
              <w:rPr>
                <w:rFonts w:ascii="Georgia" w:eastAsia="Calibri" w:hAnsi="Georgia" w:cs="Times New Roman"/>
                <w:color w:val="585756"/>
                <w:kern w:val="0"/>
                <w:lang w:val="fr-BE"/>
                <w14:ligatures w14:val="none"/>
              </w:rPr>
              <w:t xml:space="preserve"> </w:t>
            </w:r>
            <w:r w:rsidRPr="00BD369B">
              <w:rPr>
                <w:rFonts w:ascii="Georgia" w:eastAsia="Calibri" w:hAnsi="Georgia" w:cs="Times New Roman"/>
                <w:color w:val="585756"/>
                <w:kern w:val="0"/>
                <w:lang w:val="fr-BE"/>
                <w14:ligatures w14:val="none"/>
              </w:rPr>
              <w:t>par chaque membre du groupement.</w:t>
            </w:r>
            <w:r w:rsidRPr="00943A55">
              <w:rPr>
                <w:rFonts w:ascii="Georgia" w:eastAsia="Calibri" w:hAnsi="Georgia" w:cs="Times New Roman"/>
                <w:color w:val="585756"/>
                <w:kern w:val="0"/>
                <w:lang w:val="fr-BE"/>
                <w14:ligatures w14:val="none"/>
              </w:rPr>
              <w:t> </w:t>
            </w:r>
          </w:p>
        </w:tc>
      </w:tr>
      <w:tr w:rsidR="00F537EE" w14:paraId="1A4F430F" w14:textId="77777777" w:rsidTr="001212C9">
        <w:tc>
          <w:tcPr>
            <w:tcW w:w="804" w:type="dxa"/>
          </w:tcPr>
          <w:p w14:paraId="46893051" w14:textId="77777777" w:rsidR="00F537EE" w:rsidRPr="00943A55" w:rsidRDefault="00F537EE" w:rsidP="00943A55">
            <w:pPr>
              <w:pStyle w:val="Paragraphedeliste"/>
              <w:numPr>
                <w:ilvl w:val="0"/>
                <w:numId w:val="1"/>
              </w:numPr>
              <w:ind w:left="425"/>
              <w:rPr>
                <w:rFonts w:ascii="Georgia" w:eastAsia="Calibri" w:hAnsi="Georgia" w:cs="Times New Roman"/>
                <w:color w:val="585756"/>
                <w:kern w:val="0"/>
                <w:lang w:val="fr-BE"/>
                <w14:ligatures w14:val="none"/>
              </w:rPr>
            </w:pPr>
          </w:p>
        </w:tc>
        <w:tc>
          <w:tcPr>
            <w:tcW w:w="6115" w:type="dxa"/>
          </w:tcPr>
          <w:p w14:paraId="180F8099" w14:textId="3D0EF272" w:rsidR="00F537EE" w:rsidRPr="00BD369B" w:rsidRDefault="00F537EE" w:rsidP="00F537EE">
            <w:pPr>
              <w:shd w:val="clear" w:color="auto" w:fill="FFFFFF"/>
              <w:textAlignment w:val="baseline"/>
              <w:rPr>
                <w:rFonts w:ascii="Georgia" w:eastAsia="Calibri" w:hAnsi="Georgia" w:cs="Times New Roman"/>
                <w:color w:val="585756"/>
                <w:kern w:val="0"/>
                <w:lang w:val="fr-BE"/>
                <w14:ligatures w14:val="none"/>
              </w:rPr>
            </w:pPr>
            <w:r w:rsidRPr="00F537EE">
              <w:rPr>
                <w:rFonts w:ascii="Georgia" w:eastAsia="Calibri" w:hAnsi="Georgia" w:cs="Times New Roman"/>
                <w:color w:val="585756"/>
                <w:kern w:val="0"/>
                <w:lang w:val="fr-BE"/>
                <w14:ligatures w14:val="none"/>
              </w:rPr>
              <w:t>Est-ce possible de constituer un pool de consultants pour le cas d'une personne physique ?</w:t>
            </w:r>
          </w:p>
        </w:tc>
        <w:tc>
          <w:tcPr>
            <w:tcW w:w="7110" w:type="dxa"/>
          </w:tcPr>
          <w:p w14:paraId="25C53A03" w14:textId="44AF1F9A" w:rsidR="00F537EE" w:rsidRPr="00BD369B" w:rsidRDefault="00F537EE" w:rsidP="00040283">
            <w:pPr>
              <w:shd w:val="clear" w:color="auto" w:fill="FFFFFF"/>
              <w:textAlignment w:val="baseline"/>
              <w:rPr>
                <w:rFonts w:ascii="Georgia" w:eastAsia="Calibri" w:hAnsi="Georgia" w:cs="Times New Roman"/>
                <w:color w:val="585756"/>
                <w:kern w:val="0"/>
                <w:lang w:val="fr-BE"/>
                <w14:ligatures w14:val="none"/>
              </w:rPr>
            </w:pPr>
            <w:r w:rsidRPr="00F537EE">
              <w:rPr>
                <w:rFonts w:ascii="Georgia" w:eastAsia="Calibri" w:hAnsi="Georgia" w:cs="Times New Roman"/>
                <w:color w:val="585756"/>
                <w:kern w:val="0"/>
                <w:lang w:val="fr-BE"/>
                <w14:ligatures w14:val="none"/>
              </w:rPr>
              <w:t>La participation au marché est ouverte à tout opérateur économique (personne ou entité) qui, au vu des conditions énoncées dans le Cahier spécial des charges, se considère apte à assurer l'exécution de ce marché.  L'opérateur économique peut être une personne physique, une personne morale ou tout groupement de ces personnes, y compris les associations temporaires d’entreprises.</w:t>
            </w:r>
            <w:bookmarkStart w:id="0" w:name="_GoBack"/>
            <w:bookmarkEnd w:id="0"/>
          </w:p>
        </w:tc>
      </w:tr>
      <w:tr w:rsidR="00F537EE" w14:paraId="2A03A5BC" w14:textId="77777777" w:rsidTr="001212C9">
        <w:tc>
          <w:tcPr>
            <w:tcW w:w="804" w:type="dxa"/>
          </w:tcPr>
          <w:p w14:paraId="06832278" w14:textId="77777777" w:rsidR="00F537EE" w:rsidRPr="00943A55" w:rsidRDefault="00F537EE" w:rsidP="00943A55">
            <w:pPr>
              <w:pStyle w:val="Paragraphedeliste"/>
              <w:numPr>
                <w:ilvl w:val="0"/>
                <w:numId w:val="1"/>
              </w:numPr>
              <w:ind w:left="425"/>
              <w:rPr>
                <w:rFonts w:ascii="Georgia" w:eastAsia="Calibri" w:hAnsi="Georgia" w:cs="Times New Roman"/>
                <w:color w:val="585756"/>
                <w:kern w:val="0"/>
                <w:lang w:val="fr-BE"/>
                <w14:ligatures w14:val="none"/>
              </w:rPr>
            </w:pPr>
          </w:p>
        </w:tc>
        <w:tc>
          <w:tcPr>
            <w:tcW w:w="6115" w:type="dxa"/>
          </w:tcPr>
          <w:p w14:paraId="6FCE1B20" w14:textId="460EE437" w:rsidR="00F537EE" w:rsidRPr="00F537EE" w:rsidRDefault="00F537EE" w:rsidP="00F537EE">
            <w:pPr>
              <w:shd w:val="clear" w:color="auto" w:fill="FFFFFF"/>
              <w:textAlignment w:val="baseline"/>
              <w:rPr>
                <w:rFonts w:ascii="Georgia" w:eastAsia="Calibri" w:hAnsi="Georgia" w:cs="Times New Roman"/>
                <w:color w:val="585756"/>
                <w:kern w:val="0"/>
                <w:lang w:val="fr-BE"/>
                <w14:ligatures w14:val="none"/>
              </w:rPr>
            </w:pPr>
            <w:r w:rsidRPr="002219F4">
              <w:rPr>
                <w:rFonts w:ascii="Georgia" w:eastAsia="Calibri" w:hAnsi="Georgia" w:cs="Times New Roman"/>
                <w:color w:val="585756"/>
                <w:kern w:val="0"/>
                <w:lang w:val="fr-BE"/>
                <w14:ligatures w14:val="none"/>
              </w:rPr>
              <w:t>Est-il possible d’accorder un délai supplémentaire de 15 jours pour la date limite de dépôt des dossiers de candidature ?</w:t>
            </w:r>
          </w:p>
        </w:tc>
        <w:tc>
          <w:tcPr>
            <w:tcW w:w="7110" w:type="dxa"/>
          </w:tcPr>
          <w:p w14:paraId="50F38A0B" w14:textId="0697FC9B" w:rsidR="00F537EE" w:rsidRPr="00F537EE" w:rsidRDefault="002219F4" w:rsidP="00F537EE">
            <w:pPr>
              <w:shd w:val="clear" w:color="auto" w:fill="FFFFFF"/>
              <w:textAlignment w:val="baseline"/>
              <w:rPr>
                <w:rFonts w:ascii="Georgia" w:eastAsia="Calibri" w:hAnsi="Georgia" w:cs="Times New Roman"/>
                <w:color w:val="585756"/>
                <w:kern w:val="0"/>
                <w:lang w:val="fr-BE"/>
                <w14:ligatures w14:val="none"/>
              </w:rPr>
            </w:pPr>
            <w:r>
              <w:rPr>
                <w:rFonts w:ascii="Georgia" w:eastAsia="Calibri" w:hAnsi="Georgia" w:cs="Times New Roman"/>
                <w:color w:val="585756"/>
                <w:kern w:val="0"/>
                <w:lang w:val="fr-BE"/>
                <w14:ligatures w14:val="none"/>
              </w:rPr>
              <w:t>L</w:t>
            </w:r>
            <w:r w:rsidR="00F537EE" w:rsidRPr="002219F4">
              <w:rPr>
                <w:rFonts w:ascii="Georgia" w:eastAsia="Calibri" w:hAnsi="Georgia" w:cs="Times New Roman"/>
                <w:color w:val="585756"/>
                <w:kern w:val="0"/>
                <w:lang w:val="fr-BE"/>
                <w14:ligatures w14:val="none"/>
              </w:rPr>
              <w:t>a première parution de l'avis dans les quotidiens locaux a eu lieu le 17 avril 2024 et la date limite de dépôt initialement fixée au 7 mai 2024 a été reportée au 10 mai 2024 à 10h 00 au plus tard (voir avis rectif publié sur le site web d'</w:t>
            </w:r>
            <w:proofErr w:type="spellStart"/>
            <w:r w:rsidR="00F537EE" w:rsidRPr="002219F4">
              <w:rPr>
                <w:rFonts w:ascii="Georgia" w:eastAsia="Calibri" w:hAnsi="Georgia" w:cs="Times New Roman"/>
                <w:color w:val="585756"/>
                <w:kern w:val="0"/>
                <w:lang w:val="fr-BE"/>
                <w14:ligatures w14:val="none"/>
              </w:rPr>
              <w:t>Enabel</w:t>
            </w:r>
            <w:proofErr w:type="spellEnd"/>
            <w:r w:rsidR="00F537EE" w:rsidRPr="002219F4">
              <w:rPr>
                <w:rFonts w:ascii="Georgia" w:eastAsia="Calibri" w:hAnsi="Georgia" w:cs="Times New Roman"/>
                <w:color w:val="585756"/>
                <w:kern w:val="0"/>
                <w:lang w:val="fr-BE"/>
                <w14:ligatures w14:val="none"/>
              </w:rPr>
              <w:t>)</w:t>
            </w:r>
          </w:p>
        </w:tc>
      </w:tr>
      <w:tr w:rsidR="00040283" w14:paraId="2792EF1E" w14:textId="77777777" w:rsidTr="001212C9">
        <w:tc>
          <w:tcPr>
            <w:tcW w:w="804" w:type="dxa"/>
          </w:tcPr>
          <w:p w14:paraId="20330F30" w14:textId="77777777" w:rsidR="00040283" w:rsidRPr="00943A55" w:rsidRDefault="00040283" w:rsidP="00943A55">
            <w:pPr>
              <w:pStyle w:val="Paragraphedeliste"/>
              <w:numPr>
                <w:ilvl w:val="0"/>
                <w:numId w:val="1"/>
              </w:numPr>
              <w:ind w:left="425"/>
              <w:rPr>
                <w:rFonts w:ascii="Georgia" w:eastAsia="Calibri" w:hAnsi="Georgia" w:cs="Times New Roman"/>
                <w:color w:val="585756"/>
                <w:kern w:val="0"/>
                <w:lang w:val="fr-BE"/>
                <w14:ligatures w14:val="none"/>
              </w:rPr>
            </w:pPr>
          </w:p>
        </w:tc>
        <w:tc>
          <w:tcPr>
            <w:tcW w:w="6115" w:type="dxa"/>
          </w:tcPr>
          <w:p w14:paraId="6EC7E122" w14:textId="77777777" w:rsidR="00040283" w:rsidRPr="00040283" w:rsidRDefault="00040283" w:rsidP="00040283">
            <w:pPr>
              <w:shd w:val="clear" w:color="auto" w:fill="FFFFFF"/>
              <w:textAlignment w:val="baseline"/>
              <w:rPr>
                <w:rFonts w:ascii="Georgia" w:eastAsia="Calibri" w:hAnsi="Georgia" w:cs="Times New Roman"/>
                <w:color w:val="585756"/>
                <w:kern w:val="0"/>
                <w:lang w:val="fr-BE"/>
                <w14:ligatures w14:val="none"/>
              </w:rPr>
            </w:pPr>
            <w:r w:rsidRPr="00040283">
              <w:rPr>
                <w:rFonts w:ascii="Georgia" w:eastAsia="Calibri" w:hAnsi="Georgia" w:cs="Times New Roman"/>
                <w:color w:val="585756"/>
                <w:kern w:val="0"/>
                <w:lang w:val="fr-BE"/>
                <w14:ligatures w14:val="none"/>
              </w:rPr>
              <w:t xml:space="preserve">Dans les TDR, il est prévu que la date limite du dépôt des offres est fixée au mardi 07 mai à 10h, heure de Cotonou. Au cas où, on remet l'offre à la poste le mardi 07 ou même le lundi 06 mai, comment peut-on s'assurer que l'offre vous est parvenue le 07 mai à 10h au plus tard </w:t>
            </w:r>
            <w:proofErr w:type="gramStart"/>
            <w:r w:rsidRPr="00040283">
              <w:rPr>
                <w:rFonts w:ascii="Georgia" w:eastAsia="Calibri" w:hAnsi="Georgia" w:cs="Times New Roman"/>
                <w:color w:val="585756"/>
                <w:kern w:val="0"/>
                <w:lang w:val="fr-BE"/>
                <w14:ligatures w14:val="none"/>
              </w:rPr>
              <w:t>? .</w:t>
            </w:r>
            <w:proofErr w:type="gramEnd"/>
            <w:r w:rsidRPr="00040283">
              <w:rPr>
                <w:rFonts w:ascii="Georgia" w:eastAsia="Calibri" w:hAnsi="Georgia" w:cs="Times New Roman"/>
                <w:color w:val="585756"/>
                <w:kern w:val="0"/>
                <w:lang w:val="fr-BE"/>
                <w14:ligatures w14:val="none"/>
              </w:rPr>
              <w:t xml:space="preserve"> Ou bien, c'est le cachet de la poste qui fait foi que l'offre est déposée le mardi 07 avant 10h.</w:t>
            </w:r>
          </w:p>
          <w:p w14:paraId="61DA7249" w14:textId="77777777" w:rsidR="00040283" w:rsidRPr="002219F4" w:rsidRDefault="00040283" w:rsidP="00040283">
            <w:pPr>
              <w:shd w:val="clear" w:color="auto" w:fill="FFFFFF"/>
              <w:textAlignment w:val="baseline"/>
              <w:rPr>
                <w:rFonts w:ascii="Georgia" w:eastAsia="Calibri" w:hAnsi="Georgia" w:cs="Times New Roman"/>
                <w:color w:val="585756"/>
                <w:kern w:val="0"/>
                <w:lang w:val="fr-BE"/>
                <w14:ligatures w14:val="none"/>
              </w:rPr>
            </w:pPr>
          </w:p>
        </w:tc>
        <w:tc>
          <w:tcPr>
            <w:tcW w:w="7110" w:type="dxa"/>
          </w:tcPr>
          <w:p w14:paraId="20C33624" w14:textId="77777777" w:rsidR="00040283" w:rsidRPr="00040283" w:rsidRDefault="00040283" w:rsidP="00040283">
            <w:pPr>
              <w:shd w:val="clear" w:color="auto" w:fill="FFFFFF"/>
              <w:textAlignment w:val="baseline"/>
              <w:rPr>
                <w:rFonts w:ascii="Georgia" w:eastAsia="Calibri" w:hAnsi="Georgia" w:cs="Times New Roman"/>
                <w:color w:val="585756"/>
                <w:kern w:val="0"/>
                <w:lang w:val="fr-BE"/>
                <w14:ligatures w14:val="none"/>
              </w:rPr>
            </w:pPr>
            <w:r w:rsidRPr="00040283">
              <w:rPr>
                <w:rFonts w:ascii="Georgia" w:eastAsia="Calibri" w:hAnsi="Georgia" w:cs="Times New Roman"/>
                <w:color w:val="585756"/>
                <w:kern w:val="0"/>
                <w:lang w:val="fr-BE"/>
                <w14:ligatures w14:val="none"/>
              </w:rPr>
              <w:t>Il convient de rappeler que le CSC a prévu deux moyens de dépôt de l'offre : a - l'envoi par la poste ; b -la remise au secrétariat du bureau d'</w:t>
            </w:r>
            <w:proofErr w:type="spellStart"/>
            <w:r w:rsidRPr="00040283">
              <w:rPr>
                <w:rFonts w:ascii="Georgia" w:eastAsia="Calibri" w:hAnsi="Georgia" w:cs="Times New Roman"/>
                <w:color w:val="585756"/>
                <w:kern w:val="0"/>
                <w:lang w:val="fr-BE"/>
                <w14:ligatures w14:val="none"/>
              </w:rPr>
              <w:t>Enabel</w:t>
            </w:r>
            <w:proofErr w:type="spellEnd"/>
            <w:r w:rsidRPr="00040283">
              <w:rPr>
                <w:rFonts w:ascii="Georgia" w:eastAsia="Calibri" w:hAnsi="Georgia" w:cs="Times New Roman"/>
                <w:color w:val="585756"/>
                <w:kern w:val="0"/>
                <w:lang w:val="fr-BE"/>
                <w14:ligatures w14:val="none"/>
              </w:rPr>
              <w:t xml:space="preserve"> à Parakou (Voir adresse indiquée dans le CSC). </w:t>
            </w:r>
          </w:p>
          <w:p w14:paraId="7C00D4F9" w14:textId="77777777" w:rsidR="00040283" w:rsidRPr="00040283" w:rsidRDefault="00040283" w:rsidP="00040283">
            <w:pPr>
              <w:shd w:val="clear" w:color="auto" w:fill="FFFFFF"/>
              <w:textAlignment w:val="baseline"/>
              <w:rPr>
                <w:rFonts w:ascii="Georgia" w:eastAsia="Calibri" w:hAnsi="Georgia" w:cs="Times New Roman"/>
                <w:color w:val="585756"/>
                <w:kern w:val="0"/>
                <w:lang w:val="fr-BE"/>
                <w14:ligatures w14:val="none"/>
              </w:rPr>
            </w:pPr>
            <w:r w:rsidRPr="00040283">
              <w:rPr>
                <w:rFonts w:ascii="Georgia" w:eastAsia="Calibri" w:hAnsi="Georgia" w:cs="Times New Roman"/>
                <w:color w:val="585756"/>
                <w:kern w:val="0"/>
                <w:lang w:val="fr-BE"/>
                <w14:ligatures w14:val="none"/>
              </w:rPr>
              <w:t>Conformément à la législation applicable, l'offre parvenue tardivement est acceptée pour autant que le pouvoir adjudicateur n’ait pas encore conclu le marché et que l’offre ait été envoyée sous pli recommandé, au plus tard le quatrième jour de calendrier précédant la date de l’ouverture des offres.</w:t>
            </w:r>
          </w:p>
          <w:p w14:paraId="145F5029" w14:textId="2C4E811A" w:rsidR="00040283" w:rsidRDefault="00040283" w:rsidP="00F537EE">
            <w:pPr>
              <w:shd w:val="clear" w:color="auto" w:fill="FFFFFF"/>
              <w:textAlignment w:val="baseline"/>
              <w:rPr>
                <w:rFonts w:ascii="Georgia" w:eastAsia="Calibri" w:hAnsi="Georgia" w:cs="Times New Roman"/>
                <w:color w:val="585756"/>
                <w:kern w:val="0"/>
                <w:lang w:val="fr-BE"/>
                <w14:ligatures w14:val="none"/>
              </w:rPr>
            </w:pPr>
            <w:r w:rsidRPr="00040283">
              <w:rPr>
                <w:rFonts w:ascii="Georgia" w:eastAsia="Calibri" w:hAnsi="Georgia" w:cs="Times New Roman"/>
                <w:color w:val="585756"/>
                <w:kern w:val="0"/>
                <w:lang w:val="fr-BE"/>
                <w14:ligatures w14:val="none"/>
              </w:rPr>
              <w:t>Par ailleurs, je voudrais vous informer qu'il a été publié un avis rectificatif fixant entre autres, la nouvelle date de dépôt des offres au 10 mai 2024 à 10 h 00 au plus tard (heure de Cotonou). </w:t>
            </w:r>
          </w:p>
        </w:tc>
      </w:tr>
    </w:tbl>
    <w:p w14:paraId="0F8AF472" w14:textId="77777777" w:rsidR="00943A55" w:rsidRPr="00943A55" w:rsidRDefault="00943A55">
      <w:pPr>
        <w:rPr>
          <w:rFonts w:ascii="Georgia" w:eastAsia="Calibri" w:hAnsi="Georgia" w:cs="Times New Roman"/>
          <w:b/>
          <w:bCs/>
          <w:color w:val="585756"/>
          <w:kern w:val="0"/>
          <w:sz w:val="28"/>
          <w:szCs w:val="28"/>
          <w:lang w:val="fr-BE"/>
          <w14:ligatures w14:val="none"/>
        </w:rPr>
      </w:pPr>
    </w:p>
    <w:sectPr w:rsidR="00943A55" w:rsidRPr="00943A55" w:rsidSect="00040283">
      <w:pgSz w:w="16838" w:h="11906" w:orient="landscape"/>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05F63" w14:textId="77777777" w:rsidR="00BD369B" w:rsidRDefault="00BD369B" w:rsidP="00BD369B">
      <w:pPr>
        <w:spacing w:after="0" w:line="240" w:lineRule="auto"/>
      </w:pPr>
      <w:r>
        <w:separator/>
      </w:r>
    </w:p>
  </w:endnote>
  <w:endnote w:type="continuationSeparator" w:id="0">
    <w:p w14:paraId="1F719971" w14:textId="77777777" w:rsidR="00BD369B" w:rsidRDefault="00BD369B" w:rsidP="00BD3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3BD66" w14:textId="77777777" w:rsidR="00BD369B" w:rsidRDefault="00BD369B" w:rsidP="00BD369B">
      <w:pPr>
        <w:spacing w:after="0" w:line="240" w:lineRule="auto"/>
      </w:pPr>
      <w:r>
        <w:separator/>
      </w:r>
    </w:p>
  </w:footnote>
  <w:footnote w:type="continuationSeparator" w:id="0">
    <w:p w14:paraId="431C15E4" w14:textId="77777777" w:rsidR="00BD369B" w:rsidRDefault="00BD369B" w:rsidP="00BD36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C06ACD"/>
    <w:multiLevelType w:val="hybridMultilevel"/>
    <w:tmpl w:val="5854238C"/>
    <w:lvl w:ilvl="0" w:tplc="378A190C">
      <w:start w:val="1"/>
      <w:numFmt w:val="decimal"/>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88"/>
    <w:rsid w:val="00040283"/>
    <w:rsid w:val="00076A1F"/>
    <w:rsid w:val="000E50B7"/>
    <w:rsid w:val="001212C9"/>
    <w:rsid w:val="001A4E3C"/>
    <w:rsid w:val="002219F4"/>
    <w:rsid w:val="00357388"/>
    <w:rsid w:val="003C18B5"/>
    <w:rsid w:val="00525666"/>
    <w:rsid w:val="005520A4"/>
    <w:rsid w:val="0062206F"/>
    <w:rsid w:val="00943A55"/>
    <w:rsid w:val="00961955"/>
    <w:rsid w:val="00AD17BE"/>
    <w:rsid w:val="00BD369B"/>
    <w:rsid w:val="00F537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59EC0"/>
  <w15:chartTrackingRefBased/>
  <w15:docId w15:val="{B9B76049-5793-4130-ACB0-E6838504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943A55"/>
    <w:pPr>
      <w:spacing w:line="276" w:lineRule="auto"/>
    </w:pPr>
    <w:rPr>
      <w:rFonts w:ascii="Calibri" w:eastAsia="Calibri" w:hAnsi="Calibri" w:cs="Times New Roman"/>
      <w:color w:val="585756"/>
      <w:kern w:val="0"/>
      <w:sz w:val="32"/>
      <w:lang w:val="fr-BE"/>
    </w:rPr>
  </w:style>
  <w:style w:type="character" w:customStyle="1" w:styleId="TitrecouvertureCar">
    <w:name w:val="Titre couverture Car"/>
    <w:link w:val="Titrecouverture"/>
    <w:rsid w:val="00943A55"/>
    <w:rPr>
      <w:rFonts w:ascii="Calibri" w:eastAsia="Calibri" w:hAnsi="Calibri" w:cs="Times New Roman"/>
      <w:color w:val="585756"/>
      <w:kern w:val="0"/>
      <w:sz w:val="32"/>
      <w:lang w:val="fr-BE"/>
    </w:rPr>
  </w:style>
  <w:style w:type="table" w:styleId="Grilledutableau">
    <w:name w:val="Table Grid"/>
    <w:basedOn w:val="TableauNormal"/>
    <w:uiPriority w:val="39"/>
    <w:rsid w:val="00943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43A55"/>
    <w:pPr>
      <w:ind w:left="720"/>
      <w:contextualSpacing/>
    </w:pPr>
  </w:style>
  <w:style w:type="paragraph" w:styleId="En-tte">
    <w:name w:val="header"/>
    <w:basedOn w:val="Normal"/>
    <w:link w:val="En-tteCar"/>
    <w:uiPriority w:val="99"/>
    <w:unhideWhenUsed/>
    <w:rsid w:val="00BD369B"/>
    <w:pPr>
      <w:tabs>
        <w:tab w:val="center" w:pos="4536"/>
        <w:tab w:val="right" w:pos="9072"/>
      </w:tabs>
      <w:spacing w:after="0" w:line="240" w:lineRule="auto"/>
    </w:pPr>
  </w:style>
  <w:style w:type="character" w:customStyle="1" w:styleId="En-tteCar">
    <w:name w:val="En-tête Car"/>
    <w:basedOn w:val="Policepardfaut"/>
    <w:link w:val="En-tte"/>
    <w:uiPriority w:val="99"/>
    <w:rsid w:val="00BD369B"/>
  </w:style>
  <w:style w:type="paragraph" w:styleId="Pieddepage">
    <w:name w:val="footer"/>
    <w:basedOn w:val="Normal"/>
    <w:link w:val="PieddepageCar"/>
    <w:uiPriority w:val="99"/>
    <w:unhideWhenUsed/>
    <w:rsid w:val="00BD36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369B"/>
  </w:style>
  <w:style w:type="paragraph" w:styleId="Textedebulles">
    <w:name w:val="Balloon Text"/>
    <w:basedOn w:val="Normal"/>
    <w:link w:val="TextedebullesCar"/>
    <w:uiPriority w:val="99"/>
    <w:semiHidden/>
    <w:unhideWhenUsed/>
    <w:rsid w:val="00F537E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37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924630">
      <w:bodyDiv w:val="1"/>
      <w:marLeft w:val="0"/>
      <w:marRight w:val="0"/>
      <w:marTop w:val="0"/>
      <w:marBottom w:val="0"/>
      <w:divBdr>
        <w:top w:val="none" w:sz="0" w:space="0" w:color="auto"/>
        <w:left w:val="none" w:sz="0" w:space="0" w:color="auto"/>
        <w:bottom w:val="none" w:sz="0" w:space="0" w:color="auto"/>
        <w:right w:val="none" w:sz="0" w:space="0" w:color="auto"/>
      </w:divBdr>
      <w:divsChild>
        <w:div w:id="1826628216">
          <w:marLeft w:val="0"/>
          <w:marRight w:val="0"/>
          <w:marTop w:val="0"/>
          <w:marBottom w:val="0"/>
          <w:divBdr>
            <w:top w:val="none" w:sz="0" w:space="0" w:color="auto"/>
            <w:left w:val="none" w:sz="0" w:space="0" w:color="auto"/>
            <w:bottom w:val="none" w:sz="0" w:space="0" w:color="auto"/>
            <w:right w:val="none" w:sz="0" w:space="0" w:color="auto"/>
          </w:divBdr>
        </w:div>
        <w:div w:id="1539589924">
          <w:marLeft w:val="0"/>
          <w:marRight w:val="0"/>
          <w:marTop w:val="0"/>
          <w:marBottom w:val="0"/>
          <w:divBdr>
            <w:top w:val="none" w:sz="0" w:space="0" w:color="auto"/>
            <w:left w:val="none" w:sz="0" w:space="0" w:color="auto"/>
            <w:bottom w:val="none" w:sz="0" w:space="0" w:color="auto"/>
            <w:right w:val="none" w:sz="0" w:space="0" w:color="auto"/>
          </w:divBdr>
        </w:div>
        <w:div w:id="1114639155">
          <w:marLeft w:val="0"/>
          <w:marRight w:val="0"/>
          <w:marTop w:val="0"/>
          <w:marBottom w:val="0"/>
          <w:divBdr>
            <w:top w:val="none" w:sz="0" w:space="0" w:color="auto"/>
            <w:left w:val="none" w:sz="0" w:space="0" w:color="auto"/>
            <w:bottom w:val="none" w:sz="0" w:space="0" w:color="auto"/>
            <w:right w:val="none" w:sz="0" w:space="0" w:color="auto"/>
          </w:divBdr>
        </w:div>
        <w:div w:id="507449593">
          <w:marLeft w:val="0"/>
          <w:marRight w:val="0"/>
          <w:marTop w:val="0"/>
          <w:marBottom w:val="0"/>
          <w:divBdr>
            <w:top w:val="none" w:sz="0" w:space="0" w:color="auto"/>
            <w:left w:val="none" w:sz="0" w:space="0" w:color="auto"/>
            <w:bottom w:val="none" w:sz="0" w:space="0" w:color="auto"/>
            <w:right w:val="none" w:sz="0" w:space="0" w:color="auto"/>
          </w:divBdr>
        </w:div>
      </w:divsChild>
    </w:div>
    <w:div w:id="597786334">
      <w:bodyDiv w:val="1"/>
      <w:marLeft w:val="0"/>
      <w:marRight w:val="0"/>
      <w:marTop w:val="0"/>
      <w:marBottom w:val="0"/>
      <w:divBdr>
        <w:top w:val="none" w:sz="0" w:space="0" w:color="auto"/>
        <w:left w:val="none" w:sz="0" w:space="0" w:color="auto"/>
        <w:bottom w:val="none" w:sz="0" w:space="0" w:color="auto"/>
        <w:right w:val="none" w:sz="0" w:space="0" w:color="auto"/>
      </w:divBdr>
      <w:divsChild>
        <w:div w:id="44918408">
          <w:marLeft w:val="0"/>
          <w:marRight w:val="0"/>
          <w:marTop w:val="0"/>
          <w:marBottom w:val="0"/>
          <w:divBdr>
            <w:top w:val="none" w:sz="0" w:space="0" w:color="auto"/>
            <w:left w:val="none" w:sz="0" w:space="0" w:color="auto"/>
            <w:bottom w:val="none" w:sz="0" w:space="0" w:color="auto"/>
            <w:right w:val="none" w:sz="0" w:space="0" w:color="auto"/>
          </w:divBdr>
        </w:div>
        <w:div w:id="413087925">
          <w:marLeft w:val="0"/>
          <w:marRight w:val="0"/>
          <w:marTop w:val="0"/>
          <w:marBottom w:val="0"/>
          <w:divBdr>
            <w:top w:val="none" w:sz="0" w:space="0" w:color="auto"/>
            <w:left w:val="none" w:sz="0" w:space="0" w:color="auto"/>
            <w:bottom w:val="none" w:sz="0" w:space="0" w:color="auto"/>
            <w:right w:val="none" w:sz="0" w:space="0" w:color="auto"/>
          </w:divBdr>
        </w:div>
      </w:divsChild>
    </w:div>
    <w:div w:id="1653288498">
      <w:bodyDiv w:val="1"/>
      <w:marLeft w:val="0"/>
      <w:marRight w:val="0"/>
      <w:marTop w:val="0"/>
      <w:marBottom w:val="0"/>
      <w:divBdr>
        <w:top w:val="none" w:sz="0" w:space="0" w:color="auto"/>
        <w:left w:val="none" w:sz="0" w:space="0" w:color="auto"/>
        <w:bottom w:val="none" w:sz="0" w:space="0" w:color="auto"/>
        <w:right w:val="none" w:sz="0" w:space="0" w:color="auto"/>
      </w:divBdr>
      <w:divsChild>
        <w:div w:id="1269191183">
          <w:marLeft w:val="0"/>
          <w:marRight w:val="0"/>
          <w:marTop w:val="0"/>
          <w:marBottom w:val="0"/>
          <w:divBdr>
            <w:top w:val="none" w:sz="0" w:space="0" w:color="auto"/>
            <w:left w:val="none" w:sz="0" w:space="0" w:color="auto"/>
            <w:bottom w:val="none" w:sz="0" w:space="0" w:color="auto"/>
            <w:right w:val="none" w:sz="0" w:space="0" w:color="auto"/>
          </w:divBdr>
        </w:div>
        <w:div w:id="921796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621B2A2CFB1C409B337F6A080D4471" ma:contentTypeVersion="13" ma:contentTypeDescription="Create a new document." ma:contentTypeScope="" ma:versionID="4c29bdcf136c3474dc73b905d035dd21">
  <xsd:schema xmlns:xsd="http://www.w3.org/2001/XMLSchema" xmlns:xs="http://www.w3.org/2001/XMLSchema" xmlns:p="http://schemas.microsoft.com/office/2006/metadata/properties" xmlns:ns3="ccd9c922-e6b1-46de-b083-45d5520276a7" xmlns:ns4="affeaf0f-c5ae-42c1-a0e9-e43e1cb574c5" targetNamespace="http://schemas.microsoft.com/office/2006/metadata/properties" ma:root="true" ma:fieldsID="931c27345e202d431cf0044a765ad7af" ns3:_="" ns4:_="">
    <xsd:import namespace="ccd9c922-e6b1-46de-b083-45d5520276a7"/>
    <xsd:import namespace="affeaf0f-c5ae-42c1-a0e9-e43e1cb574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9c922-e6b1-46de-b083-45d552027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eaf0f-c5ae-42c1-a0e9-e43e1cb574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cd9c922-e6b1-46de-b083-45d5520276a7" xsi:nil="true"/>
  </documentManagement>
</p:properties>
</file>

<file path=customXml/itemProps1.xml><?xml version="1.0" encoding="utf-8"?>
<ds:datastoreItem xmlns:ds="http://schemas.openxmlformats.org/officeDocument/2006/customXml" ds:itemID="{B4AE5967-C566-4B2D-A8C6-8B977A6E8540}">
  <ds:schemaRefs>
    <ds:schemaRef ds:uri="http://schemas.microsoft.com/sharepoint/v3/contenttype/forms"/>
  </ds:schemaRefs>
</ds:datastoreItem>
</file>

<file path=customXml/itemProps2.xml><?xml version="1.0" encoding="utf-8"?>
<ds:datastoreItem xmlns:ds="http://schemas.openxmlformats.org/officeDocument/2006/customXml" ds:itemID="{5CF7F113-EDF8-40AA-9A54-89FE9A8B5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9c922-e6b1-46de-b083-45d5520276a7"/>
    <ds:schemaRef ds:uri="affeaf0f-c5ae-42c1-a0e9-e43e1cb57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34DB29-AE9F-497A-8179-B9801CCECE29}">
  <ds:schemaRefs>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affeaf0f-c5ae-42c1-a0e9-e43e1cb574c5"/>
    <ds:schemaRef ds:uri="ccd9c922-e6b1-46de-b083-45d5520276a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WARGUI, Bayarou Klaus</dc:creator>
  <cp:keywords/>
  <dc:description/>
  <cp:lastModifiedBy>Bayarou Klaus WARGUI</cp:lastModifiedBy>
  <cp:revision>2</cp:revision>
  <dcterms:created xsi:type="dcterms:W3CDTF">2024-05-07T22:33:00Z</dcterms:created>
  <dcterms:modified xsi:type="dcterms:W3CDTF">2024-05-07T22:33:00Z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0x010100E7621B2A2CFB1C409B337F6A080D4471</vt:lpwstr>
  </property>
</Properties>
</file>