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B150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9921EA9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bookmarkStart w:id="0" w:name="Insert_img_Signet"/>
      <w:bookmarkEnd w:id="0"/>
    </w:p>
    <w:p w14:paraId="45AEEFA5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32C53E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69B78EB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57AAB7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noProof/>
          <w:kern w:val="0"/>
          <w:sz w:val="21"/>
          <w:szCs w:val="21"/>
          <w:lang w:val="fr-B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A466EE" wp14:editId="230D8C15">
                <wp:simplePos x="0" y="0"/>
                <wp:positionH relativeFrom="column">
                  <wp:posOffset>-395605</wp:posOffset>
                </wp:positionH>
                <wp:positionV relativeFrom="page">
                  <wp:posOffset>3155315</wp:posOffset>
                </wp:positionV>
                <wp:extent cx="4122420" cy="24307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2420" cy="2430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9E9F75" w14:textId="77777777" w:rsidR="00CF0CA1" w:rsidRPr="00D535E4" w:rsidRDefault="00CF0CA1" w:rsidP="00CF0CA1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93D32">
                              <w:rPr>
                                <w:sz w:val="28"/>
                                <w:szCs w:val="28"/>
                              </w:rPr>
                              <w:t>ADDENDUM N° 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AU </w:t>
                            </w:r>
                            <w:r w:rsidRPr="00CF0CA1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BDI22002-10030 : MARCHE DE FOURNITURE RELATIF A « FOURNITURE DES SEMENCES DE MAÏS, HARICOT BIOFORTIFIES, SOJA, REJETS DE BANANIERS, CORDES DE PATATES DOUCES A CHAIRS ORANGES EN APPUI A LA MISE EN PLACE DES CHAMPS ECOLES PAYSANS INTEGRES (CEPI) POUR LE PACECOR »</w:t>
                            </w:r>
                          </w:p>
                          <w:p w14:paraId="0D580BCC" w14:textId="77777777" w:rsidR="00CF0CA1" w:rsidRPr="00D535E4" w:rsidRDefault="00CF0CA1" w:rsidP="00CF0C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5C93EBF" w14:textId="77777777" w:rsidR="00CF0CA1" w:rsidRPr="00D535E4" w:rsidRDefault="00CF0CA1" w:rsidP="00CF0CA1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535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Code Navision : </w:t>
                            </w:r>
                            <w:r w:rsidRPr="00CF0C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BDI22002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14:paraId="1478CA41" w14:textId="77777777" w:rsidR="00CF0CA1" w:rsidRPr="00D535E4" w:rsidRDefault="00CF0CA1" w:rsidP="00CF0CA1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8F3E12C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3F1252B7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3CFC0887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2BDFF8EA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4A5CE2A1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686F081D" w14:textId="77777777" w:rsidR="00CF0CA1" w:rsidRPr="004145B4" w:rsidRDefault="00CF0CA1" w:rsidP="00CF0CA1">
                            <w:pPr>
                              <w:pStyle w:val="Titrecouverture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²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731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15pt;margin-top:248.45pt;width:324.6pt;height:1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" fillcolor="window" stroked="f" strokeweight=".5pt">
                <v:textbox>
                  <w:txbxContent>
                    <w:p w:rsidR="00CF0CA1" w:rsidRPr="00D535E4" w:rsidRDefault="00CF0CA1" w:rsidP="00CF0CA1">
                      <w:pPr>
                        <w:pStyle w:val="Titrecouvertur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93D32">
                        <w:rPr>
                          <w:sz w:val="28"/>
                          <w:szCs w:val="28"/>
                        </w:rPr>
                        <w:t>ADDENDUM N° 1</w:t>
                      </w:r>
                      <w:r>
                        <w:rPr>
                          <w:sz w:val="28"/>
                          <w:szCs w:val="28"/>
                        </w:rPr>
                        <w:t xml:space="preserve"> AU </w:t>
                      </w:r>
                      <w:r w:rsidRPr="00CF0CA1">
                        <w:rPr>
                          <w:rFonts w:cstheme="minorHAnsi"/>
                          <w:sz w:val="28"/>
                          <w:szCs w:val="28"/>
                        </w:rPr>
                        <w:t>BDI22002-10030 : MARCHE DE FOURNITURE RELATIF A « FOURNITURE DES SEMENCES DE MAÏS, HARICOT BIOFORTIFIES, SOJA, REJETS DE BANANIERS, CORDES DE PATATES DOUCES A CHAIRS ORANGES EN APPUI A LA MISE EN PLACE DES CHAMPS ECOLES PAYSANS INTEGRES (CEPI) POUR LE PACECOR »</w:t>
                      </w:r>
                    </w:p>
                    <w:p w:rsidR="00CF0CA1" w:rsidRPr="00D535E4" w:rsidRDefault="00CF0CA1" w:rsidP="00CF0C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CF0CA1" w:rsidRPr="00D535E4" w:rsidRDefault="00CF0CA1" w:rsidP="00CF0CA1">
                      <w:pPr>
                        <w:pStyle w:val="Titrecouverture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D535E4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Code Navision : </w:t>
                      </w:r>
                      <w:r w:rsidRPr="00CF0CA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BDI22002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11</w:t>
                      </w:r>
                    </w:p>
                    <w:p w:rsidR="00CF0CA1" w:rsidRPr="00D535E4" w:rsidRDefault="00CF0CA1" w:rsidP="00CF0CA1">
                      <w:pPr>
                        <w:pStyle w:val="Titrecouvertur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CF0CA1" w:rsidRPr="004145B4" w:rsidRDefault="00CF0CA1" w:rsidP="00CF0CA1">
                      <w:pPr>
                        <w:pStyle w:val="Titrecouverture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²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E108A69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B9AAEFD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8381FBD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C266B02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8E3DAE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1852C6F0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AA69CE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4DF5C0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7DB801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ACEE27B" w14:textId="77777777" w:rsidR="00CF0CA1" w:rsidRPr="00CF0CA1" w:rsidRDefault="00CF0CA1" w:rsidP="00CF0CA1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DD34B85" w14:textId="77777777" w:rsidR="00CF0CA1" w:rsidRPr="00CF0CA1" w:rsidRDefault="00CF0CA1" w:rsidP="00CF0CA1">
      <w:pPr>
        <w:spacing w:after="200" w:line="276" w:lineRule="auto"/>
        <w:jc w:val="center"/>
        <w:rPr>
          <w:rFonts w:ascii="Arial Black" w:hAnsi="Arial Black" w:cs="Arial Black"/>
          <w:b/>
          <w:bCs/>
          <w:i/>
          <w:iCs/>
          <w:kern w:val="0"/>
          <w:sz w:val="21"/>
          <w:szCs w:val="21"/>
          <w:lang w:val="fr-BE"/>
          <w14:ligatures w14:val="none"/>
        </w:rPr>
      </w:pPr>
    </w:p>
    <w:p w14:paraId="0E05080F" w14:textId="77777777" w:rsidR="00CF0CA1" w:rsidRPr="00CF0CA1" w:rsidRDefault="00CF0CA1" w:rsidP="00CF0CA1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7212D9A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834A9F8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  <w:sectPr w:rsidR="00CF0CA1" w:rsidRPr="00CF0CA1" w:rsidSect="00CF0CA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531" w:bottom="1418" w:left="1871" w:header="709" w:footer="709" w:gutter="0"/>
          <w:pgNumType w:start="1"/>
          <w:cols w:space="708"/>
          <w:titlePg/>
          <w:docGrid w:linePitch="360"/>
        </w:sectPr>
      </w:pPr>
    </w:p>
    <w:p w14:paraId="776961E3" w14:textId="77777777" w:rsidR="00CF0CA1" w:rsidRPr="00CF0CA1" w:rsidRDefault="00CF0CA1" w:rsidP="00CF0CA1">
      <w:pPr>
        <w:shd w:val="clear" w:color="auto" w:fill="FFFFFF" w:themeFill="background1"/>
        <w:spacing w:after="0" w:line="276" w:lineRule="auto"/>
        <w:jc w:val="both"/>
        <w:rPr>
          <w:rFonts w:ascii="Georgia" w:hAnsi="Georgia"/>
          <w:bCs/>
          <w:spacing w:val="-3"/>
          <w:kern w:val="0"/>
          <w:sz w:val="21"/>
          <w:szCs w:val="21"/>
          <w:u w:val="single"/>
          <w:lang w:val="fr-BE"/>
          <w14:ligatures w14:val="none"/>
        </w:rPr>
      </w:pPr>
      <w:bookmarkStart w:id="1" w:name="Index_Signet"/>
      <w:bookmarkEnd w:id="1"/>
    </w:p>
    <w:p w14:paraId="20DD36A8" w14:textId="77777777" w:rsidR="00CF0CA1" w:rsidRPr="00CF0CA1" w:rsidRDefault="00CF0CA1" w:rsidP="00CF0CA1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bCs/>
          <w:kern w:val="0"/>
          <w:sz w:val="21"/>
          <w:szCs w:val="21"/>
          <w14:ligatures w14:val="none"/>
        </w:rPr>
        <w:t xml:space="preserve">Le présent addendum concerne les points </w:t>
      </w: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3.4.5</w:t>
      </w:r>
      <w:r w:rsidRPr="00CF0CA1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,</w:t>
      </w: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3.4.</w:t>
      </w:r>
      <w:r w:rsidR="000328BA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6, 4.13.3 et 6.7</w:t>
      </w:r>
      <w:r w:rsidRPr="00CF0CA1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</w:t>
      </w:r>
    </w:p>
    <w:p w14:paraId="618681CD" w14:textId="77777777" w:rsidR="00CF0CA1" w:rsidRPr="00CF0CA1" w:rsidRDefault="00CF0CA1" w:rsidP="00CF0CA1">
      <w:pPr>
        <w:pStyle w:val="Paragraphedeliste"/>
        <w:numPr>
          <w:ilvl w:val="2"/>
          <w:numId w:val="2"/>
        </w:num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Introduction des offres</w:t>
      </w:r>
    </w:p>
    <w:p w14:paraId="002E8D36" w14:textId="77777777" w:rsidR="00CF0CA1" w:rsidRPr="000328BA" w:rsidRDefault="00CF0CA1" w:rsidP="00CF0CA1">
      <w:pPr>
        <w:spacing w:after="200" w:line="276" w:lineRule="auto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Nouvelle date limite de dépôts des offres : </w:t>
      </w:r>
      <w:r w:rsidRPr="000328BA">
        <w:rPr>
          <w:rFonts w:ascii="Georgia" w:hAnsi="Georgia"/>
          <w:bCs/>
          <w:kern w:val="0"/>
          <w:sz w:val="21"/>
          <w:szCs w:val="21"/>
          <w:highlight w:val="green"/>
          <w:lang w:val="fr-BE"/>
          <w14:ligatures w14:val="none"/>
        </w:rPr>
        <w:t>22/07/2024 à 10h heure de Bujumbura (GMT+2).</w:t>
      </w:r>
    </w:p>
    <w:p w14:paraId="14EC0E23" w14:textId="77777777" w:rsidR="00CF0CA1" w:rsidRPr="00CF0CA1" w:rsidRDefault="00CF0CA1" w:rsidP="00CF0CA1">
      <w:pPr>
        <w:pStyle w:val="Paragraphedeliste"/>
        <w:numPr>
          <w:ilvl w:val="2"/>
          <w:numId w:val="2"/>
        </w:num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Ouverture des offres</w:t>
      </w:r>
    </w:p>
    <w:p w14:paraId="3EE70D10" w14:textId="77777777" w:rsidR="00CF0CA1" w:rsidRPr="000328BA" w:rsidRDefault="00CF0CA1" w:rsidP="00CF0CA1">
      <w:pPr>
        <w:spacing w:after="200" w:line="276" w:lineRule="auto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Les offres doivent être en possession du pouvoir adjudicateur avant le </w:t>
      </w:r>
      <w:r w:rsidRPr="000328BA">
        <w:rPr>
          <w:rFonts w:ascii="Georgia" w:hAnsi="Georgia"/>
          <w:bCs/>
          <w:kern w:val="0"/>
          <w:sz w:val="21"/>
          <w:szCs w:val="21"/>
          <w:highlight w:val="green"/>
          <w:lang w:val="fr-BE"/>
          <w14:ligatures w14:val="none"/>
        </w:rPr>
        <w:t>22/07/2024 à 10 heures 00 mn, heure de Bujumbura (GMT+2)</w:t>
      </w: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. L’ouverture des offres se fera à huis clos.</w:t>
      </w:r>
    </w:p>
    <w:p w14:paraId="40ECF76F" w14:textId="77777777" w:rsidR="00CF0CA1" w:rsidRDefault="00CF0CA1" w:rsidP="00CF0CA1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4.13.</w:t>
      </w:r>
      <w:r w:rsidR="000328BA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3 Délai de garantie</w:t>
      </w:r>
    </w:p>
    <w:p w14:paraId="7516DE9C" w14:textId="52F4808F" w:rsidR="00DC5A13" w:rsidRPr="000328BA" w:rsidRDefault="000328BA" w:rsidP="00DC5A13">
      <w:pPr>
        <w:spacing w:after="200" w:line="276" w:lineRule="auto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Non applicable. Toutefois, l’adjudicataire s’engage à remplacer les semences de mauvaises qualités</w:t>
      </w:r>
      <w:r w:rsidR="00DC5A13" w:rsidRPr="00DC5A13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 </w:t>
      </w:r>
      <w:r w:rsidR="00DC5A13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constatées soit à la réception ou lors du développement végétatif dans les champ</w:t>
      </w:r>
      <w:r w:rsidR="00526710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s</w:t>
      </w:r>
    </w:p>
    <w:p w14:paraId="5DDD3A75" w14:textId="0966F126" w:rsidR="000328BA" w:rsidRPr="000328BA" w:rsidRDefault="000328BA" w:rsidP="00CF0CA1">
      <w:pPr>
        <w:spacing w:after="200" w:line="276" w:lineRule="auto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0B18923E" w14:textId="77777777" w:rsidR="00CF0CA1" w:rsidRPr="000328BA" w:rsidRDefault="000328BA" w:rsidP="00CF0CA1">
      <w:pPr>
        <w:widowControl w:val="0"/>
        <w:suppressAutoHyphens/>
        <w:spacing w:after="120" w:line="288" w:lineRule="auto"/>
        <w:jc w:val="both"/>
        <w:rPr>
          <w:rFonts w:ascii="Georgia" w:eastAsia="Calibri" w:hAnsi="Georgia" w:cs="Times New Roman"/>
          <w:b/>
          <w:bCs/>
          <w:kern w:val="0"/>
          <w:sz w:val="21"/>
          <w14:ligatures w14:val="none"/>
        </w:rPr>
      </w:pPr>
      <w:r w:rsidRPr="000328BA">
        <w:rPr>
          <w:rFonts w:ascii="Georgia" w:eastAsia="Calibri" w:hAnsi="Georgia" w:cs="Times New Roman"/>
          <w:b/>
          <w:bCs/>
          <w:kern w:val="0"/>
          <w:sz w:val="21"/>
          <w14:ligatures w14:val="none"/>
        </w:rPr>
        <w:t>6.7 Documents à remettre</w:t>
      </w:r>
    </w:p>
    <w:p w14:paraId="48AF120A" w14:textId="5C916FD3" w:rsidR="000328BA" w:rsidRDefault="000328BA" w:rsidP="00CF0CA1">
      <w:pPr>
        <w:widowControl w:val="0"/>
        <w:suppressAutoHyphens/>
        <w:spacing w:after="120" w:line="288" w:lineRule="auto"/>
        <w:jc w:val="both"/>
        <w:rPr>
          <w:rFonts w:ascii="Georgia" w:eastAsia="Calibri" w:hAnsi="Georgia" w:cs="Times New Roman"/>
          <w:kern w:val="0"/>
          <w:sz w:val="21"/>
          <w14:ligatures w14:val="none"/>
        </w:rPr>
      </w:pPr>
      <w:r>
        <w:rPr>
          <w:rFonts w:ascii="Georgia" w:eastAsia="Calibri" w:hAnsi="Georgia" w:cs="Times New Roman"/>
          <w:kern w:val="0"/>
          <w:sz w:val="21"/>
          <w14:ligatures w14:val="none"/>
        </w:rPr>
        <w:t>A cette étape de la procédure</w:t>
      </w:r>
      <w:r w:rsidR="00DC5A13">
        <w:rPr>
          <w:rFonts w:ascii="Georgia" w:eastAsia="Calibri" w:hAnsi="Georgia" w:cs="Times New Roman"/>
          <w:kern w:val="0"/>
          <w:sz w:val="21"/>
          <w14:ligatures w14:val="none"/>
        </w:rPr>
        <w:t xml:space="preserve"> de remise des offres</w:t>
      </w:r>
      <w:r>
        <w:rPr>
          <w:rFonts w:ascii="Georgia" w:eastAsia="Calibri" w:hAnsi="Georgia" w:cs="Times New Roman"/>
          <w:kern w:val="0"/>
          <w:sz w:val="21"/>
          <w14:ligatures w14:val="none"/>
        </w:rPr>
        <w:t>, les documents ci-après ne sont plus obligatoires :</w:t>
      </w:r>
    </w:p>
    <w:p w14:paraId="7F53E857" w14:textId="77777777" w:rsidR="000328BA" w:rsidRPr="000328BA" w:rsidRDefault="000328BA" w:rsidP="000328B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bookmarkStart w:id="2" w:name="_Hlk138945908"/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L’attestation de non redevabilité aux impôts délivrée par l’Office Burundais de Recette et encore valide au jour de dépôt des offres ;</w:t>
      </w:r>
    </w:p>
    <w:p w14:paraId="51054239" w14:textId="77777777" w:rsidR="000328BA" w:rsidRPr="000328BA" w:rsidRDefault="000328BA" w:rsidP="000328BA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51CA5ED8" w14:textId="77777777" w:rsidR="000328BA" w:rsidRPr="000328BA" w:rsidRDefault="000328BA" w:rsidP="000328B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L’Attestation de non faillite délivrée par le Tribunal compétent ; </w:t>
      </w:r>
    </w:p>
    <w:p w14:paraId="5BA57203" w14:textId="77777777" w:rsidR="000328BA" w:rsidRPr="000328BA" w:rsidRDefault="000328BA" w:rsidP="000328BA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7513CC5B" w14:textId="77777777" w:rsidR="000328BA" w:rsidRPr="000328BA" w:rsidRDefault="000328BA" w:rsidP="000328B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L’attestation de non redevabilité à la sécurité sociale délivrée par l’INSS et encore valide au jour du dépôt des offres ; </w:t>
      </w:r>
    </w:p>
    <w:p w14:paraId="1393B526" w14:textId="77777777" w:rsidR="000328BA" w:rsidRPr="000328BA" w:rsidRDefault="000328BA" w:rsidP="000328BA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24993079" w14:textId="77777777" w:rsidR="000328BA" w:rsidRPr="000328BA" w:rsidRDefault="000328BA" w:rsidP="000328B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L’extrait du casier judiciaire (Déclaration) de représentant du soumissionnaire dûment habilité à l’engager dans le présent marché.</w:t>
      </w:r>
      <w:bookmarkEnd w:id="2"/>
    </w:p>
    <w:p w14:paraId="23E5583E" w14:textId="77777777" w:rsidR="000328BA" w:rsidRDefault="000328BA" w:rsidP="000328BA">
      <w:pPr>
        <w:pStyle w:val="Paragraphedeliste"/>
        <w:rPr>
          <w:sz w:val="20"/>
          <w:szCs w:val="20"/>
        </w:rPr>
      </w:pPr>
    </w:p>
    <w:p w14:paraId="0AEDC44D" w14:textId="77777777" w:rsidR="00DC5A13" w:rsidRPr="000328BA" w:rsidRDefault="00DC5A13" w:rsidP="000328BA">
      <w:pPr>
        <w:pStyle w:val="Paragraphedeliste"/>
        <w:rPr>
          <w:sz w:val="20"/>
          <w:szCs w:val="20"/>
        </w:rPr>
      </w:pPr>
    </w:p>
    <w:p w14:paraId="30770489" w14:textId="77777777" w:rsidR="000328BA" w:rsidRPr="000328BA" w:rsidRDefault="000328BA" w:rsidP="000328BA">
      <w:pPr>
        <w:spacing w:after="0" w:line="240" w:lineRule="auto"/>
        <w:jc w:val="both"/>
        <w:rPr>
          <w:rFonts w:ascii="Georgia" w:eastAsia="Calibri" w:hAnsi="Georgia" w:cs="Times New Roman"/>
          <w:b/>
          <w:bCs/>
          <w:kern w:val="0"/>
          <w:sz w:val="21"/>
          <w14:ligatures w14:val="none"/>
        </w:rPr>
      </w:pPr>
      <w:r w:rsidRPr="000328BA">
        <w:rPr>
          <w:rFonts w:ascii="Georgia" w:eastAsia="Calibri" w:hAnsi="Georgia" w:cs="Times New Roman"/>
          <w:b/>
          <w:bCs/>
          <w:kern w:val="0"/>
          <w:sz w:val="21"/>
          <w14:ligatures w14:val="none"/>
        </w:rPr>
        <w:t>Autres :</w:t>
      </w:r>
    </w:p>
    <w:p w14:paraId="60F5D695" w14:textId="549088AA" w:rsidR="000328BA" w:rsidRPr="000328BA" w:rsidRDefault="000328BA" w:rsidP="000328BA">
      <w:pPr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Il est permis qu’un soumissionnaire qui n’est pas lui-même semencier puisse s’appuyer sur un semencier </w:t>
      </w:r>
      <w:r w:rsidR="00DC5A13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 agrées par ONCCS </w:t>
      </w: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dans le cadre de cette soumission.</w:t>
      </w:r>
      <w:r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 Dans ce cas, il devra présenter aussi les documents exigés et appartenant au semencier avec un acte d’engagement de collaboration entre les deux.</w:t>
      </w:r>
    </w:p>
    <w:p w14:paraId="5235F1A9" w14:textId="77777777" w:rsidR="000328BA" w:rsidRPr="000328BA" w:rsidRDefault="000328BA" w:rsidP="000328BA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7A84D0EF" w14:textId="77777777" w:rsidR="000328BA" w:rsidRPr="000328BA" w:rsidRDefault="000328BA" w:rsidP="000328BA">
      <w:pPr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Toutes les autres dispositions du Cahier Spécial de Charges demeurent inchangées.</w:t>
      </w:r>
    </w:p>
    <w:p w14:paraId="54505A48" w14:textId="77777777" w:rsidR="000328BA" w:rsidRPr="00CF0CA1" w:rsidRDefault="000328BA" w:rsidP="000328BA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sectPr w:rsidR="000328BA" w:rsidRPr="00CF0CA1" w:rsidSect="00CF0CA1">
      <w:headerReference w:type="even" r:id="rId11"/>
      <w:pgSz w:w="11905" w:h="16837"/>
      <w:pgMar w:top="1559" w:right="1412" w:bottom="1514" w:left="1559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C7BED" w14:textId="77777777" w:rsidR="00F92BB8" w:rsidRDefault="00F92BB8">
      <w:pPr>
        <w:spacing w:after="0" w:line="240" w:lineRule="auto"/>
      </w:pPr>
      <w:r>
        <w:separator/>
      </w:r>
    </w:p>
  </w:endnote>
  <w:endnote w:type="continuationSeparator" w:id="0">
    <w:p w14:paraId="1C63B503" w14:textId="77777777" w:rsidR="00F92BB8" w:rsidRDefault="00F9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F0BC" w14:textId="77777777" w:rsidR="00E51A2D" w:rsidRDefault="00000000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496B9BC" wp14:editId="35604181">
              <wp:simplePos x="0" y="0"/>
              <wp:positionH relativeFrom="margin">
                <wp:posOffset>74930</wp:posOffset>
              </wp:positionH>
              <wp:positionV relativeFrom="page">
                <wp:posOffset>9840595</wp:posOffset>
              </wp:positionV>
              <wp:extent cx="4828540" cy="12763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854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F3031" w14:textId="77777777" w:rsidR="00E51A2D" w:rsidRPr="00126C92" w:rsidRDefault="00E51A2D" w:rsidP="006C7809">
                          <w:pPr>
                            <w:pStyle w:val="Basdepag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29C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9pt;margin-top:774.85pt;width:380.2pt;height:10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" stroked="f">
              <v:textbox>
                <w:txbxContent>
                  <w:p w:rsidR="00000000" w:rsidRPr="00126C92" w:rsidRDefault="00000000" w:rsidP="006C7809">
                    <w:pPr>
                      <w:pStyle w:val="Basdepag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Pr="00AC7962">
      <w:rPr>
        <w:noProof/>
      </w:rPr>
      <w:t>5</w:t>
    </w:r>
    <w:r>
      <w:fldChar w:fldCharType="end"/>
    </w:r>
  </w:p>
  <w:p w14:paraId="7B2760B1" w14:textId="77777777" w:rsidR="00E51A2D" w:rsidRDefault="00E51A2D" w:rsidP="006C7809">
    <w:pPr>
      <w:pStyle w:val="Pieddepage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029F5" w14:textId="77777777" w:rsidR="00E51A2D" w:rsidRDefault="00000000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9715C86" wp14:editId="5CF72DA3">
              <wp:simplePos x="0" y="0"/>
              <wp:positionH relativeFrom="margin">
                <wp:posOffset>84455</wp:posOffset>
              </wp:positionH>
              <wp:positionV relativeFrom="page">
                <wp:posOffset>9829800</wp:posOffset>
              </wp:positionV>
              <wp:extent cx="5006340" cy="59436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34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DBCE5" w14:textId="77777777" w:rsidR="00E51A2D" w:rsidRPr="00126C92" w:rsidRDefault="00000000" w:rsidP="006C7809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2EE4552A" w14:textId="77777777" w:rsidR="00E51A2D" w:rsidRPr="00126C92" w:rsidRDefault="00000000" w:rsidP="006C7809">
                          <w:pPr>
                            <w:pStyle w:val="Basdepage"/>
                          </w:pPr>
                          <w:r w:rsidRPr="00126C92">
                            <w:t xml:space="preserve">Rue </w:t>
                          </w:r>
                          <w:r w:rsidRPr="008367A0">
                            <w:t>Haute</w:t>
                          </w:r>
                          <w:r w:rsidRPr="00126C92">
                            <w:t xml:space="preserve">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4F1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6.65pt;margin-top:774pt;width:394.2pt;height:46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" stroked="f">
              <v:textbox>
                <w:txbxContent>
                  <w:p w:rsidR="00000000" w:rsidRPr="00126C92" w:rsidRDefault="00000000" w:rsidP="006C7809">
                    <w:pPr>
                      <w:pStyle w:val="Basdepage"/>
                    </w:pPr>
                    <w:proofErr w:type="spellStart"/>
                    <w:r w:rsidRPr="00126C92">
                      <w:t>Enabel</w:t>
                    </w:r>
                    <w:proofErr w:type="spellEnd"/>
                    <w:r w:rsidRPr="00126C92">
                      <w:t xml:space="preserve">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:rsidR="00000000" w:rsidRPr="00126C92" w:rsidRDefault="00000000" w:rsidP="006C7809">
                    <w:pPr>
                      <w:pStyle w:val="Basdepage"/>
                    </w:pPr>
                    <w:r w:rsidRPr="00126C92">
                      <w:t xml:space="preserve">Rue </w:t>
                    </w:r>
                    <w:r w:rsidRPr="008367A0">
                      <w:t>Haute</w:t>
                    </w:r>
                    <w:r w:rsidRPr="00126C92">
                      <w:t xml:space="preserve">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80661D7" w14:textId="77777777" w:rsidR="00E51A2D" w:rsidRDefault="00E51A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99C37" w14:textId="77777777" w:rsidR="00F92BB8" w:rsidRDefault="00F92BB8">
      <w:pPr>
        <w:spacing w:after="0" w:line="240" w:lineRule="auto"/>
      </w:pPr>
      <w:r>
        <w:separator/>
      </w:r>
    </w:p>
  </w:footnote>
  <w:footnote w:type="continuationSeparator" w:id="0">
    <w:p w14:paraId="175B14A0" w14:textId="77777777" w:rsidR="00F92BB8" w:rsidRDefault="00F9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587E8" w14:textId="77777777" w:rsidR="00E51A2D" w:rsidRDefault="00000000" w:rsidP="006C7809">
    <w:pPr>
      <w:pStyle w:val="En-tte"/>
      <w:tabs>
        <w:tab w:val="left" w:pos="621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0B732" w14:textId="77777777" w:rsidR="00E51A2D" w:rsidRDefault="00000000" w:rsidP="006C7809">
    <w:pPr>
      <w:pStyle w:val="En-tte"/>
      <w:tabs>
        <w:tab w:val="left" w:pos="1620"/>
      </w:tabs>
    </w:pPr>
    <w:r>
      <w:rPr>
        <w:noProof/>
        <w:lang w:val="fr-BE"/>
      </w:rPr>
      <w:drawing>
        <wp:anchor distT="36576" distB="59055" distL="163068" distR="161925" simplePos="0" relativeHeight="251660288" behindDoc="0" locked="1" layoutInCell="1" allowOverlap="1" wp14:anchorId="48BDD465" wp14:editId="3589FB10">
          <wp:simplePos x="0" y="0"/>
          <wp:positionH relativeFrom="column">
            <wp:posOffset>-1180592</wp:posOffset>
          </wp:positionH>
          <wp:positionV relativeFrom="page">
            <wp:posOffset>6731</wp:posOffset>
          </wp:positionV>
          <wp:extent cx="7542022" cy="10670794"/>
          <wp:effectExtent l="57150" t="38100" r="59055" b="7366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0540"/>
                  </a:xfrm>
                  <a:prstGeom prst="rect">
                    <a:avLst/>
                  </a:prstGeom>
                  <a:effectLst>
                    <a:outerShdw blurRad="50800" dist="12700" dir="5400000" algn="ctr" rotWithShape="0">
                      <a:srgbClr val="000000">
                        <a:alpha val="43137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F1AAA" w14:textId="77777777" w:rsidR="00E51A2D" w:rsidRDefault="00E51A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13B71"/>
    <w:multiLevelType w:val="multilevel"/>
    <w:tmpl w:val="48C646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1CC5455"/>
    <w:multiLevelType w:val="multilevel"/>
    <w:tmpl w:val="2F368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F1E7728"/>
    <w:multiLevelType w:val="hybridMultilevel"/>
    <w:tmpl w:val="0E1A5AB0"/>
    <w:lvl w:ilvl="0" w:tplc="C374E418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87188">
    <w:abstractNumId w:val="1"/>
  </w:num>
  <w:num w:numId="2" w16cid:durableId="69160595">
    <w:abstractNumId w:val="0"/>
  </w:num>
  <w:num w:numId="3" w16cid:durableId="189191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1"/>
    <w:rsid w:val="000328BA"/>
    <w:rsid w:val="003B0849"/>
    <w:rsid w:val="0047317E"/>
    <w:rsid w:val="00526710"/>
    <w:rsid w:val="008816BE"/>
    <w:rsid w:val="00CF0CA1"/>
    <w:rsid w:val="00DC5A13"/>
    <w:rsid w:val="00E51A2D"/>
    <w:rsid w:val="00F870B5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7171"/>
  <w15:chartTrackingRefBased/>
  <w15:docId w15:val="{E4D56CAE-5591-4658-9B30-8E5636A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0CA1"/>
  </w:style>
  <w:style w:type="paragraph" w:styleId="Pieddepage">
    <w:name w:val="footer"/>
    <w:basedOn w:val="Normal"/>
    <w:link w:val="PieddepageCar"/>
    <w:uiPriority w:val="99"/>
    <w:semiHidden/>
    <w:unhideWhenUsed/>
    <w:rsid w:val="00CF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CA1"/>
  </w:style>
  <w:style w:type="paragraph" w:customStyle="1" w:styleId="Titrecouverture">
    <w:name w:val="Titre couverture"/>
    <w:basedOn w:val="Normal"/>
    <w:link w:val="TitrecouvertureCar"/>
    <w:qFormat/>
    <w:rsid w:val="00CF0CA1"/>
    <w:pPr>
      <w:spacing w:line="276" w:lineRule="auto"/>
    </w:pPr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character" w:customStyle="1" w:styleId="TitrecouvertureCar">
    <w:name w:val="Titre couverture Car"/>
    <w:link w:val="Titrecouverture"/>
    <w:rsid w:val="00CF0CA1"/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paragraph" w:customStyle="1" w:styleId="Basdepage">
    <w:name w:val="Bas de page"/>
    <w:basedOn w:val="Normal"/>
    <w:link w:val="BasdepageCar"/>
    <w:qFormat/>
    <w:rsid w:val="00CF0CA1"/>
    <w:pPr>
      <w:keepNext/>
      <w:keepLines/>
      <w:spacing w:after="0" w:line="276" w:lineRule="auto"/>
      <w:outlineLvl w:val="0"/>
    </w:pPr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character" w:customStyle="1" w:styleId="BasdepageCar">
    <w:name w:val="Bas de page Car"/>
    <w:link w:val="Basdepage"/>
    <w:rsid w:val="00CF0CA1"/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table" w:styleId="Grilledutableau">
    <w:name w:val="Table Grid"/>
    <w:basedOn w:val="TableauNormal"/>
    <w:uiPriority w:val="39"/>
    <w:rsid w:val="00CF0CA1"/>
    <w:pPr>
      <w:spacing w:after="0" w:line="240" w:lineRule="auto"/>
    </w:pPr>
    <w:rPr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 à Puce,LIST,Numbered paragraph,List Paragraph1,Bullets,References,FIDA liste,Paragraphe  revu,ARS_Paragraphe de liste,- List tir,liste 1,puce 1,List Paragraph,LISTA,Bullet Points,Liste Paragraf,Corps du texte,Table bullet"/>
    <w:basedOn w:val="Normal"/>
    <w:link w:val="ParagraphedelisteCar"/>
    <w:uiPriority w:val="34"/>
    <w:qFormat/>
    <w:rsid w:val="00CF0CA1"/>
    <w:pPr>
      <w:ind w:left="720"/>
      <w:contextualSpacing/>
    </w:pPr>
  </w:style>
  <w:style w:type="character" w:customStyle="1" w:styleId="ParagraphedelisteCar">
    <w:name w:val="Paragraphe de liste Car"/>
    <w:aliases w:val="Paragraphe à Puce Car,LIST Car,Numbered paragraph Car,List Paragraph1 Car,Bullets Car,References Car,FIDA liste Car,Paragraphe  revu Car,ARS_Paragraphe de liste Car,- List tir Car,liste 1 Car,puce 1 Car,List Paragraph Car"/>
    <w:link w:val="Paragraphedeliste"/>
    <w:uiPriority w:val="34"/>
    <w:qFormat/>
    <w:rsid w:val="000328BA"/>
  </w:style>
  <w:style w:type="paragraph" w:styleId="Rvision">
    <w:name w:val="Revision"/>
    <w:hidden/>
    <w:uiPriority w:val="99"/>
    <w:semiHidden/>
    <w:rsid w:val="00DC5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AGNANDJI, Gbeyigbena</dc:creator>
  <cp:keywords/>
  <dc:description/>
  <cp:lastModifiedBy>AGNANDJI, Gbeyigbena</cp:lastModifiedBy>
  <cp:revision>2</cp:revision>
  <dcterms:created xsi:type="dcterms:W3CDTF">2024-07-16T06:11:00Z</dcterms:created>
  <dcterms:modified xsi:type="dcterms:W3CDTF">2024-07-16T06:11:00Z</dcterms:modified>
</cp:coreProperties>
</file>