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B027CC" w14:textId="77777777" w:rsidR="00B92F8A" w:rsidRPr="00076076" w:rsidRDefault="00B92F8A" w:rsidP="00B92F8A">
      <w:pPr>
        <w:jc w:val="both"/>
        <w:rPr>
          <w:b/>
          <w:bCs/>
          <w:color w:val="auto"/>
          <w:sz w:val="21"/>
          <w:szCs w:val="21"/>
          <w:u w:val="single"/>
        </w:rPr>
      </w:pPr>
      <w:r w:rsidRPr="00076076">
        <w:rPr>
          <w:b/>
          <w:bCs/>
          <w:color w:val="auto"/>
          <w:sz w:val="21"/>
          <w:szCs w:val="21"/>
          <w:u w:val="single"/>
        </w:rPr>
        <w:t xml:space="preserve">COD22015-10105 Liste de Questions et réponses </w:t>
      </w:r>
    </w:p>
    <w:p w14:paraId="0EF3B586" w14:textId="77777777" w:rsidR="00B92F8A" w:rsidRPr="009626FC" w:rsidRDefault="00B92F8A" w:rsidP="00B92F8A">
      <w:pPr>
        <w:spacing w:after="160"/>
        <w:jc w:val="both"/>
        <w:rPr>
          <w:b/>
          <w:bCs/>
          <w:color w:val="auto"/>
          <w:sz w:val="21"/>
          <w:szCs w:val="21"/>
          <w:u w:val="single"/>
        </w:rPr>
      </w:pPr>
    </w:p>
    <w:p w14:paraId="3687852F" w14:textId="77777777" w:rsidR="00B92F8A" w:rsidRPr="00076076" w:rsidRDefault="00B92F8A" w:rsidP="00B92F8A">
      <w:pPr>
        <w:jc w:val="both"/>
        <w:rPr>
          <w:b/>
          <w:bCs/>
          <w:color w:val="auto"/>
          <w:sz w:val="21"/>
          <w:szCs w:val="21"/>
          <w:u w:val="single"/>
        </w:rPr>
      </w:pPr>
      <w:r w:rsidRPr="00076076">
        <w:rPr>
          <w:b/>
          <w:bCs/>
          <w:color w:val="auto"/>
          <w:sz w:val="21"/>
          <w:szCs w:val="21"/>
          <w:u w:val="single"/>
        </w:rPr>
        <w:t xml:space="preserve"> Marché Public de Services relatifs à l’analyse des chaines des valeurs pour les filières agricoles prioritaires et d’élaboration de la stratégie d’appui à la commercialisation des produits agricoles dans les provinces du Kasaï Oriental et de la Lomami.</w:t>
      </w:r>
    </w:p>
    <w:p w14:paraId="080D3C10" w14:textId="77777777" w:rsidR="00B92F8A" w:rsidRPr="00B750C6" w:rsidRDefault="00B92F8A" w:rsidP="00B92F8A">
      <w:pPr>
        <w:spacing w:after="160"/>
        <w:jc w:val="both"/>
        <w:rPr>
          <w:color w:val="auto"/>
          <w:sz w:val="21"/>
          <w:szCs w:val="21"/>
        </w:rPr>
      </w:pPr>
      <w:r w:rsidRPr="00B750C6">
        <w:rPr>
          <w:color w:val="auto"/>
          <w:sz w:val="21"/>
          <w:szCs w:val="21"/>
        </w:rPr>
        <w:t> </w:t>
      </w:r>
    </w:p>
    <w:p w14:paraId="7EC5D912" w14:textId="77777777" w:rsidR="00B92F8A" w:rsidRPr="00076076" w:rsidRDefault="00B92F8A" w:rsidP="00B92F8A">
      <w:pPr>
        <w:numPr>
          <w:ilvl w:val="0"/>
          <w:numId w:val="1"/>
        </w:numPr>
        <w:spacing w:after="160"/>
        <w:jc w:val="both"/>
        <w:rPr>
          <w:color w:val="auto"/>
          <w:sz w:val="21"/>
          <w:szCs w:val="21"/>
        </w:rPr>
      </w:pPr>
      <w:r w:rsidRPr="00B750C6">
        <w:rPr>
          <w:color w:val="auto"/>
          <w:sz w:val="21"/>
          <w:szCs w:val="21"/>
        </w:rPr>
        <w:t>Dans l'appel d'offres, il est mentionné que la notation se répartit en 70 % pour l'offre financière et 30 % pour l'offre technique, avec une indication que l'évaluation de la méthodologie est intégrée à la notation de l'expert principal. Pouvez-vous me confirmer si cette interprétation est correcte ?</w:t>
      </w:r>
    </w:p>
    <w:p w14:paraId="07258EA3" w14:textId="77777777" w:rsidR="00B92F8A" w:rsidRPr="00076076" w:rsidRDefault="00B92F8A" w:rsidP="00B92F8A">
      <w:pPr>
        <w:pStyle w:val="Paragraphedeliste"/>
        <w:numPr>
          <w:ilvl w:val="0"/>
          <w:numId w:val="3"/>
        </w:numPr>
        <w:jc w:val="both"/>
        <w:rPr>
          <w:rFonts w:ascii="Georgia" w:hAnsi="Georgia"/>
          <w:sz w:val="21"/>
          <w:szCs w:val="21"/>
          <w:highlight w:val="green"/>
        </w:rPr>
      </w:pPr>
      <w:r w:rsidRPr="00076076">
        <w:rPr>
          <w:rFonts w:ascii="Georgia" w:hAnsi="Georgia"/>
          <w:sz w:val="21"/>
          <w:szCs w:val="21"/>
          <w:highlight w:val="green"/>
        </w:rPr>
        <w:t xml:space="preserve">Oui nous confirmons  </w:t>
      </w:r>
    </w:p>
    <w:p w14:paraId="46DDC9DF" w14:textId="77777777" w:rsidR="00B92F8A" w:rsidRPr="00076076" w:rsidRDefault="00B92F8A" w:rsidP="00B92F8A">
      <w:pPr>
        <w:numPr>
          <w:ilvl w:val="0"/>
          <w:numId w:val="1"/>
        </w:numPr>
        <w:spacing w:after="160"/>
        <w:jc w:val="both"/>
        <w:rPr>
          <w:color w:val="auto"/>
          <w:sz w:val="21"/>
          <w:szCs w:val="21"/>
        </w:rPr>
      </w:pPr>
      <w:r w:rsidRPr="00B750C6">
        <w:rPr>
          <w:color w:val="auto"/>
          <w:sz w:val="21"/>
          <w:szCs w:val="21"/>
        </w:rPr>
        <w:t>Serait-il possible de bénéficier d'une extension de la date limite de dépôt des candidatures, actuellement fixée au 15/10/2024 à 15h (heure de Mbuji-Mayi) ?</w:t>
      </w:r>
    </w:p>
    <w:p w14:paraId="459654DD" w14:textId="77777777" w:rsidR="00B92F8A" w:rsidRPr="00076076" w:rsidRDefault="00B92F8A" w:rsidP="00B92F8A">
      <w:pPr>
        <w:pStyle w:val="Paragraphedeliste"/>
        <w:numPr>
          <w:ilvl w:val="0"/>
          <w:numId w:val="3"/>
        </w:numPr>
        <w:jc w:val="both"/>
        <w:rPr>
          <w:rFonts w:ascii="Georgia" w:hAnsi="Georgia"/>
          <w:sz w:val="21"/>
          <w:szCs w:val="21"/>
          <w:highlight w:val="green"/>
        </w:rPr>
      </w:pPr>
      <w:r w:rsidRPr="00076076">
        <w:rPr>
          <w:rFonts w:ascii="Georgia" w:hAnsi="Georgia"/>
          <w:sz w:val="21"/>
          <w:szCs w:val="21"/>
          <w:highlight w:val="green"/>
        </w:rPr>
        <w:t>Oui nous confirmons la prolongation jusqu’au 29/10/2024 à 23h59 (heure de Mbuji Mayi).</w:t>
      </w:r>
    </w:p>
    <w:p w14:paraId="33428EDB" w14:textId="77777777" w:rsidR="00B92F8A" w:rsidRPr="00076076" w:rsidRDefault="00B92F8A" w:rsidP="00B92F8A">
      <w:pPr>
        <w:pStyle w:val="NormalWeb"/>
        <w:numPr>
          <w:ilvl w:val="0"/>
          <w:numId w:val="1"/>
        </w:numPr>
        <w:shd w:val="clear" w:color="auto" w:fill="FFFFFF"/>
        <w:spacing w:before="0" w:beforeAutospacing="0" w:after="0" w:afterAutospacing="0"/>
        <w:jc w:val="both"/>
        <w:rPr>
          <w:rFonts w:ascii="Georgia" w:hAnsi="Georgia" w:cs="Calibri"/>
          <w:sz w:val="21"/>
          <w:szCs w:val="21"/>
        </w:rPr>
      </w:pPr>
      <w:r w:rsidRPr="00076076">
        <w:rPr>
          <w:rFonts w:ascii="Georgia" w:hAnsi="Georgia" w:cs="Arial"/>
          <w:sz w:val="21"/>
          <w:szCs w:val="21"/>
          <w:bdr w:val="none" w:sz="0" w:space="0" w:color="auto" w:frame="1"/>
        </w:rPr>
        <w:t>Afin de répondre aux exigences des termes de référence, nous proposons l’ajout d’un expert en suivi-évaluation pour superviser la collecte de données, étape essentielle de la mission.</w:t>
      </w:r>
    </w:p>
    <w:p w14:paraId="1B6F48F8" w14:textId="77777777" w:rsidR="00B92F8A" w:rsidRPr="00076076" w:rsidRDefault="00B92F8A" w:rsidP="00B92F8A">
      <w:pPr>
        <w:pStyle w:val="NormalWeb"/>
        <w:numPr>
          <w:ilvl w:val="0"/>
          <w:numId w:val="3"/>
        </w:numPr>
        <w:shd w:val="clear" w:color="auto" w:fill="FFFFFF"/>
        <w:spacing w:before="0" w:beforeAutospacing="0" w:after="0" w:afterAutospacing="0"/>
        <w:jc w:val="both"/>
        <w:rPr>
          <w:rFonts w:ascii="Georgia" w:hAnsi="Georgia" w:cs="Calibri"/>
          <w:sz w:val="21"/>
          <w:szCs w:val="21"/>
          <w:highlight w:val="green"/>
        </w:rPr>
      </w:pPr>
      <w:r w:rsidRPr="00076076">
        <w:rPr>
          <w:rFonts w:ascii="Georgia" w:hAnsi="Georgia" w:cs="Calibri"/>
          <w:sz w:val="21"/>
          <w:szCs w:val="21"/>
          <w:highlight w:val="green"/>
        </w:rPr>
        <w:t xml:space="preserve">La supervision de la collecte de données est à la charge du consultant chef de mission et son assistant. </w:t>
      </w:r>
    </w:p>
    <w:p w14:paraId="174F0AAB" w14:textId="77777777" w:rsidR="00B92F8A" w:rsidRPr="00076076" w:rsidRDefault="00B92F8A" w:rsidP="00B92F8A">
      <w:pPr>
        <w:pStyle w:val="NormalWeb"/>
        <w:shd w:val="clear" w:color="auto" w:fill="FFFFFF"/>
        <w:spacing w:before="0" w:beforeAutospacing="0" w:after="0" w:afterAutospacing="0"/>
        <w:ind w:left="720"/>
        <w:jc w:val="both"/>
        <w:rPr>
          <w:rFonts w:ascii="Georgia" w:hAnsi="Georgia" w:cs="Calibri"/>
          <w:sz w:val="21"/>
          <w:szCs w:val="21"/>
        </w:rPr>
      </w:pPr>
    </w:p>
    <w:p w14:paraId="4E58FAEB" w14:textId="77777777" w:rsidR="00B92F8A" w:rsidRPr="00076076" w:rsidRDefault="00B92F8A" w:rsidP="00B92F8A">
      <w:pPr>
        <w:pStyle w:val="NormalWeb"/>
        <w:numPr>
          <w:ilvl w:val="0"/>
          <w:numId w:val="1"/>
        </w:numPr>
        <w:shd w:val="clear" w:color="auto" w:fill="FFFFFF"/>
        <w:spacing w:before="0" w:beforeAutospacing="0" w:after="0" w:afterAutospacing="0"/>
        <w:jc w:val="both"/>
        <w:rPr>
          <w:rFonts w:ascii="Georgia" w:hAnsi="Georgia" w:cs="Calibri"/>
          <w:sz w:val="21"/>
          <w:szCs w:val="21"/>
        </w:rPr>
      </w:pPr>
      <w:r w:rsidRPr="00076076">
        <w:rPr>
          <w:rFonts w:ascii="Georgia" w:hAnsi="Georgia" w:cs="Arial"/>
          <w:sz w:val="21"/>
          <w:szCs w:val="21"/>
          <w:bdr w:val="none" w:sz="0" w:space="0" w:color="auto" w:frame="1"/>
        </w:rPr>
        <w:t>Par ailleurs, nous souhaitons obtenir davantage de précisions sur le nombre de filières prioritaires dans chaque province, cette information étant essentielle pour l'élaboration de notre proposition technique et financière. Les de référence mentionnent également des filières « propriétaires » et « porteuses » ; une clarification à ce sujet serait utile.</w:t>
      </w:r>
    </w:p>
    <w:p w14:paraId="469ED712" w14:textId="77777777" w:rsidR="00B92F8A" w:rsidRPr="00076076" w:rsidRDefault="00B92F8A" w:rsidP="00B92F8A">
      <w:pPr>
        <w:pStyle w:val="NormalWeb"/>
        <w:shd w:val="clear" w:color="auto" w:fill="FFFFFF"/>
        <w:spacing w:before="0" w:beforeAutospacing="0" w:after="0" w:afterAutospacing="0"/>
        <w:jc w:val="both"/>
        <w:rPr>
          <w:rFonts w:ascii="Georgia" w:hAnsi="Georgia" w:cs="Calibri"/>
          <w:sz w:val="21"/>
          <w:szCs w:val="21"/>
        </w:rPr>
      </w:pPr>
    </w:p>
    <w:p w14:paraId="56ADB53D" w14:textId="77777777" w:rsidR="00B92F8A" w:rsidRPr="00076076" w:rsidRDefault="00B92F8A" w:rsidP="00B92F8A">
      <w:pPr>
        <w:pStyle w:val="NormalWeb"/>
        <w:numPr>
          <w:ilvl w:val="0"/>
          <w:numId w:val="3"/>
        </w:numPr>
        <w:shd w:val="clear" w:color="auto" w:fill="FFFFFF"/>
        <w:spacing w:before="0" w:beforeAutospacing="0" w:after="0" w:afterAutospacing="0"/>
        <w:jc w:val="both"/>
        <w:rPr>
          <w:rFonts w:ascii="Georgia" w:hAnsi="Georgia" w:cs="Calibri"/>
          <w:sz w:val="21"/>
          <w:szCs w:val="21"/>
          <w:highlight w:val="green"/>
        </w:rPr>
      </w:pPr>
      <w:r w:rsidRPr="00076076">
        <w:rPr>
          <w:rFonts w:ascii="Georgia" w:hAnsi="Georgia" w:cs="Calibri"/>
          <w:sz w:val="21"/>
          <w:szCs w:val="21"/>
          <w:highlight w:val="green"/>
        </w:rPr>
        <w:t xml:space="preserve">Conformément au point </w:t>
      </w:r>
      <w:r w:rsidRPr="000E1820">
        <w:rPr>
          <w:rFonts w:ascii="Georgia" w:hAnsi="Georgia" w:cs="Calibri"/>
          <w:sz w:val="21"/>
          <w:szCs w:val="21"/>
          <w:highlight w:val="green"/>
        </w:rPr>
        <w:t xml:space="preserve">5.2.3. Résultats attendus </w:t>
      </w:r>
      <w:r w:rsidRPr="00076076">
        <w:rPr>
          <w:rFonts w:ascii="Georgia" w:hAnsi="Georgia" w:cs="Calibri"/>
          <w:sz w:val="21"/>
          <w:szCs w:val="21"/>
          <w:highlight w:val="green"/>
        </w:rPr>
        <w:t xml:space="preserve">du CSC, C’est à partir de l’analyse que va ressortir le nombre de filières prioritaires par provinces, ce qui permettra de déduire des filières porteuses </w:t>
      </w:r>
    </w:p>
    <w:p w14:paraId="610ECDFC" w14:textId="77777777" w:rsidR="00B92F8A" w:rsidRPr="00076076" w:rsidRDefault="00B92F8A" w:rsidP="00B92F8A">
      <w:pPr>
        <w:pStyle w:val="NormalWeb"/>
        <w:shd w:val="clear" w:color="auto" w:fill="FFFFFF"/>
        <w:spacing w:before="0" w:beforeAutospacing="0" w:after="0" w:afterAutospacing="0"/>
        <w:jc w:val="both"/>
        <w:rPr>
          <w:rFonts w:ascii="Georgia" w:hAnsi="Georgia" w:cs="Calibri"/>
          <w:sz w:val="21"/>
          <w:szCs w:val="21"/>
        </w:rPr>
      </w:pPr>
    </w:p>
    <w:p w14:paraId="10011ACF" w14:textId="77777777" w:rsidR="00B92F8A" w:rsidRPr="00076076" w:rsidRDefault="00B92F8A" w:rsidP="00B92F8A">
      <w:pPr>
        <w:pStyle w:val="NormalWeb"/>
        <w:numPr>
          <w:ilvl w:val="0"/>
          <w:numId w:val="1"/>
        </w:numPr>
        <w:shd w:val="clear" w:color="auto" w:fill="FFFFFF"/>
        <w:spacing w:before="0" w:beforeAutospacing="0" w:after="0" w:afterAutospacing="0"/>
        <w:jc w:val="both"/>
        <w:rPr>
          <w:rFonts w:ascii="Georgia" w:hAnsi="Georgia" w:cs="Calibri"/>
          <w:sz w:val="21"/>
          <w:szCs w:val="21"/>
        </w:rPr>
      </w:pPr>
      <w:r w:rsidRPr="00076076">
        <w:rPr>
          <w:rFonts w:ascii="Georgia" w:hAnsi="Georgia" w:cs="Arial"/>
          <w:sz w:val="21"/>
          <w:szCs w:val="21"/>
          <w:bdr w:val="none" w:sz="0" w:space="0" w:color="auto" w:frame="1"/>
        </w:rPr>
        <w:t>Enfin, nous aimerions savoir s'il est possible de soumettre notre dossier par e-mail afin de garantir la remise de notre offre dans les délais. Dans le cas contraire, serait-il envisageable d'obtenir une prolongation du délai de soumission ?</w:t>
      </w:r>
    </w:p>
    <w:p w14:paraId="156E3E02" w14:textId="77777777" w:rsidR="00B92F8A" w:rsidRPr="00076076" w:rsidRDefault="00B92F8A" w:rsidP="00B92F8A">
      <w:pPr>
        <w:pStyle w:val="NormalWeb"/>
        <w:shd w:val="clear" w:color="auto" w:fill="FFFFFF"/>
        <w:spacing w:before="0" w:beforeAutospacing="0" w:after="0" w:afterAutospacing="0"/>
        <w:ind w:left="720"/>
        <w:jc w:val="both"/>
        <w:rPr>
          <w:rFonts w:ascii="Georgia" w:hAnsi="Georgia" w:cs="Calibri"/>
          <w:sz w:val="21"/>
          <w:szCs w:val="21"/>
        </w:rPr>
      </w:pPr>
    </w:p>
    <w:p w14:paraId="414D9F27" w14:textId="77777777" w:rsidR="00B92F8A" w:rsidRPr="00076076" w:rsidRDefault="00B92F8A" w:rsidP="00B92F8A">
      <w:pPr>
        <w:pStyle w:val="NormalWeb"/>
        <w:numPr>
          <w:ilvl w:val="0"/>
          <w:numId w:val="3"/>
        </w:numPr>
        <w:shd w:val="clear" w:color="auto" w:fill="FFFFFF"/>
        <w:spacing w:before="0" w:beforeAutospacing="0" w:after="0" w:afterAutospacing="0"/>
        <w:jc w:val="both"/>
        <w:rPr>
          <w:rFonts w:ascii="Georgia" w:hAnsi="Georgia" w:cs="Calibri"/>
          <w:sz w:val="21"/>
          <w:szCs w:val="21"/>
          <w:highlight w:val="green"/>
        </w:rPr>
      </w:pPr>
      <w:r w:rsidRPr="00076076">
        <w:rPr>
          <w:rFonts w:ascii="Georgia" w:hAnsi="Georgia" w:cs="Calibri"/>
          <w:sz w:val="21"/>
          <w:szCs w:val="21"/>
          <w:highlight w:val="green"/>
        </w:rPr>
        <w:t xml:space="preserve">Oui c’est possible par e-mail adressé exclusivement à l’adresse : </w:t>
      </w:r>
      <w:hyperlink r:id="rId12" w:history="1">
        <w:r w:rsidRPr="00076076">
          <w:rPr>
            <w:rStyle w:val="Lienhypertexte"/>
            <w:rFonts w:ascii="Georgia" w:hAnsi="Georgia" w:cs="Calibri"/>
            <w:color w:val="auto"/>
            <w:sz w:val="21"/>
            <w:szCs w:val="21"/>
            <w:highlight w:val="green"/>
          </w:rPr>
          <w:t>procurement.cod@enabel.be</w:t>
        </w:r>
      </w:hyperlink>
      <w:r w:rsidRPr="00076076">
        <w:rPr>
          <w:rFonts w:ascii="Georgia" w:hAnsi="Georgia" w:cs="Calibri"/>
          <w:sz w:val="21"/>
          <w:szCs w:val="21"/>
          <w:highlight w:val="green"/>
        </w:rPr>
        <w:t xml:space="preserve">  ou en dur, à l’adresse : 64, av. Fatshi, Quartier Lumumba, Commune de Kanshi, Province du Kasai-Oriental. Le service est accessible, tous les jours ouvrables, pendant les heures de service : de 8h. à 12h. et de 13 h. à 16 h.</w:t>
      </w:r>
    </w:p>
    <w:p w14:paraId="59DF7F7F" w14:textId="77777777" w:rsidR="00B92F8A" w:rsidRPr="00076076" w:rsidRDefault="00B92F8A" w:rsidP="00B92F8A">
      <w:pPr>
        <w:pStyle w:val="NormalWeb"/>
        <w:numPr>
          <w:ilvl w:val="0"/>
          <w:numId w:val="3"/>
        </w:numPr>
        <w:shd w:val="clear" w:color="auto" w:fill="FFFFFF"/>
        <w:spacing w:before="0" w:beforeAutospacing="0" w:after="0" w:afterAutospacing="0"/>
        <w:jc w:val="both"/>
        <w:rPr>
          <w:rFonts w:ascii="Georgia" w:hAnsi="Georgia" w:cs="Calibri"/>
          <w:sz w:val="21"/>
          <w:szCs w:val="21"/>
          <w:highlight w:val="green"/>
        </w:rPr>
      </w:pPr>
      <w:r w:rsidRPr="00076076">
        <w:rPr>
          <w:rFonts w:ascii="Georgia" w:hAnsi="Georgia" w:cs="Calibri"/>
          <w:sz w:val="21"/>
          <w:szCs w:val="21"/>
          <w:highlight w:val="green"/>
        </w:rPr>
        <w:t xml:space="preserve">Le délai est </w:t>
      </w:r>
      <w:r w:rsidRPr="00076076">
        <w:rPr>
          <w:rFonts w:ascii="Georgia" w:hAnsi="Georgia"/>
          <w:sz w:val="21"/>
          <w:szCs w:val="21"/>
          <w:highlight w:val="green"/>
        </w:rPr>
        <w:t xml:space="preserve">prolongé jusqu’au 29/10/202423h59 (heure de Mbuji Mayi). </w:t>
      </w:r>
      <w:r w:rsidRPr="00076076">
        <w:rPr>
          <w:rFonts w:ascii="Georgia" w:hAnsi="Georgia"/>
          <w:sz w:val="21"/>
          <w:szCs w:val="21"/>
        </w:rPr>
        <w:t> </w:t>
      </w:r>
    </w:p>
    <w:p w14:paraId="6E2B0D4A" w14:textId="77777777" w:rsidR="00B92F8A" w:rsidRPr="00076076" w:rsidRDefault="00B92F8A" w:rsidP="00B92F8A">
      <w:pPr>
        <w:jc w:val="both"/>
        <w:rPr>
          <w:b/>
          <w:bCs/>
          <w:color w:val="auto"/>
          <w:sz w:val="21"/>
          <w:szCs w:val="21"/>
          <w:u w:val="single"/>
        </w:rPr>
      </w:pPr>
    </w:p>
    <w:p w14:paraId="04A9CE24" w14:textId="77777777" w:rsidR="00B92F8A" w:rsidRPr="00076076" w:rsidRDefault="00B92F8A" w:rsidP="00B92F8A">
      <w:pPr>
        <w:pStyle w:val="Paragraphedeliste"/>
        <w:numPr>
          <w:ilvl w:val="0"/>
          <w:numId w:val="1"/>
        </w:numPr>
        <w:jc w:val="both"/>
        <w:rPr>
          <w:rFonts w:ascii="Georgia" w:hAnsi="Georgia"/>
          <w:sz w:val="21"/>
          <w:szCs w:val="21"/>
        </w:rPr>
      </w:pPr>
      <w:r w:rsidRPr="00076076">
        <w:rPr>
          <w:rFonts w:ascii="Georgia" w:hAnsi="Georgia"/>
          <w:sz w:val="21"/>
          <w:szCs w:val="21"/>
        </w:rPr>
        <w:t>Le tableau à la page 40 prévoit la mobilisation de 74 H-j enquêteurs pour chaque province, alors que la remarque en dessous du tableau en gras </w:t>
      </w:r>
      <w:r w:rsidRPr="00076076">
        <w:rPr>
          <w:rFonts w:ascii="Georgia" w:hAnsi="Georgia"/>
          <w:b/>
          <w:bCs/>
          <w:sz w:val="21"/>
          <w:szCs w:val="21"/>
        </w:rPr>
        <w:t xml:space="preserve">« Les enquêtes vont se dérouler pendant 10 jours et elles vont mobiliser les 74 enquêteurs par province ». </w:t>
      </w:r>
      <w:r w:rsidRPr="00076076">
        <w:rPr>
          <w:rFonts w:ascii="Georgia" w:hAnsi="Georgia"/>
          <w:sz w:val="21"/>
          <w:szCs w:val="21"/>
        </w:rPr>
        <w:t>Cela donnera un total de 740 H-j d’enquête par provinces. En contradiction avec le tableau qui prévoit 74 H-jours pour chaque province.</w:t>
      </w:r>
    </w:p>
    <w:p w14:paraId="0155F11B" w14:textId="77777777" w:rsidR="00B92F8A" w:rsidRPr="00076076" w:rsidRDefault="00B92F8A" w:rsidP="00B92F8A">
      <w:pPr>
        <w:jc w:val="both"/>
        <w:rPr>
          <w:color w:val="auto"/>
          <w:sz w:val="21"/>
          <w:szCs w:val="21"/>
        </w:rPr>
      </w:pPr>
      <w:r w:rsidRPr="00B750C6">
        <w:rPr>
          <w:color w:val="auto"/>
          <w:sz w:val="21"/>
          <w:szCs w:val="21"/>
        </w:rPr>
        <w:lastRenderedPageBreak/>
        <w:t>Pourriez-vous clarifier ce point afin que notre dossier puisse correspondre aux besoins du dossier ?</w:t>
      </w:r>
    </w:p>
    <w:p w14:paraId="590F4ADC" w14:textId="77777777" w:rsidR="00B92F8A" w:rsidRPr="00076076" w:rsidRDefault="00B92F8A" w:rsidP="00B92F8A">
      <w:pPr>
        <w:pStyle w:val="Paragraphedeliste"/>
        <w:numPr>
          <w:ilvl w:val="0"/>
          <w:numId w:val="3"/>
        </w:numPr>
        <w:jc w:val="both"/>
        <w:rPr>
          <w:rFonts w:ascii="Georgia" w:hAnsi="Georgia"/>
          <w:sz w:val="21"/>
          <w:szCs w:val="21"/>
          <w:highlight w:val="green"/>
        </w:rPr>
      </w:pPr>
      <w:r w:rsidRPr="00076076">
        <w:rPr>
          <w:rFonts w:ascii="Georgia" w:hAnsi="Georgia"/>
          <w:sz w:val="21"/>
          <w:szCs w:val="21"/>
          <w:highlight w:val="green"/>
        </w:rPr>
        <w:t xml:space="preserve">Les enquêtes vont durer 10 jours maximum, il revient donc au consultant de déterminer le nombre d’enquêteurs à recruter tout en sachant que le nombre Total d’Homme Jour enquêteurs est de 74 par provinces. </w:t>
      </w:r>
    </w:p>
    <w:p w14:paraId="3AB7C0A6" w14:textId="77777777" w:rsidR="00B92F8A" w:rsidRPr="00076076" w:rsidRDefault="00B92F8A" w:rsidP="00B92F8A">
      <w:pPr>
        <w:pStyle w:val="Paragraphedeliste"/>
        <w:jc w:val="both"/>
        <w:rPr>
          <w:rFonts w:ascii="Georgia" w:hAnsi="Georgia"/>
          <w:sz w:val="21"/>
          <w:szCs w:val="21"/>
          <w:highlight w:val="green"/>
        </w:rPr>
      </w:pPr>
      <w:r w:rsidRPr="00076076">
        <w:rPr>
          <w:rFonts w:ascii="Georgia" w:hAnsi="Georgia"/>
          <w:sz w:val="21"/>
          <w:szCs w:val="21"/>
          <w:highlight w:val="green"/>
        </w:rPr>
        <w:t>Donc il s’agit de 74 Hommes jours enquêteurs et non 74 enquêteurs par province</w:t>
      </w:r>
    </w:p>
    <w:p w14:paraId="366686BC" w14:textId="77777777" w:rsidR="00B92F8A" w:rsidRPr="00B750C6" w:rsidRDefault="00B92F8A" w:rsidP="00B92F8A">
      <w:pPr>
        <w:jc w:val="both"/>
        <w:rPr>
          <w:color w:val="auto"/>
          <w:sz w:val="21"/>
          <w:szCs w:val="21"/>
        </w:rPr>
      </w:pPr>
      <w:r w:rsidRPr="00B750C6">
        <w:rPr>
          <w:color w:val="auto"/>
          <w:sz w:val="21"/>
          <w:szCs w:val="21"/>
        </w:rPr>
        <w:t> </w:t>
      </w:r>
    </w:p>
    <w:p w14:paraId="164B9964" w14:textId="77777777" w:rsidR="00B92F8A" w:rsidRPr="00076076" w:rsidRDefault="00B92F8A" w:rsidP="00B92F8A">
      <w:pPr>
        <w:pStyle w:val="Paragraphedeliste"/>
        <w:numPr>
          <w:ilvl w:val="0"/>
          <w:numId w:val="1"/>
        </w:numPr>
        <w:jc w:val="both"/>
        <w:rPr>
          <w:rFonts w:ascii="Georgia" w:hAnsi="Georgia"/>
          <w:sz w:val="21"/>
          <w:szCs w:val="21"/>
        </w:rPr>
      </w:pPr>
      <w:r w:rsidRPr="00076076">
        <w:rPr>
          <w:rFonts w:ascii="Georgia" w:hAnsi="Georgia"/>
          <w:sz w:val="21"/>
          <w:szCs w:val="21"/>
        </w:rPr>
        <w:t>Question 2.1 : Demande de confirmation </w:t>
      </w:r>
      <w:r w:rsidRPr="00076076">
        <w:rPr>
          <w:rFonts w:ascii="Georgia" w:hAnsi="Georgia"/>
          <w:b/>
          <w:bCs/>
          <w:sz w:val="21"/>
          <w:szCs w:val="21"/>
        </w:rPr>
        <w:t>(et ou d’ajustement en conséquence par rapport à la question 1)</w:t>
      </w:r>
    </w:p>
    <w:p w14:paraId="6D48428E" w14:textId="77777777" w:rsidR="00B92F8A" w:rsidRPr="00B750C6" w:rsidRDefault="00B92F8A" w:rsidP="00B92F8A">
      <w:pPr>
        <w:spacing w:after="160"/>
        <w:jc w:val="both"/>
        <w:rPr>
          <w:color w:val="auto"/>
          <w:sz w:val="21"/>
          <w:szCs w:val="21"/>
        </w:rPr>
      </w:pPr>
      <w:r w:rsidRPr="00B750C6">
        <w:rPr>
          <w:color w:val="auto"/>
          <w:sz w:val="21"/>
          <w:szCs w:val="21"/>
        </w:rPr>
        <w:t>Les Termes de références prévoient la mise à disposition un nombre de tablettes et de motos – véhicules pour la réalisation des collectes de données. Il s’agit selon notre lecture de</w:t>
      </w:r>
    </w:p>
    <w:p w14:paraId="082E2864" w14:textId="77777777" w:rsidR="00B92F8A" w:rsidRPr="00B750C6" w:rsidRDefault="00B92F8A" w:rsidP="00B92F8A">
      <w:pPr>
        <w:numPr>
          <w:ilvl w:val="0"/>
          <w:numId w:val="2"/>
        </w:numPr>
        <w:spacing w:after="160"/>
        <w:jc w:val="both"/>
        <w:rPr>
          <w:color w:val="auto"/>
          <w:sz w:val="21"/>
          <w:szCs w:val="21"/>
        </w:rPr>
      </w:pPr>
      <w:r w:rsidRPr="00B750C6">
        <w:rPr>
          <w:color w:val="auto"/>
          <w:sz w:val="21"/>
          <w:szCs w:val="21"/>
        </w:rPr>
        <w:t>74 x 2 = 148 Tablettes</w:t>
      </w:r>
    </w:p>
    <w:p w14:paraId="6DD03FE5" w14:textId="77777777" w:rsidR="00B92F8A" w:rsidRPr="00B750C6" w:rsidRDefault="00B92F8A" w:rsidP="00B92F8A">
      <w:pPr>
        <w:numPr>
          <w:ilvl w:val="0"/>
          <w:numId w:val="2"/>
        </w:numPr>
        <w:spacing w:after="160"/>
        <w:jc w:val="both"/>
        <w:rPr>
          <w:color w:val="auto"/>
          <w:sz w:val="21"/>
          <w:szCs w:val="21"/>
        </w:rPr>
      </w:pPr>
      <w:r w:rsidRPr="00B750C6">
        <w:rPr>
          <w:color w:val="auto"/>
          <w:sz w:val="21"/>
          <w:szCs w:val="21"/>
        </w:rPr>
        <w:t>74 motos (à raison de deux personnes par motos)</w:t>
      </w:r>
    </w:p>
    <w:p w14:paraId="69301D8A" w14:textId="77777777" w:rsidR="00B92F8A" w:rsidRPr="00B750C6" w:rsidRDefault="00B92F8A" w:rsidP="00B92F8A">
      <w:pPr>
        <w:numPr>
          <w:ilvl w:val="0"/>
          <w:numId w:val="2"/>
        </w:numPr>
        <w:spacing w:after="160"/>
        <w:jc w:val="both"/>
        <w:rPr>
          <w:color w:val="auto"/>
          <w:sz w:val="21"/>
          <w:szCs w:val="21"/>
        </w:rPr>
      </w:pPr>
      <w:r w:rsidRPr="00B750C6">
        <w:rPr>
          <w:color w:val="auto"/>
          <w:sz w:val="21"/>
          <w:szCs w:val="21"/>
        </w:rPr>
        <w:t>Ainsi qu’un véhicule</w:t>
      </w:r>
    </w:p>
    <w:p w14:paraId="75EA1FF4" w14:textId="77777777" w:rsidR="00B92F8A" w:rsidRPr="00076076" w:rsidRDefault="00B92F8A" w:rsidP="00B92F8A">
      <w:pPr>
        <w:jc w:val="both"/>
        <w:rPr>
          <w:color w:val="auto"/>
          <w:sz w:val="21"/>
          <w:szCs w:val="21"/>
        </w:rPr>
      </w:pPr>
      <w:r w:rsidRPr="00B750C6">
        <w:rPr>
          <w:color w:val="auto"/>
          <w:sz w:val="21"/>
          <w:szCs w:val="21"/>
        </w:rPr>
        <w:t>Pouvez-vous nous confirmer la disponibilité de ces équipements pour la réalisation de la mission.</w:t>
      </w:r>
    </w:p>
    <w:p w14:paraId="31D8D844" w14:textId="77777777" w:rsidR="00B92F8A" w:rsidRPr="001D459A" w:rsidRDefault="00B92F8A" w:rsidP="00B92F8A">
      <w:pPr>
        <w:pStyle w:val="Paragraphedeliste"/>
        <w:numPr>
          <w:ilvl w:val="0"/>
          <w:numId w:val="3"/>
        </w:numPr>
        <w:jc w:val="both"/>
        <w:rPr>
          <w:rFonts w:ascii="Georgia" w:hAnsi="Georgia"/>
          <w:sz w:val="21"/>
          <w:szCs w:val="21"/>
          <w:highlight w:val="green"/>
        </w:rPr>
      </w:pPr>
      <w:r w:rsidRPr="00076076">
        <w:rPr>
          <w:rFonts w:ascii="Georgia" w:hAnsi="Georgia"/>
          <w:sz w:val="21"/>
          <w:szCs w:val="21"/>
          <w:highlight w:val="green"/>
        </w:rPr>
        <w:t>En fonction du nombre d’enquêteurs recrutés par le consultant, Enabel mettra à la disposition du consultants, les tablettes</w:t>
      </w:r>
      <w:r w:rsidRPr="001D459A">
        <w:rPr>
          <w:rFonts w:ascii="Georgia" w:hAnsi="Georgia"/>
          <w:sz w:val="21"/>
          <w:szCs w:val="21"/>
          <w:highlight w:val="green"/>
        </w:rPr>
        <w:t xml:space="preserve"> </w:t>
      </w:r>
      <w:r w:rsidRPr="00076076">
        <w:rPr>
          <w:rFonts w:ascii="Georgia" w:hAnsi="Georgia"/>
          <w:sz w:val="21"/>
          <w:szCs w:val="21"/>
          <w:highlight w:val="green"/>
        </w:rPr>
        <w:t xml:space="preserve">pour la collecte des données et les véhicules pour le déplacement pendant la période de collecte des données sur terrain (cette période ne doit pas dépasser 10jours) ;  </w:t>
      </w:r>
    </w:p>
    <w:p w14:paraId="66ED6FA8" w14:textId="77777777" w:rsidR="00B92F8A" w:rsidRPr="00076076" w:rsidRDefault="00B92F8A" w:rsidP="00B92F8A">
      <w:pPr>
        <w:pStyle w:val="Paragraphedeliste"/>
        <w:jc w:val="both"/>
        <w:rPr>
          <w:rFonts w:ascii="Georgia" w:hAnsi="Georgia"/>
          <w:sz w:val="21"/>
          <w:szCs w:val="21"/>
        </w:rPr>
      </w:pPr>
    </w:p>
    <w:p w14:paraId="3DE180C2" w14:textId="77777777" w:rsidR="00B92F8A" w:rsidRPr="00B750C6" w:rsidRDefault="00B92F8A" w:rsidP="00B92F8A">
      <w:pPr>
        <w:spacing w:after="160"/>
        <w:jc w:val="both"/>
        <w:rPr>
          <w:color w:val="auto"/>
          <w:sz w:val="21"/>
          <w:szCs w:val="21"/>
        </w:rPr>
      </w:pPr>
      <w:r w:rsidRPr="00B750C6">
        <w:rPr>
          <w:color w:val="auto"/>
          <w:sz w:val="21"/>
          <w:szCs w:val="21"/>
        </w:rPr>
        <w:t>Pourrons nous proposer une alternative à cette organisation :</w:t>
      </w:r>
    </w:p>
    <w:p w14:paraId="0F156E91" w14:textId="77777777" w:rsidR="00B92F8A" w:rsidRPr="00B750C6" w:rsidRDefault="00B92F8A" w:rsidP="00B92F8A">
      <w:pPr>
        <w:spacing w:after="160"/>
        <w:jc w:val="both"/>
        <w:rPr>
          <w:color w:val="auto"/>
          <w:sz w:val="21"/>
          <w:szCs w:val="21"/>
        </w:rPr>
      </w:pPr>
      <w:r w:rsidRPr="00B750C6">
        <w:rPr>
          <w:color w:val="auto"/>
          <w:sz w:val="21"/>
          <w:szCs w:val="21"/>
        </w:rPr>
        <w:t>Il s’agit de recruter et former 74 personnes dans chaque province seulement pour un travail de terrain de 10 jours. Ce qui représente une charge assez importante et une mobilisation d’une grande équipe pour une période assez courte. Ainsi que l’acquisition de moyens (ou location de moyens) d’une grande ampleur.</w:t>
      </w:r>
    </w:p>
    <w:p w14:paraId="443F6D38" w14:textId="77777777" w:rsidR="00B92F8A" w:rsidRPr="00B750C6" w:rsidRDefault="00B92F8A" w:rsidP="00B92F8A">
      <w:pPr>
        <w:spacing w:after="160"/>
        <w:jc w:val="both"/>
        <w:rPr>
          <w:color w:val="auto"/>
          <w:sz w:val="21"/>
          <w:szCs w:val="21"/>
        </w:rPr>
      </w:pPr>
      <w:r w:rsidRPr="00B750C6">
        <w:rPr>
          <w:color w:val="auto"/>
          <w:sz w:val="21"/>
          <w:szCs w:val="21"/>
        </w:rPr>
        <w:t> </w:t>
      </w:r>
    </w:p>
    <w:p w14:paraId="504DCE31" w14:textId="77777777" w:rsidR="00B92F8A" w:rsidRPr="00B750C6" w:rsidRDefault="00B92F8A" w:rsidP="00B92F8A">
      <w:pPr>
        <w:spacing w:after="160"/>
        <w:jc w:val="both"/>
        <w:rPr>
          <w:color w:val="auto"/>
          <w:sz w:val="21"/>
          <w:szCs w:val="21"/>
        </w:rPr>
      </w:pPr>
      <w:r w:rsidRPr="00B750C6">
        <w:rPr>
          <w:color w:val="auto"/>
          <w:sz w:val="21"/>
          <w:szCs w:val="21"/>
        </w:rPr>
        <w:t>Question 2.2 : Possibilité d’alternative</w:t>
      </w:r>
    </w:p>
    <w:p w14:paraId="53EC0744" w14:textId="77777777" w:rsidR="00B92F8A" w:rsidRPr="00076076" w:rsidRDefault="00B92F8A" w:rsidP="00B92F8A">
      <w:pPr>
        <w:jc w:val="both"/>
        <w:rPr>
          <w:color w:val="auto"/>
          <w:sz w:val="21"/>
          <w:szCs w:val="21"/>
        </w:rPr>
      </w:pPr>
      <w:r w:rsidRPr="00B750C6">
        <w:rPr>
          <w:color w:val="auto"/>
          <w:sz w:val="21"/>
          <w:szCs w:val="21"/>
        </w:rPr>
        <w:t>Une alternative permettra de rallonger la période de collecte et de maximiser – optimiser les ressources mise à disposition tout en capitalisant sur le personnel de terrain pour l’intéresser (un travail de 10 jours n’intéressera pas beaucoup de monde). On souhaite passer de 10 jours à 30 jours. Cela prendra en considération les distances à parcourir et le temps perdu entre les villages et les territoires.</w:t>
      </w:r>
    </w:p>
    <w:p w14:paraId="20DF90E6" w14:textId="77777777" w:rsidR="00B92F8A" w:rsidRPr="00076076" w:rsidRDefault="00B92F8A" w:rsidP="00B92F8A">
      <w:pPr>
        <w:pStyle w:val="Paragraphedeliste"/>
        <w:numPr>
          <w:ilvl w:val="0"/>
          <w:numId w:val="3"/>
        </w:numPr>
        <w:jc w:val="both"/>
        <w:rPr>
          <w:rFonts w:ascii="Georgia" w:hAnsi="Georgia"/>
          <w:sz w:val="21"/>
          <w:szCs w:val="21"/>
          <w:highlight w:val="green"/>
        </w:rPr>
      </w:pPr>
      <w:r w:rsidRPr="00076076">
        <w:rPr>
          <w:rFonts w:ascii="Georgia" w:hAnsi="Georgia"/>
          <w:sz w:val="21"/>
          <w:szCs w:val="21"/>
          <w:highlight w:val="green"/>
        </w:rPr>
        <w:t>Les services doivent être exécutés dans un délai de 60 jours calendrier à compter du jour qui suit celui où le prestataire de services a reçu la notification de la conclusion du marché.</w:t>
      </w:r>
    </w:p>
    <w:p w14:paraId="3BC68F30" w14:textId="77777777" w:rsidR="00B92F8A" w:rsidRPr="00076076" w:rsidRDefault="00B92F8A" w:rsidP="00B92F8A">
      <w:pPr>
        <w:pStyle w:val="Paragraphedeliste"/>
        <w:jc w:val="both"/>
        <w:rPr>
          <w:rFonts w:ascii="Georgia" w:hAnsi="Georgia"/>
          <w:sz w:val="21"/>
          <w:szCs w:val="21"/>
          <w:highlight w:val="green"/>
        </w:rPr>
      </w:pPr>
      <w:r w:rsidRPr="00076076">
        <w:rPr>
          <w:rFonts w:ascii="Georgia" w:hAnsi="Georgia"/>
          <w:sz w:val="21"/>
          <w:szCs w:val="21"/>
          <w:highlight w:val="green"/>
        </w:rPr>
        <w:t>Donc 10 jours pour la réalisation de cette enquête suffisent</w:t>
      </w:r>
    </w:p>
    <w:p w14:paraId="4B6FF0CA" w14:textId="77777777" w:rsidR="00B92F8A" w:rsidRPr="00B750C6" w:rsidRDefault="00B92F8A" w:rsidP="00B92F8A">
      <w:pPr>
        <w:spacing w:after="160"/>
        <w:jc w:val="both"/>
        <w:rPr>
          <w:color w:val="auto"/>
          <w:sz w:val="21"/>
          <w:szCs w:val="21"/>
        </w:rPr>
      </w:pPr>
      <w:r w:rsidRPr="00B750C6">
        <w:rPr>
          <w:color w:val="auto"/>
          <w:sz w:val="21"/>
          <w:szCs w:val="21"/>
        </w:rPr>
        <w:t> </w:t>
      </w:r>
    </w:p>
    <w:p w14:paraId="207552BF" w14:textId="77777777" w:rsidR="00B92F8A" w:rsidRPr="00B750C6" w:rsidRDefault="00B92F8A" w:rsidP="00B92F8A">
      <w:pPr>
        <w:spacing w:after="160"/>
        <w:jc w:val="both"/>
        <w:rPr>
          <w:color w:val="auto"/>
          <w:sz w:val="21"/>
          <w:szCs w:val="21"/>
        </w:rPr>
      </w:pPr>
      <w:r w:rsidRPr="00B750C6">
        <w:rPr>
          <w:color w:val="auto"/>
          <w:sz w:val="21"/>
          <w:szCs w:val="21"/>
        </w:rPr>
        <w:t>Question 2.3 : Taille de l’échantillon à enquêter</w:t>
      </w:r>
    </w:p>
    <w:p w14:paraId="4FF4294D" w14:textId="77777777" w:rsidR="00B92F8A" w:rsidRPr="00B750C6" w:rsidRDefault="00B92F8A" w:rsidP="00B92F8A">
      <w:pPr>
        <w:spacing w:after="160"/>
        <w:jc w:val="both"/>
        <w:rPr>
          <w:color w:val="auto"/>
          <w:sz w:val="21"/>
          <w:szCs w:val="21"/>
        </w:rPr>
      </w:pPr>
      <w:r w:rsidRPr="00B750C6">
        <w:rPr>
          <w:color w:val="auto"/>
          <w:sz w:val="21"/>
          <w:szCs w:val="21"/>
        </w:rPr>
        <w:t>La taille de l’échantillon à enquêter n’est pas connue à ce stade. Le Consultant pourrait-il faire une proposition d’échantillon raisonner afin que sa proposition technique et financières soient en cohérence pour éviter les risques dans la mise en œuvre de la mission. Bien sûre l’échantillon couvrira l’ensemble des acteurs des filières prioritaires et porteuses ainsi que les acteurs publics. Cette collecte de données sera qualitative et quantitative afin de faire ressortir tous les aspects nécessaires à la mise en place du plan d’action priorisée avec les indicateurs de suivi-évaluation pour l’implémentation des futurs investissements qui seront identifiés.</w:t>
      </w:r>
    </w:p>
    <w:p w14:paraId="64E1467D" w14:textId="77777777" w:rsidR="00B92F8A" w:rsidRPr="00076076" w:rsidRDefault="00B92F8A" w:rsidP="00B92F8A">
      <w:pPr>
        <w:jc w:val="both"/>
        <w:rPr>
          <w:color w:val="auto"/>
          <w:sz w:val="21"/>
          <w:szCs w:val="21"/>
        </w:rPr>
      </w:pPr>
      <w:r w:rsidRPr="00B750C6">
        <w:rPr>
          <w:color w:val="auto"/>
          <w:sz w:val="21"/>
          <w:szCs w:val="21"/>
        </w:rPr>
        <w:t>Pourriez-vous nous confirmer cette orientation.</w:t>
      </w:r>
    </w:p>
    <w:p w14:paraId="315A093F" w14:textId="77777777" w:rsidR="00B92F8A" w:rsidRPr="00076076" w:rsidRDefault="00B92F8A" w:rsidP="00B92F8A">
      <w:pPr>
        <w:pStyle w:val="Paragraphedeliste"/>
        <w:numPr>
          <w:ilvl w:val="0"/>
          <w:numId w:val="3"/>
        </w:numPr>
        <w:jc w:val="both"/>
        <w:rPr>
          <w:rFonts w:ascii="Georgia" w:hAnsi="Georgia"/>
          <w:sz w:val="21"/>
          <w:szCs w:val="21"/>
          <w:highlight w:val="green"/>
        </w:rPr>
      </w:pPr>
      <w:r w:rsidRPr="00076076">
        <w:rPr>
          <w:rFonts w:ascii="Georgia" w:hAnsi="Georgia"/>
          <w:sz w:val="21"/>
          <w:szCs w:val="21"/>
          <w:highlight w:val="green"/>
        </w:rPr>
        <w:t xml:space="preserve">Oui, nous confirmons que l’échantillonnages doit ressortir de la méthodologie proposée. </w:t>
      </w:r>
    </w:p>
    <w:p w14:paraId="66217593" w14:textId="77777777" w:rsidR="00B92F8A" w:rsidRPr="00076076" w:rsidRDefault="00B92F8A" w:rsidP="00B92F8A">
      <w:pPr>
        <w:pStyle w:val="Paragraphedeliste"/>
        <w:jc w:val="both"/>
        <w:rPr>
          <w:rFonts w:ascii="Georgia" w:hAnsi="Georgia"/>
          <w:sz w:val="21"/>
          <w:szCs w:val="21"/>
          <w:highlight w:val="green"/>
        </w:rPr>
      </w:pPr>
    </w:p>
    <w:p w14:paraId="2CA87161" w14:textId="77777777" w:rsidR="00B92F8A" w:rsidRPr="00076076" w:rsidRDefault="00B92F8A" w:rsidP="00B92F8A">
      <w:pPr>
        <w:pStyle w:val="Paragraphedeliste"/>
        <w:numPr>
          <w:ilvl w:val="0"/>
          <w:numId w:val="1"/>
        </w:numPr>
        <w:jc w:val="both"/>
        <w:rPr>
          <w:rFonts w:ascii="Georgia" w:hAnsi="Georgia"/>
          <w:sz w:val="21"/>
          <w:szCs w:val="21"/>
        </w:rPr>
      </w:pPr>
      <w:r w:rsidRPr="00076076">
        <w:rPr>
          <w:rFonts w:ascii="Georgia" w:hAnsi="Georgia"/>
          <w:b/>
          <w:bCs/>
          <w:sz w:val="21"/>
          <w:szCs w:val="21"/>
          <w:u w:val="single"/>
        </w:rPr>
        <w:t xml:space="preserve">Réunion préparatoire :  </w:t>
      </w:r>
      <w:r w:rsidRPr="00B750C6">
        <w:rPr>
          <w:rFonts w:ascii="Georgia" w:hAnsi="Georgia"/>
          <w:sz w:val="21"/>
          <w:szCs w:val="21"/>
        </w:rPr>
        <w:t>Pourrions-nous demander une réunion préparatoire et d’information relative à ce dossier. Nous sommes fortement intéressées de présenter une proposition technique et financière qui correspond aux besoins du dossier et capables d’atteindre les objectifs à travers notre expertise et connaissance du terrain.</w:t>
      </w:r>
    </w:p>
    <w:p w14:paraId="55125C12" w14:textId="77777777" w:rsidR="00B92F8A" w:rsidRPr="00076076" w:rsidRDefault="00B92F8A" w:rsidP="00B92F8A">
      <w:pPr>
        <w:pStyle w:val="Paragraphedeliste"/>
        <w:numPr>
          <w:ilvl w:val="0"/>
          <w:numId w:val="3"/>
        </w:numPr>
        <w:jc w:val="both"/>
        <w:rPr>
          <w:rFonts w:ascii="Georgia" w:hAnsi="Georgia"/>
          <w:sz w:val="21"/>
          <w:szCs w:val="21"/>
          <w:highlight w:val="green"/>
        </w:rPr>
      </w:pPr>
      <w:r w:rsidRPr="00076076">
        <w:rPr>
          <w:rFonts w:ascii="Georgia" w:hAnsi="Georgia"/>
          <w:sz w:val="21"/>
          <w:szCs w:val="21"/>
          <w:highlight w:val="green"/>
        </w:rPr>
        <w:t xml:space="preserve">La réunion d’information n’est pas prévue et nous estimons qu’elle n’est pas nécessaire, mais si vous avez d’autres questions, vous pouvez toujours les poser nous allons y répondre. </w:t>
      </w:r>
    </w:p>
    <w:p w14:paraId="3C630378" w14:textId="77777777" w:rsidR="00B92F8A" w:rsidRPr="00076076" w:rsidRDefault="00B92F8A" w:rsidP="00B92F8A">
      <w:pPr>
        <w:pStyle w:val="Paragraphedeliste"/>
        <w:numPr>
          <w:ilvl w:val="0"/>
          <w:numId w:val="1"/>
        </w:numPr>
        <w:jc w:val="both"/>
        <w:rPr>
          <w:rFonts w:ascii="Georgia" w:hAnsi="Georgia"/>
          <w:sz w:val="21"/>
          <w:szCs w:val="21"/>
        </w:rPr>
      </w:pPr>
      <w:r w:rsidRPr="00076076">
        <w:rPr>
          <w:rFonts w:ascii="Georgia" w:hAnsi="Georgia"/>
          <w:b/>
          <w:bCs/>
          <w:sz w:val="21"/>
          <w:szCs w:val="21"/>
          <w:u w:val="single"/>
        </w:rPr>
        <w:t xml:space="preserve"> Aspects infrastructures et ouvrages de franchissement</w:t>
      </w:r>
    </w:p>
    <w:p w14:paraId="3D88DFC5" w14:textId="77777777" w:rsidR="00B92F8A" w:rsidRPr="00076076" w:rsidRDefault="00B92F8A" w:rsidP="00B92F8A">
      <w:pPr>
        <w:jc w:val="both"/>
        <w:rPr>
          <w:color w:val="auto"/>
          <w:sz w:val="21"/>
          <w:szCs w:val="21"/>
        </w:rPr>
      </w:pPr>
      <w:r w:rsidRPr="00B750C6">
        <w:rPr>
          <w:color w:val="auto"/>
          <w:sz w:val="21"/>
          <w:szCs w:val="21"/>
        </w:rPr>
        <w:t>Les TDR prévoient un ensemble de mesures de manière explicites et implicites, nous suggérons également de prendre en considération la problématique des voies d’accès et routes ainsi que les ouvrages de franchissements qui constituent parfois un problème majeur dans l’isolement des bassins de production. Cette problématique pourra être traitée à travers une identification des routes prioritaires et des ouvrages prioritaires avec prise des points GPS + photos des ouvrages au moyens des tablettes … .</w:t>
      </w:r>
    </w:p>
    <w:p w14:paraId="46FD65DA" w14:textId="77777777" w:rsidR="00B92F8A" w:rsidRPr="00076076" w:rsidRDefault="00B92F8A" w:rsidP="00B92F8A">
      <w:pPr>
        <w:pStyle w:val="Paragraphedeliste"/>
        <w:numPr>
          <w:ilvl w:val="0"/>
          <w:numId w:val="3"/>
        </w:numPr>
        <w:jc w:val="both"/>
        <w:rPr>
          <w:rFonts w:ascii="Georgia" w:hAnsi="Georgia"/>
          <w:sz w:val="21"/>
          <w:szCs w:val="21"/>
          <w:highlight w:val="green"/>
        </w:rPr>
      </w:pPr>
      <w:r w:rsidRPr="00076076">
        <w:rPr>
          <w:rFonts w:ascii="Georgia" w:hAnsi="Georgia"/>
          <w:sz w:val="21"/>
          <w:szCs w:val="21"/>
          <w:highlight w:val="green"/>
        </w:rPr>
        <w:t>L’analyse des filières doit faire ressortir tous ces aspects évoqués</w:t>
      </w:r>
    </w:p>
    <w:p w14:paraId="02393B82" w14:textId="77777777" w:rsidR="00B92F8A" w:rsidRPr="00076076" w:rsidRDefault="00B92F8A" w:rsidP="00B92F8A">
      <w:pPr>
        <w:jc w:val="both"/>
        <w:rPr>
          <w:color w:val="auto"/>
          <w:sz w:val="21"/>
          <w:szCs w:val="21"/>
        </w:rPr>
      </w:pPr>
      <w:r w:rsidRPr="00B750C6">
        <w:rPr>
          <w:color w:val="auto"/>
          <w:sz w:val="21"/>
          <w:szCs w:val="21"/>
        </w:rPr>
        <w:t> </w:t>
      </w:r>
    </w:p>
    <w:p w14:paraId="68AC9F80" w14:textId="77777777" w:rsidR="00B92F8A" w:rsidRPr="00076076" w:rsidRDefault="00B92F8A" w:rsidP="00B92F8A">
      <w:pPr>
        <w:pStyle w:val="Paragraphedeliste"/>
        <w:numPr>
          <w:ilvl w:val="0"/>
          <w:numId w:val="1"/>
        </w:numPr>
        <w:jc w:val="both"/>
        <w:rPr>
          <w:rFonts w:ascii="Georgia" w:hAnsi="Georgia"/>
          <w:sz w:val="21"/>
          <w:szCs w:val="21"/>
        </w:rPr>
      </w:pPr>
      <w:r w:rsidRPr="00076076">
        <w:rPr>
          <w:rFonts w:ascii="Georgia" w:hAnsi="Georgia"/>
          <w:sz w:val="21"/>
          <w:szCs w:val="21"/>
        </w:rPr>
        <w:t>Les soumissions sont-elles ouvertes "aux groupements de bureaux d'études"?</w:t>
      </w:r>
    </w:p>
    <w:p w14:paraId="416FD0F6" w14:textId="77777777" w:rsidR="00B92F8A" w:rsidRPr="00076076" w:rsidRDefault="00B92F8A" w:rsidP="00B92F8A">
      <w:pPr>
        <w:pStyle w:val="Paragraphedeliste"/>
        <w:jc w:val="both"/>
        <w:rPr>
          <w:rFonts w:ascii="Georgia" w:hAnsi="Georgia"/>
          <w:sz w:val="21"/>
          <w:szCs w:val="21"/>
        </w:rPr>
      </w:pPr>
    </w:p>
    <w:p w14:paraId="79B04794" w14:textId="77777777" w:rsidR="00B92F8A" w:rsidRPr="00076076" w:rsidRDefault="00B92F8A" w:rsidP="00B92F8A">
      <w:pPr>
        <w:pStyle w:val="Paragraphedeliste"/>
        <w:numPr>
          <w:ilvl w:val="0"/>
          <w:numId w:val="3"/>
        </w:numPr>
        <w:jc w:val="both"/>
        <w:rPr>
          <w:rFonts w:ascii="Georgia" w:hAnsi="Georgia"/>
          <w:sz w:val="21"/>
          <w:szCs w:val="21"/>
          <w:highlight w:val="green"/>
        </w:rPr>
      </w:pPr>
      <w:r w:rsidRPr="00076076">
        <w:rPr>
          <w:rFonts w:ascii="Georgia" w:hAnsi="Georgia"/>
          <w:sz w:val="21"/>
          <w:szCs w:val="21"/>
          <w:highlight w:val="green"/>
        </w:rPr>
        <w:t xml:space="preserve">Oui, nous recherchons deux consultants ou un cabinet avec deux consultants (un chef de mission et un assistant chef de mission). Donc les Bureaux d’études peuvent se mettre ensemble et proposer les consultants. </w:t>
      </w:r>
    </w:p>
    <w:sectPr w:rsidR="00B92F8A" w:rsidRPr="00076076" w:rsidSect="00742DDE">
      <w:headerReference w:type="default" r:id="rId13"/>
      <w:footerReference w:type="default" r:id="rId14"/>
      <w:headerReference w:type="first" r:id="rId15"/>
      <w:footerReference w:type="first" r:id="rId16"/>
      <w:type w:val="continuous"/>
      <w:pgSz w:w="11906" w:h="16838" w:code="9"/>
      <w:pgMar w:top="2269" w:right="1559" w:bottom="1560" w:left="1843"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794882" w14:textId="77777777" w:rsidR="001617C4" w:rsidRDefault="001617C4" w:rsidP="00742DDE">
      <w:r>
        <w:separator/>
      </w:r>
    </w:p>
  </w:endnote>
  <w:endnote w:type="continuationSeparator" w:id="0">
    <w:p w14:paraId="205489C0" w14:textId="77777777" w:rsidR="001617C4" w:rsidRDefault="001617C4" w:rsidP="00742D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altName w:val="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FA7DBC" w14:textId="5C43329B" w:rsidR="00B82149" w:rsidRDefault="00B92F8A" w:rsidP="00FA099F">
    <w:pPr>
      <w:pStyle w:val="Pieddepage"/>
      <w:jc w:val="right"/>
    </w:pPr>
    <w:r>
      <w:rPr>
        <w:noProof/>
      </w:rPr>
      <mc:AlternateContent>
        <mc:Choice Requires="wps">
          <w:drawing>
            <wp:anchor distT="45720" distB="45720" distL="114300" distR="114300" simplePos="0" relativeHeight="251658240" behindDoc="1" locked="0" layoutInCell="1" allowOverlap="1" wp14:anchorId="08FA7DC2" wp14:editId="5711ADBE">
              <wp:simplePos x="0" y="0"/>
              <wp:positionH relativeFrom="margin">
                <wp:posOffset>86995</wp:posOffset>
              </wp:positionH>
              <wp:positionV relativeFrom="page">
                <wp:posOffset>9817100</wp:posOffset>
              </wp:positionV>
              <wp:extent cx="5013960" cy="675640"/>
              <wp:effectExtent l="1270" t="0" r="4445" b="3810"/>
              <wp:wrapNone/>
              <wp:docPr id="1642701274"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3960" cy="675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FA7DC5" w14:textId="77777777" w:rsidR="00126C92" w:rsidRPr="00126C92" w:rsidRDefault="00126C92" w:rsidP="00FA099F">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08FA7DC6" w14:textId="77777777" w:rsidR="00126C92" w:rsidRPr="00126C92" w:rsidRDefault="00126C92" w:rsidP="00FA099F">
                          <w:pPr>
                            <w:pStyle w:val="Basdepage"/>
                          </w:pPr>
                          <w:r w:rsidRPr="00126C92">
                            <w:t xml:space="preserve">Rue Haute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005E6B45">
                            <w:rPr>
                              <w:color w:val="EC0308"/>
                            </w:rPr>
                            <w:t xml:space="preserve">• </w:t>
                          </w:r>
                          <w:r w:rsidRPr="00126C92">
                            <w:t>enabel.be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8FA7DC2" id="_x0000_t202" coordsize="21600,21600" o:spt="202" path="m,l,21600r21600,l21600,xe">
              <v:stroke joinstyle="miter"/>
              <v:path gradientshapeok="t" o:connecttype="rect"/>
            </v:shapetype>
            <v:shape id="Zone de texte 3" o:spid="_x0000_s1026" type="#_x0000_t202" style="position:absolute;left:0;text-align:left;margin-left:6.85pt;margin-top:773pt;width:394.8pt;height:53.2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" stroked="f">
              <v:textbox>
                <w:txbxContent>
                  <w:p w14:paraId="08FA7DC5" w14:textId="77777777" w:rsidR="00126C92" w:rsidRPr="00126C92" w:rsidRDefault="00126C92" w:rsidP="00FA099F">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08FA7DC6" w14:textId="77777777" w:rsidR="00126C92" w:rsidRPr="00126C92" w:rsidRDefault="00126C92" w:rsidP="00FA099F">
                    <w:pPr>
                      <w:pStyle w:val="Basdepage"/>
                    </w:pPr>
                    <w:r w:rsidRPr="00126C92">
                      <w:t xml:space="preserve">Rue Haute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005E6B45">
                      <w:rPr>
                        <w:color w:val="EC0308"/>
                      </w:rPr>
                      <w:t xml:space="preserve">• </w:t>
                    </w:r>
                    <w:r w:rsidRPr="00126C92">
                      <w:t>enabel.be</w:t>
                    </w:r>
                  </w:p>
                </w:txbxContent>
              </v:textbox>
              <w10:wrap anchorx="margin" anchory="page"/>
            </v:shape>
          </w:pict>
        </mc:Fallback>
      </mc:AlternateContent>
    </w:r>
    <w:r w:rsidR="00B82149">
      <w:fldChar w:fldCharType="begin"/>
    </w:r>
    <w:r w:rsidR="00B82149">
      <w:instrText>PAGE   \* MERGEFORMAT</w:instrText>
    </w:r>
    <w:r w:rsidR="00B82149">
      <w:fldChar w:fldCharType="separate"/>
    </w:r>
    <w:r w:rsidR="00CB408A">
      <w:rPr>
        <w:noProof/>
      </w:rPr>
      <w:t>2</w:t>
    </w:r>
    <w:r w:rsidR="00B82149">
      <w:fldChar w:fldCharType="end"/>
    </w:r>
  </w:p>
  <w:p w14:paraId="08FA7DBD" w14:textId="77777777" w:rsidR="00B82149" w:rsidRDefault="005E6B45" w:rsidP="005E6B45">
    <w:pPr>
      <w:pStyle w:val="Pieddepage"/>
      <w:tabs>
        <w:tab w:val="clear" w:pos="4536"/>
        <w:tab w:val="clear" w:pos="9072"/>
        <w:tab w:val="left" w:pos="5328"/>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FA7DBF" w14:textId="78A86ED2" w:rsidR="004A0298" w:rsidRDefault="00B92F8A">
    <w:pPr>
      <w:pStyle w:val="Pieddepage"/>
      <w:jc w:val="right"/>
    </w:pPr>
    <w:r>
      <w:rPr>
        <w:noProof/>
      </w:rPr>
      <mc:AlternateContent>
        <mc:Choice Requires="wps">
          <w:drawing>
            <wp:anchor distT="45720" distB="45720" distL="114300" distR="114300" simplePos="0" relativeHeight="251659264" behindDoc="1" locked="0" layoutInCell="1" allowOverlap="1" wp14:anchorId="08FA7DC4" wp14:editId="52C55DB3">
              <wp:simplePos x="0" y="0"/>
              <wp:positionH relativeFrom="margin">
                <wp:posOffset>86995</wp:posOffset>
              </wp:positionH>
              <wp:positionV relativeFrom="page">
                <wp:posOffset>9814560</wp:posOffset>
              </wp:positionV>
              <wp:extent cx="5052060" cy="670560"/>
              <wp:effectExtent l="1270" t="3810" r="4445" b="1905"/>
              <wp:wrapNone/>
              <wp:docPr id="286496437" name="Zone de texte 3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2060" cy="6705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FA7DC7" w14:textId="77777777" w:rsidR="00FA099F" w:rsidRPr="00126C92" w:rsidRDefault="00FA099F" w:rsidP="00FA099F">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08FA7DC8" w14:textId="77777777" w:rsidR="00FA099F" w:rsidRPr="00126C92" w:rsidRDefault="00FA099F" w:rsidP="00FA099F">
                          <w:pPr>
                            <w:pStyle w:val="Basdepage"/>
                          </w:pPr>
                          <w:r w:rsidRPr="00126C92">
                            <w:t xml:space="preserve">Rue Haute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8FA7DC4" id="_x0000_t202" coordsize="21600,21600" o:spt="202" path="m,l,21600r21600,l21600,xe">
              <v:stroke joinstyle="miter"/>
              <v:path gradientshapeok="t" o:connecttype="rect"/>
            </v:shapetype>
            <v:shape id="Zone de texte 310" o:spid="_x0000_s1027" type="#_x0000_t202" style="position:absolute;left:0;text-align:left;margin-left:6.85pt;margin-top:772.8pt;width:397.8pt;height:52.8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" stroked="f">
              <v:textbox>
                <w:txbxContent>
                  <w:p w14:paraId="08FA7DC7" w14:textId="77777777" w:rsidR="00FA099F" w:rsidRPr="00126C92" w:rsidRDefault="00FA099F" w:rsidP="00FA099F">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08FA7DC8" w14:textId="77777777" w:rsidR="00FA099F" w:rsidRPr="00126C92" w:rsidRDefault="00FA099F" w:rsidP="00FA099F">
                    <w:pPr>
                      <w:pStyle w:val="Basdepage"/>
                    </w:pPr>
                    <w:r w:rsidRPr="00126C92">
                      <w:t xml:space="preserve">Rue Haute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mc:Fallback>
      </mc:AlternateContent>
    </w:r>
    <w:r w:rsidR="004A0298">
      <w:fldChar w:fldCharType="begin"/>
    </w:r>
    <w:r w:rsidR="004A0298">
      <w:instrText>PAGE   \* MERGEFORMAT</w:instrText>
    </w:r>
    <w:r w:rsidR="004A0298">
      <w:fldChar w:fldCharType="separate"/>
    </w:r>
    <w:r w:rsidR="00CB408A">
      <w:rPr>
        <w:noProof/>
      </w:rPr>
      <w:t>1</w:t>
    </w:r>
    <w:r w:rsidR="004A0298">
      <w:fldChar w:fldCharType="end"/>
    </w:r>
  </w:p>
  <w:p w14:paraId="08FA7DC0" w14:textId="77777777" w:rsidR="000900CC" w:rsidRDefault="000900CC" w:rsidP="00742DD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5AF7A3" w14:textId="77777777" w:rsidR="001617C4" w:rsidRDefault="001617C4" w:rsidP="00742DDE">
      <w:r>
        <w:separator/>
      </w:r>
    </w:p>
  </w:footnote>
  <w:footnote w:type="continuationSeparator" w:id="0">
    <w:p w14:paraId="4F100313" w14:textId="77777777" w:rsidR="001617C4" w:rsidRDefault="001617C4" w:rsidP="00742D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FA7DBB" w14:textId="7CEB622E" w:rsidR="00B82149" w:rsidRDefault="00B92F8A" w:rsidP="00742DDE">
    <w:pPr>
      <w:pStyle w:val="En-tte"/>
    </w:pPr>
    <w:r>
      <w:rPr>
        <w:noProof/>
      </w:rPr>
      <w:drawing>
        <wp:anchor distT="0" distB="0" distL="114300" distR="114300" simplePos="0" relativeHeight="251657216" behindDoc="1" locked="0" layoutInCell="1" allowOverlap="1" wp14:anchorId="08FA7DC1" wp14:editId="707CC055">
          <wp:simplePos x="0" y="0"/>
          <wp:positionH relativeFrom="page">
            <wp:posOffset>13970</wp:posOffset>
          </wp:positionH>
          <wp:positionV relativeFrom="paragraph">
            <wp:posOffset>-437515</wp:posOffset>
          </wp:positionV>
          <wp:extent cx="7533005" cy="10655300"/>
          <wp:effectExtent l="0" t="0" r="0" b="0"/>
          <wp:wrapNone/>
          <wp:docPr id="4"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33005" cy="106553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FA7DBE" w14:textId="1B7DF437" w:rsidR="00B82149" w:rsidRDefault="00B92F8A" w:rsidP="00742DDE">
    <w:pPr>
      <w:pStyle w:val="En-tte"/>
    </w:pPr>
    <w:r>
      <w:rPr>
        <w:noProof/>
      </w:rPr>
      <w:drawing>
        <wp:anchor distT="0" distB="0" distL="114300" distR="114300" simplePos="0" relativeHeight="251656192" behindDoc="1" locked="0" layoutInCell="1" allowOverlap="1" wp14:anchorId="08FA7DC3" wp14:editId="74FCA61F">
          <wp:simplePos x="0" y="0"/>
          <wp:positionH relativeFrom="page">
            <wp:posOffset>0</wp:posOffset>
          </wp:positionH>
          <wp:positionV relativeFrom="page">
            <wp:posOffset>6350</wp:posOffset>
          </wp:positionV>
          <wp:extent cx="7541260" cy="10678795"/>
          <wp:effectExtent l="0" t="0" r="0" b="0"/>
          <wp:wrapNone/>
          <wp:docPr id="1"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1260" cy="1067879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1650F4"/>
    <w:multiLevelType w:val="multilevel"/>
    <w:tmpl w:val="F2E6E2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7A176F1"/>
    <w:multiLevelType w:val="hybridMultilevel"/>
    <w:tmpl w:val="27460A74"/>
    <w:lvl w:ilvl="0" w:tplc="51106CE0">
      <w:start w:val="30"/>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6153759B"/>
    <w:multiLevelType w:val="multilevel"/>
    <w:tmpl w:val="3934C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66829684">
    <w:abstractNumId w:val="0"/>
  </w:num>
  <w:num w:numId="2" w16cid:durableId="471212061">
    <w:abstractNumId w:val="2"/>
  </w:num>
  <w:num w:numId="3" w16cid:durableId="20137964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documentProtection w:edit="forms" w:enforcement="0"/>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8CB"/>
    <w:rsid w:val="00000918"/>
    <w:rsid w:val="000238D1"/>
    <w:rsid w:val="00041A53"/>
    <w:rsid w:val="0004250C"/>
    <w:rsid w:val="000900CC"/>
    <w:rsid w:val="000D7711"/>
    <w:rsid w:val="000F3529"/>
    <w:rsid w:val="00122201"/>
    <w:rsid w:val="00126C92"/>
    <w:rsid w:val="001617C4"/>
    <w:rsid w:val="001B533A"/>
    <w:rsid w:val="001B65D3"/>
    <w:rsid w:val="001D3007"/>
    <w:rsid w:val="001F324A"/>
    <w:rsid w:val="002162CD"/>
    <w:rsid w:val="002417A6"/>
    <w:rsid w:val="00250AE0"/>
    <w:rsid w:val="0032402B"/>
    <w:rsid w:val="00332B83"/>
    <w:rsid w:val="00394BB9"/>
    <w:rsid w:val="003C7C7F"/>
    <w:rsid w:val="003F7957"/>
    <w:rsid w:val="0040043D"/>
    <w:rsid w:val="00463C2A"/>
    <w:rsid w:val="004A0298"/>
    <w:rsid w:val="004A0B51"/>
    <w:rsid w:val="004D404D"/>
    <w:rsid w:val="00516435"/>
    <w:rsid w:val="005346EA"/>
    <w:rsid w:val="005458AE"/>
    <w:rsid w:val="0057628F"/>
    <w:rsid w:val="005E6B45"/>
    <w:rsid w:val="005F35D1"/>
    <w:rsid w:val="00607F6B"/>
    <w:rsid w:val="00667FC7"/>
    <w:rsid w:val="00671708"/>
    <w:rsid w:val="00680638"/>
    <w:rsid w:val="006E6F4D"/>
    <w:rsid w:val="006F12BF"/>
    <w:rsid w:val="0074115A"/>
    <w:rsid w:val="00742DDE"/>
    <w:rsid w:val="00743F94"/>
    <w:rsid w:val="007462E6"/>
    <w:rsid w:val="007641D3"/>
    <w:rsid w:val="00796BBD"/>
    <w:rsid w:val="007D217B"/>
    <w:rsid w:val="007E6323"/>
    <w:rsid w:val="007F3A59"/>
    <w:rsid w:val="00814C1C"/>
    <w:rsid w:val="008441AE"/>
    <w:rsid w:val="0088740E"/>
    <w:rsid w:val="008C5350"/>
    <w:rsid w:val="008D061C"/>
    <w:rsid w:val="0092718A"/>
    <w:rsid w:val="00954169"/>
    <w:rsid w:val="00957506"/>
    <w:rsid w:val="009629B6"/>
    <w:rsid w:val="009D5685"/>
    <w:rsid w:val="009E116F"/>
    <w:rsid w:val="009F085E"/>
    <w:rsid w:val="00A11F89"/>
    <w:rsid w:val="00A704FD"/>
    <w:rsid w:val="00AA2B85"/>
    <w:rsid w:val="00AB54B8"/>
    <w:rsid w:val="00B43FBD"/>
    <w:rsid w:val="00B614A8"/>
    <w:rsid w:val="00B82149"/>
    <w:rsid w:val="00B92F8A"/>
    <w:rsid w:val="00C0192F"/>
    <w:rsid w:val="00C47171"/>
    <w:rsid w:val="00C734B6"/>
    <w:rsid w:val="00C76972"/>
    <w:rsid w:val="00CB408A"/>
    <w:rsid w:val="00CD07AC"/>
    <w:rsid w:val="00CD7AF5"/>
    <w:rsid w:val="00CF1431"/>
    <w:rsid w:val="00CF2C24"/>
    <w:rsid w:val="00CF5922"/>
    <w:rsid w:val="00D04028"/>
    <w:rsid w:val="00D1359F"/>
    <w:rsid w:val="00E3673D"/>
    <w:rsid w:val="00E8241A"/>
    <w:rsid w:val="00EA58CB"/>
    <w:rsid w:val="00EC1761"/>
    <w:rsid w:val="00EC3839"/>
    <w:rsid w:val="00F20FEB"/>
    <w:rsid w:val="00F407C3"/>
    <w:rsid w:val="00F40FA6"/>
    <w:rsid w:val="00F52533"/>
    <w:rsid w:val="00FA099F"/>
    <w:rsid w:val="00FA1094"/>
    <w:rsid w:val="00FA4558"/>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FA7D88"/>
  <w15:docId w15:val="{8C0F9E92-B0C8-43F9-B0B0-4FE321A3C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6B45"/>
    <w:pPr>
      <w:spacing w:line="259" w:lineRule="auto"/>
    </w:pPr>
    <w:rPr>
      <w:rFonts w:ascii="Georgia" w:hAnsi="Georgia"/>
      <w:color w:val="585756"/>
      <w:lang w:val="fr-FR" w:eastAsia="en-US"/>
    </w:rPr>
  </w:style>
  <w:style w:type="paragraph" w:styleId="Titre1">
    <w:name w:val="heading 1"/>
    <w:basedOn w:val="Normal"/>
    <w:next w:val="Normal"/>
    <w:link w:val="Titre1Car"/>
    <w:uiPriority w:val="9"/>
    <w:qFormat/>
    <w:rsid w:val="00742DDE"/>
    <w:pPr>
      <w:keepNext/>
      <w:keepLines/>
      <w:spacing w:before="240"/>
      <w:outlineLvl w:val="0"/>
    </w:pPr>
    <w:rPr>
      <w:rFonts w:ascii="Calibri" w:eastAsia="Times New Roman" w:hAnsi="Calibri"/>
      <w:b/>
      <w:sz w:val="24"/>
      <w:szCs w:val="24"/>
    </w:rPr>
  </w:style>
  <w:style w:type="paragraph" w:styleId="Titre2">
    <w:name w:val="heading 2"/>
    <w:basedOn w:val="Normal"/>
    <w:next w:val="Normal"/>
    <w:link w:val="Titre2Car"/>
    <w:uiPriority w:val="9"/>
    <w:unhideWhenUsed/>
    <w:qFormat/>
    <w:rsid w:val="00742DDE"/>
    <w:pPr>
      <w:spacing w:before="120" w:line="276" w:lineRule="auto"/>
      <w:ind w:firstLine="709"/>
      <w:outlineLvl w:val="1"/>
    </w:pPr>
    <w:rPr>
      <w:rFonts w:ascii="Calibri" w:hAnsi="Calibri"/>
      <w:b/>
      <w:sz w:val="22"/>
      <w:szCs w:val="21"/>
    </w:rPr>
  </w:style>
  <w:style w:type="paragraph" w:styleId="Titre3">
    <w:name w:val="heading 3"/>
    <w:basedOn w:val="Normal"/>
    <w:next w:val="Normal"/>
    <w:link w:val="Titre3Car"/>
    <w:uiPriority w:val="9"/>
    <w:unhideWhenUsed/>
    <w:qFormat/>
    <w:rsid w:val="0074115A"/>
    <w:pPr>
      <w:keepNext/>
      <w:keepLines/>
      <w:spacing w:before="40"/>
      <w:outlineLvl w:val="2"/>
    </w:pPr>
    <w:rPr>
      <w:rFonts w:ascii="Calibri Light" w:eastAsia="Times New Roman" w:hAnsi="Calibri Light"/>
      <w:sz w:val="24"/>
      <w:szCs w:val="24"/>
    </w:rPr>
  </w:style>
  <w:style w:type="paragraph" w:styleId="Titre4">
    <w:name w:val="heading 4"/>
    <w:basedOn w:val="Normal"/>
    <w:next w:val="Normal"/>
    <w:link w:val="Titre4Car"/>
    <w:uiPriority w:val="9"/>
    <w:unhideWhenUsed/>
    <w:qFormat/>
    <w:rsid w:val="0074115A"/>
    <w:pPr>
      <w:keepNext/>
      <w:keepLines/>
      <w:spacing w:before="40"/>
      <w:outlineLvl w:val="3"/>
    </w:pPr>
    <w:rPr>
      <w:rFonts w:ascii="Calibri" w:eastAsia="Times New Roman" w:hAnsi="Calibri"/>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0900CC"/>
    <w:pPr>
      <w:tabs>
        <w:tab w:val="center" w:pos="4536"/>
        <w:tab w:val="right" w:pos="9072"/>
      </w:tabs>
      <w:spacing w:line="240" w:lineRule="auto"/>
    </w:pPr>
  </w:style>
  <w:style w:type="character" w:customStyle="1" w:styleId="En-tteCar">
    <w:name w:val="En-tête Car"/>
    <w:basedOn w:val="Policepardfaut"/>
    <w:link w:val="En-tte"/>
    <w:uiPriority w:val="99"/>
    <w:rsid w:val="000900CC"/>
  </w:style>
  <w:style w:type="paragraph" w:styleId="Pieddepage">
    <w:name w:val="footer"/>
    <w:basedOn w:val="Normal"/>
    <w:link w:val="PieddepageCar"/>
    <w:uiPriority w:val="99"/>
    <w:unhideWhenUsed/>
    <w:rsid w:val="000900CC"/>
    <w:pPr>
      <w:tabs>
        <w:tab w:val="center" w:pos="4536"/>
        <w:tab w:val="right" w:pos="9072"/>
      </w:tabs>
      <w:spacing w:line="240" w:lineRule="auto"/>
    </w:pPr>
  </w:style>
  <w:style w:type="character" w:customStyle="1" w:styleId="PieddepageCar">
    <w:name w:val="Pied de page Car"/>
    <w:basedOn w:val="Policepardfaut"/>
    <w:link w:val="Pieddepage"/>
    <w:uiPriority w:val="99"/>
    <w:rsid w:val="000900CC"/>
  </w:style>
  <w:style w:type="table" w:styleId="Grilledutableau">
    <w:name w:val="Table Grid"/>
    <w:basedOn w:val="TableauNormal"/>
    <w:uiPriority w:val="39"/>
    <w:rsid w:val="000900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uiPriority w:val="99"/>
    <w:semiHidden/>
    <w:rsid w:val="003F7957"/>
    <w:rPr>
      <w:color w:val="808080"/>
    </w:rPr>
  </w:style>
  <w:style w:type="character" w:customStyle="1" w:styleId="Titre1Car">
    <w:name w:val="Titre 1 Car"/>
    <w:link w:val="Titre1"/>
    <w:uiPriority w:val="9"/>
    <w:rsid w:val="00742DDE"/>
    <w:rPr>
      <w:rFonts w:ascii="Calibri" w:eastAsia="Times New Roman" w:hAnsi="Calibri" w:cs="Times New Roman"/>
      <w:b/>
      <w:color w:val="404040"/>
      <w:sz w:val="24"/>
      <w:szCs w:val="24"/>
      <w:lang w:val="fr-FR"/>
    </w:rPr>
  </w:style>
  <w:style w:type="paragraph" w:customStyle="1" w:styleId="Adresse">
    <w:name w:val="Adresse"/>
    <w:basedOn w:val="Titre1"/>
    <w:link w:val="AdresseCar"/>
    <w:qFormat/>
    <w:rsid w:val="003C7C7F"/>
    <w:pPr>
      <w:spacing w:before="0" w:line="240" w:lineRule="auto"/>
    </w:pPr>
    <w:rPr>
      <w:b w:val="0"/>
      <w:sz w:val="18"/>
    </w:rPr>
  </w:style>
  <w:style w:type="paragraph" w:customStyle="1" w:styleId="Rfrences">
    <w:name w:val="Références"/>
    <w:basedOn w:val="Adresse"/>
    <w:link w:val="RfrencesCar"/>
    <w:qFormat/>
    <w:rsid w:val="00126C92"/>
    <w:pPr>
      <w:spacing w:line="276" w:lineRule="auto"/>
    </w:pPr>
    <w:rPr>
      <w:color w:val="262626"/>
      <w:sz w:val="20"/>
    </w:rPr>
  </w:style>
  <w:style w:type="character" w:customStyle="1" w:styleId="AdresseCar">
    <w:name w:val="Adresse Car"/>
    <w:link w:val="Adresse"/>
    <w:rsid w:val="003C7C7F"/>
    <w:rPr>
      <w:rFonts w:eastAsia="Times New Roman" w:cs="Times New Roman"/>
      <w:color w:val="585756"/>
      <w:sz w:val="18"/>
      <w:szCs w:val="24"/>
      <w:lang w:val="fr-FR" w:eastAsia="en-US"/>
    </w:rPr>
  </w:style>
  <w:style w:type="character" w:customStyle="1" w:styleId="RfrencesCar">
    <w:name w:val="Références Car"/>
    <w:link w:val="Rfrences"/>
    <w:rsid w:val="00126C92"/>
    <w:rPr>
      <w:rFonts w:ascii="Calibri" w:eastAsia="Times New Roman" w:hAnsi="Calibri" w:cs="Times New Roman"/>
      <w:b w:val="0"/>
      <w:color w:val="262626"/>
      <w:sz w:val="20"/>
      <w:szCs w:val="24"/>
      <w:lang w:val="fr-FR"/>
    </w:rPr>
  </w:style>
  <w:style w:type="character" w:customStyle="1" w:styleId="Titre2Car">
    <w:name w:val="Titre 2 Car"/>
    <w:link w:val="Titre2"/>
    <w:uiPriority w:val="9"/>
    <w:rsid w:val="00742DDE"/>
    <w:rPr>
      <w:rFonts w:ascii="Calibri" w:hAnsi="Calibri"/>
      <w:b/>
      <w:color w:val="404040"/>
      <w:szCs w:val="21"/>
      <w:lang w:val="fr-FR"/>
    </w:rPr>
  </w:style>
  <w:style w:type="paragraph" w:styleId="Textedebulles">
    <w:name w:val="Balloon Text"/>
    <w:basedOn w:val="Normal"/>
    <w:link w:val="TextedebullesCar"/>
    <w:uiPriority w:val="99"/>
    <w:semiHidden/>
    <w:unhideWhenUsed/>
    <w:rsid w:val="005F35D1"/>
    <w:pPr>
      <w:spacing w:line="240" w:lineRule="auto"/>
    </w:pPr>
    <w:rPr>
      <w:rFonts w:ascii="Segoe UI" w:hAnsi="Segoe UI" w:cs="Segoe UI"/>
      <w:sz w:val="18"/>
      <w:szCs w:val="18"/>
    </w:rPr>
  </w:style>
  <w:style w:type="character" w:customStyle="1" w:styleId="TextedebullesCar">
    <w:name w:val="Texte de bulles Car"/>
    <w:link w:val="Textedebulles"/>
    <w:uiPriority w:val="99"/>
    <w:semiHidden/>
    <w:rsid w:val="005F35D1"/>
    <w:rPr>
      <w:rFonts w:ascii="Segoe UI" w:hAnsi="Segoe UI" w:cs="Segoe UI"/>
      <w:color w:val="404040"/>
      <w:sz w:val="18"/>
      <w:szCs w:val="18"/>
    </w:rPr>
  </w:style>
  <w:style w:type="paragraph" w:customStyle="1" w:styleId="Basdepage">
    <w:name w:val="Bas de page"/>
    <w:basedOn w:val="Rfrences"/>
    <w:link w:val="BasdepageCar"/>
    <w:qFormat/>
    <w:rsid w:val="00FA099F"/>
    <w:rPr>
      <w:sz w:val="18"/>
    </w:rPr>
  </w:style>
  <w:style w:type="character" w:customStyle="1" w:styleId="BasdepageCar">
    <w:name w:val="Bas de page Car"/>
    <w:link w:val="Basdepage"/>
    <w:rsid w:val="00FA099F"/>
    <w:rPr>
      <w:rFonts w:ascii="Calibri" w:eastAsia="Times New Roman" w:hAnsi="Calibri" w:cs="Times New Roman"/>
      <w:b w:val="0"/>
      <w:color w:val="262626"/>
      <w:sz w:val="18"/>
      <w:szCs w:val="24"/>
      <w:lang w:val="fr-FR"/>
    </w:rPr>
  </w:style>
  <w:style w:type="character" w:customStyle="1" w:styleId="Titre3Car">
    <w:name w:val="Titre 3 Car"/>
    <w:link w:val="Titre3"/>
    <w:uiPriority w:val="9"/>
    <w:rsid w:val="0074115A"/>
    <w:rPr>
      <w:rFonts w:ascii="Calibri Light" w:eastAsia="Times New Roman" w:hAnsi="Calibri Light" w:cs="Times New Roman"/>
      <w:color w:val="585756"/>
      <w:sz w:val="24"/>
      <w:szCs w:val="24"/>
      <w:lang w:val="fr-FR"/>
    </w:rPr>
  </w:style>
  <w:style w:type="character" w:customStyle="1" w:styleId="Titre4Car">
    <w:name w:val="Titre 4 Car"/>
    <w:link w:val="Titre4"/>
    <w:uiPriority w:val="9"/>
    <w:rsid w:val="0074115A"/>
    <w:rPr>
      <w:rFonts w:ascii="Calibri" w:eastAsia="Times New Roman" w:hAnsi="Calibri" w:cs="Times New Roman"/>
      <w:i/>
      <w:iCs/>
      <w:color w:val="585756"/>
      <w:sz w:val="20"/>
      <w:szCs w:val="20"/>
      <w:lang w:val="fr-FR"/>
    </w:rPr>
  </w:style>
  <w:style w:type="paragraph" w:customStyle="1" w:styleId="CTBTitre">
    <w:name w:val="CTB_Titre"/>
    <w:basedOn w:val="Normal"/>
    <w:rsid w:val="008C5350"/>
    <w:pPr>
      <w:widowControl w:val="0"/>
      <w:suppressAutoHyphens/>
      <w:spacing w:line="240" w:lineRule="auto"/>
    </w:pPr>
    <w:rPr>
      <w:rFonts w:ascii="Arial" w:eastAsia="Arial Unicode MS" w:hAnsi="Arial" w:cs="Tahoma"/>
      <w:b/>
      <w:caps/>
      <w:color w:val="50B848"/>
      <w:kern w:val="44"/>
      <w:sz w:val="44"/>
      <w:szCs w:val="24"/>
    </w:rPr>
  </w:style>
  <w:style w:type="paragraph" w:customStyle="1" w:styleId="CTBSoustitre">
    <w:name w:val="CTB_Sous titre"/>
    <w:basedOn w:val="Normal"/>
    <w:rsid w:val="008C5350"/>
    <w:pPr>
      <w:widowControl w:val="0"/>
      <w:suppressAutoHyphens/>
      <w:spacing w:line="240" w:lineRule="auto"/>
    </w:pPr>
    <w:rPr>
      <w:rFonts w:ascii="Arial" w:eastAsia="Arial Unicode MS" w:hAnsi="Arial" w:cs="Tahoma"/>
      <w:b/>
      <w:caps/>
      <w:color w:val="50B848"/>
      <w:kern w:val="1"/>
      <w:sz w:val="32"/>
      <w:szCs w:val="24"/>
    </w:rPr>
  </w:style>
  <w:style w:type="paragraph" w:customStyle="1" w:styleId="CTBCorpsdutexte">
    <w:name w:val="CTB_Corps du texte"/>
    <w:basedOn w:val="Normal"/>
    <w:rsid w:val="008C5350"/>
    <w:pPr>
      <w:widowControl w:val="0"/>
      <w:suppressAutoHyphens/>
      <w:spacing w:line="288" w:lineRule="auto"/>
      <w:jc w:val="both"/>
    </w:pPr>
    <w:rPr>
      <w:rFonts w:ascii="Arial" w:eastAsia="Arial Unicode MS" w:hAnsi="Arial" w:cs="Tahoma"/>
      <w:color w:val="auto"/>
      <w:kern w:val="18"/>
      <w:szCs w:val="24"/>
    </w:rPr>
  </w:style>
  <w:style w:type="character" w:styleId="Marquedecommentaire">
    <w:name w:val="annotation reference"/>
    <w:uiPriority w:val="99"/>
    <w:semiHidden/>
    <w:unhideWhenUsed/>
    <w:rsid w:val="008C5350"/>
    <w:rPr>
      <w:sz w:val="16"/>
      <w:szCs w:val="16"/>
    </w:rPr>
  </w:style>
  <w:style w:type="paragraph" w:styleId="Commentaire">
    <w:name w:val="annotation text"/>
    <w:basedOn w:val="Normal"/>
    <w:link w:val="CommentaireCar"/>
    <w:uiPriority w:val="99"/>
    <w:semiHidden/>
    <w:unhideWhenUsed/>
    <w:rsid w:val="008C5350"/>
    <w:pPr>
      <w:widowControl w:val="0"/>
      <w:suppressAutoHyphens/>
      <w:spacing w:line="240" w:lineRule="auto"/>
    </w:pPr>
    <w:rPr>
      <w:rFonts w:ascii="Arial" w:eastAsia="Arial Unicode MS" w:hAnsi="Arial" w:cs="Tahoma"/>
      <w:color w:val="auto"/>
      <w:kern w:val="1"/>
    </w:rPr>
  </w:style>
  <w:style w:type="character" w:customStyle="1" w:styleId="CommentaireCar">
    <w:name w:val="Commentaire Car"/>
    <w:link w:val="Commentaire"/>
    <w:uiPriority w:val="99"/>
    <w:semiHidden/>
    <w:rsid w:val="008C5350"/>
    <w:rPr>
      <w:rFonts w:ascii="Arial" w:eastAsia="Arial Unicode MS" w:hAnsi="Arial" w:cs="Tahoma"/>
      <w:kern w:val="1"/>
      <w:lang w:val="fr-FR"/>
    </w:rPr>
  </w:style>
  <w:style w:type="paragraph" w:customStyle="1" w:styleId="Contact">
    <w:name w:val="Contact"/>
    <w:basedOn w:val="Normal"/>
    <w:next w:val="CTBCorpsContact"/>
    <w:rsid w:val="00E8241A"/>
    <w:pPr>
      <w:widowControl w:val="0"/>
      <w:suppressAutoHyphens/>
      <w:spacing w:line="240" w:lineRule="auto"/>
    </w:pPr>
    <w:rPr>
      <w:rFonts w:ascii="Arial" w:eastAsia="Arial Unicode MS" w:hAnsi="Arial" w:cs="Tahoma"/>
      <w:b/>
      <w:i/>
      <w:color w:val="auto"/>
      <w:kern w:val="1"/>
      <w:sz w:val="14"/>
      <w:szCs w:val="24"/>
    </w:rPr>
  </w:style>
  <w:style w:type="paragraph" w:customStyle="1" w:styleId="CTBCorpsContact">
    <w:name w:val="CTB_Corps Contact"/>
    <w:basedOn w:val="Contact"/>
    <w:next w:val="Corpsdelettre"/>
    <w:rsid w:val="00E8241A"/>
    <w:pPr>
      <w:spacing w:before="57"/>
    </w:pPr>
  </w:style>
  <w:style w:type="paragraph" w:customStyle="1" w:styleId="Corpsdelettre">
    <w:name w:val="Corps de lettre"/>
    <w:basedOn w:val="Normal"/>
    <w:rsid w:val="00E8241A"/>
    <w:pPr>
      <w:widowControl w:val="0"/>
      <w:suppressAutoHyphens/>
      <w:spacing w:after="68" w:line="240" w:lineRule="auto"/>
      <w:jc w:val="both"/>
    </w:pPr>
    <w:rPr>
      <w:rFonts w:ascii="Arial" w:eastAsia="Arial Unicode MS" w:hAnsi="Arial" w:cs="Tahoma"/>
      <w:color w:val="auto"/>
      <w:kern w:val="1"/>
      <w:sz w:val="18"/>
      <w:szCs w:val="24"/>
    </w:rPr>
  </w:style>
  <w:style w:type="paragraph" w:styleId="Signature">
    <w:name w:val="Signature"/>
    <w:basedOn w:val="Normal"/>
    <w:link w:val="SignatureCar"/>
    <w:semiHidden/>
    <w:rsid w:val="00E8241A"/>
    <w:pPr>
      <w:widowControl w:val="0"/>
      <w:suppressLineNumbers/>
      <w:suppressAutoHyphens/>
      <w:spacing w:before="283" w:line="240" w:lineRule="auto"/>
    </w:pPr>
    <w:rPr>
      <w:rFonts w:ascii="Arial" w:eastAsia="Arial Unicode MS" w:hAnsi="Arial" w:cs="Tahoma"/>
      <w:b/>
      <w:color w:val="auto"/>
      <w:kern w:val="1"/>
      <w:sz w:val="16"/>
      <w:szCs w:val="24"/>
    </w:rPr>
  </w:style>
  <w:style w:type="character" w:customStyle="1" w:styleId="SignatureCar">
    <w:name w:val="Signature Car"/>
    <w:link w:val="Signature"/>
    <w:semiHidden/>
    <w:rsid w:val="00E8241A"/>
    <w:rPr>
      <w:rFonts w:ascii="Arial" w:eastAsia="Arial Unicode MS" w:hAnsi="Arial" w:cs="Tahoma"/>
      <w:b/>
      <w:kern w:val="1"/>
      <w:sz w:val="16"/>
      <w:szCs w:val="24"/>
      <w:lang w:val="fr-FR"/>
    </w:rPr>
  </w:style>
  <w:style w:type="paragraph" w:customStyle="1" w:styleId="Date1">
    <w:name w:val="Date1"/>
    <w:basedOn w:val="Normal"/>
    <w:rsid w:val="00E8241A"/>
    <w:pPr>
      <w:widowControl w:val="0"/>
      <w:suppressAutoHyphens/>
      <w:spacing w:line="240" w:lineRule="auto"/>
    </w:pPr>
    <w:rPr>
      <w:rFonts w:ascii="Arial" w:eastAsia="Arial Unicode MS" w:hAnsi="Arial" w:cs="Tahoma"/>
      <w:b/>
      <w:i/>
      <w:caps/>
      <w:color w:val="auto"/>
      <w:kern w:val="1"/>
      <w:sz w:val="14"/>
      <w:szCs w:val="24"/>
    </w:rPr>
  </w:style>
  <w:style w:type="paragraph" w:styleId="Date">
    <w:name w:val="Date"/>
    <w:basedOn w:val="Normal"/>
    <w:link w:val="DateCar"/>
    <w:semiHidden/>
    <w:rsid w:val="00E8241A"/>
    <w:pPr>
      <w:widowControl w:val="0"/>
      <w:suppressAutoHyphens/>
      <w:spacing w:line="240" w:lineRule="auto"/>
    </w:pPr>
    <w:rPr>
      <w:rFonts w:ascii="Arial" w:eastAsia="Arial Unicode MS" w:hAnsi="Arial" w:cs="Tahoma"/>
      <w:b/>
      <w:i/>
      <w:caps/>
      <w:color w:val="auto"/>
      <w:kern w:val="1"/>
      <w:sz w:val="14"/>
      <w:szCs w:val="24"/>
      <w:lang w:val="es-ES"/>
    </w:rPr>
  </w:style>
  <w:style w:type="character" w:customStyle="1" w:styleId="DateCar">
    <w:name w:val="Date Car"/>
    <w:link w:val="Date"/>
    <w:semiHidden/>
    <w:rsid w:val="00E8241A"/>
    <w:rPr>
      <w:rFonts w:ascii="Arial" w:eastAsia="Arial Unicode MS" w:hAnsi="Arial" w:cs="Tahoma"/>
      <w:b/>
      <w:i/>
      <w:caps/>
      <w:kern w:val="1"/>
      <w:sz w:val="14"/>
      <w:szCs w:val="24"/>
      <w:lang w:val="es-ES"/>
    </w:rPr>
  </w:style>
  <w:style w:type="paragraph" w:styleId="NormalWeb">
    <w:name w:val="Normal (Web)"/>
    <w:basedOn w:val="Normal"/>
    <w:uiPriority w:val="99"/>
    <w:unhideWhenUsed/>
    <w:rsid w:val="00B92F8A"/>
    <w:pPr>
      <w:spacing w:before="100" w:beforeAutospacing="1" w:after="100" w:afterAutospacing="1" w:line="240" w:lineRule="auto"/>
    </w:pPr>
    <w:rPr>
      <w:rFonts w:ascii="Times New Roman" w:eastAsia="Times New Roman" w:hAnsi="Times New Roman"/>
      <w:color w:val="auto"/>
      <w:sz w:val="24"/>
      <w:szCs w:val="24"/>
      <w:lang w:eastAsia="fr-FR"/>
    </w:rPr>
  </w:style>
  <w:style w:type="paragraph" w:styleId="Paragraphedeliste">
    <w:name w:val="List Paragraph"/>
    <w:basedOn w:val="Normal"/>
    <w:uiPriority w:val="34"/>
    <w:qFormat/>
    <w:rsid w:val="00B92F8A"/>
    <w:pPr>
      <w:spacing w:after="160"/>
      <w:ind w:left="720"/>
      <w:contextualSpacing/>
    </w:pPr>
    <w:rPr>
      <w:rFonts w:ascii="Calibri" w:hAnsi="Calibri"/>
      <w:color w:val="auto"/>
      <w:kern w:val="2"/>
      <w:sz w:val="22"/>
      <w:szCs w:val="22"/>
    </w:rPr>
  </w:style>
  <w:style w:type="character" w:styleId="Lienhypertexte">
    <w:name w:val="Hyperlink"/>
    <w:uiPriority w:val="99"/>
    <w:unhideWhenUsed/>
    <w:rsid w:val="00B92F8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1306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procurement.cod@enabel.b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debuege\AppData\Local\Packages\Microsoft.MicrosoftEdge_8wekyb3d8bbwe\TempState\Downloads\Lettre%20Enabel%20fran&#231;ai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rgbClr val="FFFFFF"/>
        </a:solidFill>
        <a:ln w="9525">
          <a:noFill/>
          <a:miter lim="800000"/>
          <a:headEnd/>
          <a:tailEnd/>
        </a:ln>
      </a:spPr>
      <a:bodyPr rot="0" vert="horz" wrap="square" lIns="91440" tIns="45720" rIns="91440" bIns="45720" anchor="t" anchorCtr="0">
        <a:sp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04B36FF77229642AEB1CFEBEA5B53B8" ma:contentTypeVersion="24" ma:contentTypeDescription="Create a new document." ma:contentTypeScope="" ma:versionID="2cc2ade04fccfbabac5e1fd5f13879c0">
  <xsd:schema xmlns:xsd="http://www.w3.org/2001/XMLSchema" xmlns:xs="http://www.w3.org/2001/XMLSchema" xmlns:p="http://schemas.microsoft.com/office/2006/metadata/properties" xmlns:ns2="01658348-5354-4c90-8e64-ece5dffd82bb" xmlns:ns3="b6df7d5b-c217-44eb-add4-b00859b03a64" targetNamespace="http://schemas.microsoft.com/office/2006/metadata/properties" ma:root="true" ma:fieldsID="42e7da680b7f097b01d4c4d53fa8c092" ns2:_="" ns3:_="">
    <xsd:import namespace="01658348-5354-4c90-8e64-ece5dffd82bb"/>
    <xsd:import namespace="b6df7d5b-c217-44eb-add4-b00859b03a6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kf78f8c6b1d84606b77c6edeecdda7a3" minOccurs="0"/>
                <xsd:element ref="ns3:TaxCatchAll" minOccurs="0"/>
                <xsd:element ref="ns2:k07e5c9dd8ef49a29772290d04896af4" minOccurs="0"/>
                <xsd:element ref="ns2:gaf3ec5a67fc463eb9656c0859fc0579" minOccurs="0"/>
                <xsd:element ref="ns3:SharedWithUsers" minOccurs="0"/>
                <xsd:element ref="ns3:SharedWithDetails" minOccurs="0"/>
                <xsd:element ref="ns3:_dlc_DocId" minOccurs="0"/>
                <xsd:element ref="ns3:_dlc_DocIdUrl" minOccurs="0"/>
                <xsd:element ref="ns3:_dlc_DocIdPersistId" minOccurs="0"/>
                <xsd:element ref="ns2:MediaServiceDateTaken" minOccurs="0"/>
                <xsd:element ref="ns2:MediaServiceAutoTags" minOccurs="0"/>
                <xsd:element ref="ns2:MediaLengthInSeconds" minOccurs="0"/>
                <xsd:element ref="ns3:baff161f33e94fed8cda9fa99dabcff6" minOccurs="0"/>
                <xsd:element ref="ns2:personne" minOccurs="0"/>
                <xsd:element ref="ns2:MediaServiceObjectDetectorVersion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658348-5354-4c90-8e64-ece5dffd82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kf78f8c6b1d84606b77c6edeecdda7a3" ma:index="13" ma:taxonomy="true" ma:internalName="kf78f8c6b1d84606b77c6edeecdda7a3" ma:taxonomyFieldName="Language" ma:displayName="Language" ma:default="" ma:fieldId="{4f78f8c6-b1d8-4606-b77c-6edeecdda7a3}" ma:taxonomyMulti="true"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k07e5c9dd8ef49a29772290d04896af4" ma:index="16" nillable="true" ma:taxonomy="true" ma:internalName="k07e5c9dd8ef49a29772290d04896af4" ma:taxonomyFieldName="Type_Document" ma:displayName="Type_Document" ma:readOnly="false" ma:default="" ma:fieldId="{407e5c9d-d8ef-49a2-9772-290d04896af4}" ma:taxonomyMulti="tru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gaf3ec5a67fc463eb9656c0859fc0579" ma:index="18" ma:taxonomy="true" ma:internalName="gaf3ec5a67fc463eb9656c0859fc0579" ma:taxonomyFieldName="Owner" ma:displayName="Owner" ma:readOnly="false" ma:default="" ma:fieldId="{0af3ec5a-67fc-463e-b965-6c0859fc0579}" ma:sspId="60552f54-6c29-411d-8801-9a0c08c1a1a0" ma:termSetId="fb26bd1f-a6d0-4298-bc9b-79d2ef6abc26" ma:anchorId="00000000-0000-0000-0000-000000000000" ma:open="false" ma:isKeyword="false">
      <xsd:complexType>
        <xsd:sequence>
          <xsd:element ref="pc:Terms" minOccurs="0" maxOccurs="1"/>
        </xsd:sequence>
      </xsd:complex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personne" ma:index="29" nillable="true" ma:displayName="personne" ma:format="Dropdown" ma:list="UserInfo" ma:SharePointGroup="0" ma:internalName="personn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df7d5b-c217-44eb-add4-b00859b03a6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643c2ca-1803-4b2f-959c-b65b7087f729}" ma:internalName="TaxCatchAll" ma:showField="CatchAllData" ma:web="b6df7d5b-c217-44eb-add4-b00859b03a6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_dlc_DocId" ma:index="21" nillable="true" ma:displayName="Document ID Value" ma:description="The value of the document ID assigned to this item." ma:indexed="true"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baff161f33e94fed8cda9fa99dabcff6" ma:index="28" nillable="true" ma:taxonomy="true" ma:internalName="baff161f33e94fed8cda9fa99dabcff6" ma:taxonomyFieldName="ENABEL_Service" ma:displayName="Service" ma:fieldId="{baff161f-33e9-4fed-8cda-9fa99dabcff6}" ma:taxonomyMulti="true" ma:sspId="60552f54-6c29-411d-8801-9a0c08c1a1a0" ma:termSetId="8cc85afe-ee62-48e0-8530-30e3947c0246"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TaxCatchAll xmlns="b6df7d5b-c217-44eb-add4-b00859b03a64">
      <Value>26</Value>
      <Value>2</Value>
      <Value>8</Value>
      <Value>1</Value>
    </TaxCatchAll>
    <_dlc_DocId xmlns="b6df7d5b-c217-44eb-add4-b00859b03a64">6WVCMDRAQ7RD-738154572-58306</_dlc_DocId>
    <_dlc_DocIdUrl xmlns="b6df7d5b-c217-44eb-add4-b00859b03a64">
      <Url>https://enabelbe.sharepoint.com/sites/IntranetLogisticsAndProcurement/_layouts/15/DocIdRedir.aspx?ID=6WVCMDRAQ7RD-738154572-58306</Url>
      <Description>6WVCMDRAQ7RD-738154572-58306</Description>
    </_dlc_DocIdUrl>
    <gaf3ec5a67fc463eb9656c0859fc0579 xmlns="01658348-5354-4c90-8e64-ece5dffd82bb">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63c10b1a-587f-4ec6-924f-4565dd1c55f4</TermId>
        </TermInfo>
      </Terms>
    </gaf3ec5a67fc463eb9656c0859fc0579>
    <kf78f8c6b1d84606b77c6edeecdda7a3 xmlns="01658348-5354-4c90-8e64-ece5dffd82bb">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e5b11214-e6fc-4287-b1cb-b050c041462c</TermId>
        </TermInfo>
      </Terms>
    </kf78f8c6b1d84606b77c6edeecdda7a3>
    <k07e5c9dd8ef49a29772290d04896af4 xmlns="01658348-5354-4c90-8e64-ece5dffd82bb">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507c20e7-7939-4ae2-9a5d-822aa0fd4f74</TermId>
        </TermInfo>
      </Terms>
    </k07e5c9dd8ef49a29772290d04896af4>
    <SharedWithUsers xmlns="b6df7d5b-c217-44eb-add4-b00859b03a64">
      <UserInfo>
        <DisplayName/>
        <AccountId xsi:nil="true"/>
        <AccountType/>
      </UserInfo>
    </SharedWithUsers>
    <_dlc_DocIdPersistId xmlns="b6df7d5b-c217-44eb-add4-b00859b03a64">false</_dlc_DocIdPersistId>
    <baff161f33e94fed8cda9fa99dabcff6 xmlns="b6df7d5b-c217-44eb-add4-b00859b03a64">
      <Terms xmlns="http://schemas.microsoft.com/office/infopath/2007/PartnerControls">
        <TermInfo xmlns="http://schemas.microsoft.com/office/infopath/2007/PartnerControls">
          <TermName xmlns="http://schemas.microsoft.com/office/infopath/2007/PartnerControls">08. PARTNERSHIPS ＆ CONTRACTS</TermName>
          <TermId xmlns="http://schemas.microsoft.com/office/infopath/2007/PartnerControls">8fa012b9-d987-44e3-bfb9-a564dd1f9647</TermId>
        </TermInfo>
      </Terms>
    </baff161f33e94fed8cda9fa99dabcff6>
    <personne xmlns="01658348-5354-4c90-8e64-ece5dffd82bb">
      <UserInfo>
        <DisplayName/>
        <AccountId xsi:nil="true"/>
        <AccountType/>
      </UserInfo>
    </personne>
  </documentManagement>
</p:properties>
</file>

<file path=customXml/itemProps1.xml><?xml version="1.0" encoding="utf-8"?>
<ds:datastoreItem xmlns:ds="http://schemas.openxmlformats.org/officeDocument/2006/customXml" ds:itemID="{682FE1F8-14C4-4930-B8E9-31AFAC0922B2}">
  <ds:schemaRefs>
    <ds:schemaRef ds:uri="http://schemas.openxmlformats.org/officeDocument/2006/bibliography"/>
  </ds:schemaRefs>
</ds:datastoreItem>
</file>

<file path=customXml/itemProps2.xml><?xml version="1.0" encoding="utf-8"?>
<ds:datastoreItem xmlns:ds="http://schemas.openxmlformats.org/officeDocument/2006/customXml" ds:itemID="{33D8FD8F-B652-4354-9D89-13950F6C7CCA}">
  <ds:schemaRefs>
    <ds:schemaRef ds:uri="http://schemas.microsoft.com/sharepoint/v3/contenttype/forms"/>
  </ds:schemaRefs>
</ds:datastoreItem>
</file>

<file path=customXml/itemProps3.xml><?xml version="1.0" encoding="utf-8"?>
<ds:datastoreItem xmlns:ds="http://schemas.openxmlformats.org/officeDocument/2006/customXml" ds:itemID="{C5A2A4C1-AB9E-4C6D-B17C-2DAA656E79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658348-5354-4c90-8e64-ece5dffd82bb"/>
    <ds:schemaRef ds:uri="b6df7d5b-c217-44eb-add4-b00859b03a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41D7E65-2D57-48C1-962F-56FFAB6BA7E0}">
  <ds:schemaRefs>
    <ds:schemaRef ds:uri="http://schemas.microsoft.com/sharepoint/events"/>
  </ds:schemaRefs>
</ds:datastoreItem>
</file>

<file path=customXml/itemProps5.xml><?xml version="1.0" encoding="utf-8"?>
<ds:datastoreItem xmlns:ds="http://schemas.openxmlformats.org/officeDocument/2006/customXml" ds:itemID="{E0E05E22-F967-429E-977D-3DFC6A59CB27}">
  <ds:schemaRefs>
    <ds:schemaRef ds:uri="http://schemas.microsoft.com/office/2006/metadata/properties"/>
    <ds:schemaRef ds:uri="http://schemas.microsoft.com/office/infopath/2007/PartnerControls"/>
    <ds:schemaRef ds:uri="b6df7d5b-c217-44eb-add4-b00859b03a64"/>
    <ds:schemaRef ds:uri="01658348-5354-4c90-8e64-ece5dffd82bb"/>
  </ds:schemaRefs>
</ds:datastoreItem>
</file>

<file path=docProps/app.xml><?xml version="1.0" encoding="utf-8"?>
<Properties xmlns="http://schemas.openxmlformats.org/officeDocument/2006/extended-properties" xmlns:vt="http://schemas.openxmlformats.org/officeDocument/2006/docPropsVTypes">
  <Template>Lettre Enabel français</Template>
  <TotalTime>1</TotalTime>
  <Pages>3</Pages>
  <Words>1124</Words>
  <Characters>6186</Characters>
  <Application>Microsoft Office Word</Application>
  <DocSecurity>0</DocSecurity>
  <Lines>51</Lines>
  <Paragraphs>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BTCCTB</Company>
  <LinksUpToDate>false</LinksUpToDate>
  <CharactersWithSpaces>7296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Cedric De BUEGER</dc:creator>
  <cp:lastModifiedBy>NSHIMIRIMANA, Rénovat</cp:lastModifiedBy>
  <cp:revision>2</cp:revision>
  <cp:lastPrinted>2018-01-02T11:36:00Z</cp:lastPrinted>
  <dcterms:created xsi:type="dcterms:W3CDTF">2024-10-10T16:39:00Z</dcterms:created>
  <dcterms:modified xsi:type="dcterms:W3CDTF">2024-10-10T16:39:00Z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0x010100704B36FF77229642AEB1CFEBEA5B53B8</vt:lpwstr>
  </property>
  <property fmtid="{D5CDD505-2E9C-101B-9397-08002B2CF9AE}" pid="3" name="Language">
    <vt:lpwstr>2;#FR|e5b11214-e6fc-4287-b1cb-b050c041462c</vt:lpwstr>
  </property>
  <property fmtid="{D5CDD505-2E9C-101B-9397-08002B2CF9AE}" pid="4" name="Owner">
    <vt:lpwstr>1;#Procurement|63c10b1a-587f-4ec6-924f-4565dd1c55f4</vt:lpwstr>
  </property>
  <property fmtid="{D5CDD505-2E9C-101B-9397-08002B2CF9AE}" pid="5" name="Type_Document">
    <vt:lpwstr>8;#Template|507c20e7-7939-4ae2-9a5d-822aa0fd4f74</vt:lpwstr>
  </property>
  <property fmtid="{D5CDD505-2E9C-101B-9397-08002B2CF9AE}" pid="6" name="_dlc_DocIdItemGuid">
    <vt:lpwstr>5f02cc92-f657-4062-90ee-1510f8404b6c</vt:lpwstr>
  </property>
  <property fmtid="{D5CDD505-2E9C-101B-9397-08002B2CF9AE}" pid="7" name="MediaServiceImageTags">
    <vt:lpwstr/>
  </property>
  <property fmtid="{D5CDD505-2E9C-101B-9397-08002B2CF9AE}" pid="8" name="Order">
    <vt:r8>7421700</vt:r8>
  </property>
  <property fmtid="{D5CDD505-2E9C-101B-9397-08002B2CF9AE}" pid="9" name="xd_Signature">
    <vt:bool>false</vt:bool>
  </property>
  <property fmtid="{D5CDD505-2E9C-101B-9397-08002B2CF9AE}" pid="10" name="xd_ProgID">
    <vt:lpwstr/>
  </property>
  <property fmtid="{D5CDD505-2E9C-101B-9397-08002B2CF9AE}" pid="11" name="_SourceUrl">
    <vt:lpwstr/>
  </property>
  <property fmtid="{D5CDD505-2E9C-101B-9397-08002B2CF9AE}" pid="12" name="_SharedFileIndex">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ENABEL_Service">
    <vt:lpwstr>26;#08. PARTNERSHIPS ＆ CONTRACTS|8fa012b9-d987-44e3-bfb9-a564dd1f9647</vt:lpwstr>
  </property>
</Properties>
</file>