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4C6E65B4" w:rsidR="00CC1A66" w:rsidRPr="000E4F56" w:rsidRDefault="003A793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highlight w:val="yellow"/>
          <w:lang w:val="fr-FR"/>
        </w:rPr>
        <w:t>X</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50576EE6"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3A7939" w:rsidRPr="000E4F56">
        <w:rPr>
          <w:rFonts w:ascii="DejaVu Sans" w:eastAsia="DejaVu Sans" w:hAnsi="DejaVu Sans" w:cs="DejaVu Sans"/>
          <w:sz w:val="23"/>
          <w:szCs w:val="23"/>
          <w:highlight w:val="yellow"/>
          <w:lang w:val="fr-FR"/>
        </w:rPr>
        <w:t>X</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lastRenderedPageBreak/>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w:t>
      </w:r>
      <w:r w:rsidRPr="000E4F56">
        <w:rPr>
          <w:rFonts w:ascii="DejaVu Sans" w:eastAsia="DejaVu Sans" w:hAnsi="DejaVu Sans" w:cs="DejaVu Sans"/>
          <w:sz w:val="23"/>
          <w:szCs w:val="23"/>
          <w:lang w:val="fr-FR"/>
        </w:rPr>
        <w:lastRenderedPageBreak/>
        <w:t>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prévention de l’utilisation du système financier aux fins du blanchiment de capitaux et du </w:t>
      </w:r>
      <w:r w:rsidRPr="000E4F56">
        <w:rPr>
          <w:rFonts w:ascii="DejaVu Sans" w:eastAsia="DejaVu Sans" w:hAnsi="DejaVu Sans" w:cs="DejaVu Sans"/>
          <w:sz w:val="23"/>
          <w:szCs w:val="23"/>
          <w:lang w:val="fr-FR"/>
        </w:rPr>
        <w:lastRenderedPageBreak/>
        <w:t>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2F6C" w14:textId="77777777" w:rsidR="00071DE0" w:rsidRDefault="00071DE0">
      <w:pPr>
        <w:spacing w:after="0" w:line="240" w:lineRule="auto"/>
      </w:pPr>
      <w:r>
        <w:separator/>
      </w:r>
    </w:p>
  </w:endnote>
  <w:endnote w:type="continuationSeparator" w:id="0">
    <w:p w14:paraId="0307B75F" w14:textId="77777777" w:rsidR="00071DE0" w:rsidRDefault="000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0EEB" w14:textId="77777777" w:rsidR="00071DE0" w:rsidRDefault="00071DE0">
      <w:pPr>
        <w:spacing w:after="0" w:line="240" w:lineRule="auto"/>
      </w:pPr>
      <w:r>
        <w:separator/>
      </w:r>
    </w:p>
  </w:footnote>
  <w:footnote w:type="continuationSeparator" w:id="0">
    <w:p w14:paraId="6F0CB9E6" w14:textId="77777777" w:rsidR="00071DE0" w:rsidRDefault="00071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C53"/>
    <w:rsid w:val="002563FD"/>
    <w:rsid w:val="002B2F09"/>
    <w:rsid w:val="002B50F5"/>
    <w:rsid w:val="002D247E"/>
    <w:rsid w:val="00335CC1"/>
    <w:rsid w:val="003818DC"/>
    <w:rsid w:val="003A3937"/>
    <w:rsid w:val="003A7939"/>
    <w:rsid w:val="003D058B"/>
    <w:rsid w:val="003E049D"/>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SENENABEL-124183628-107391</_dlc_DocId>
    <_dlc_DocIdUrl xmlns="508ba6eb-9e09-4fd5-92f2-2d9921329f2d">
      <Url>https://enabelbe.sharepoint.com/sites/SEN/_layouts/15/DocIdRedir.aspx?ID=SENENABEL-124183628-107391</Url>
      <Description>SENENABEL-124183628-107391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s>
</ds:datastoreItem>
</file>

<file path=customXml/itemProps3.xml><?xml version="1.0" encoding="utf-8"?>
<ds:datastoreItem xmlns:ds="http://schemas.openxmlformats.org/officeDocument/2006/customXml" ds:itemID="{BEFA927E-809D-4AEC-AFCF-43795A5C3BF9}"/>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11</Pages>
  <Words>3210</Words>
  <Characters>17657</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VANDER AUWERA, Thibault</cp:lastModifiedBy>
  <cp:revision>35</cp:revision>
  <cp:lastPrinted>2018-06-27T09:46:00Z</cp:lastPrinted>
  <dcterms:created xsi:type="dcterms:W3CDTF">2018-06-19T15:07:00Z</dcterms:created>
  <dcterms:modified xsi:type="dcterms:W3CDTF">2023-10-23T08:52:00Z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822d5a07-ec78-42e8-b501-43911dc4228f</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