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6A65" w14:textId="6124E382" w:rsidR="00DA6BC9" w:rsidRPr="00575378" w:rsidRDefault="00067560" w:rsidP="00575378">
      <w:pPr>
        <w:jc w:val="center"/>
        <w:rPr>
          <w:u w:val="single"/>
          <w:lang w:val="fr-FR"/>
        </w:rPr>
      </w:pPr>
      <w:r w:rsidRPr="00575378">
        <w:rPr>
          <w:b/>
          <w:sz w:val="28"/>
          <w:u w:val="single"/>
          <w:lang w:val="fr-FR"/>
        </w:rPr>
        <w:t>APERCU DES QUESTIONS-2</w:t>
      </w:r>
      <w:r w:rsidRPr="00575378">
        <w:rPr>
          <w:b/>
          <w:sz w:val="28"/>
          <w:u w:val="single"/>
          <w:vertAlign w:val="superscript"/>
          <w:lang w:val="fr-FR"/>
        </w:rPr>
        <w:t>ème</w:t>
      </w:r>
      <w:r w:rsidRPr="00575378">
        <w:rPr>
          <w:b/>
          <w:sz w:val="28"/>
          <w:u w:val="single"/>
          <w:lang w:val="fr-FR"/>
        </w:rPr>
        <w:t xml:space="preserve"> SERI</w:t>
      </w:r>
      <w:r w:rsidR="00FF2467" w:rsidRPr="00575378">
        <w:rPr>
          <w:b/>
          <w:sz w:val="28"/>
          <w:u w:val="single"/>
          <w:lang w:val="fr-FR"/>
        </w:rPr>
        <w:t>E</w:t>
      </w:r>
    </w:p>
    <w:tbl>
      <w:tblPr>
        <w:tblStyle w:val="Grilledutableau"/>
        <w:tblW w:w="10485" w:type="dxa"/>
        <w:jc w:val="center"/>
        <w:tblLook w:val="04A0" w:firstRow="1" w:lastRow="0" w:firstColumn="1" w:lastColumn="0" w:noHBand="0" w:noVBand="1"/>
      </w:tblPr>
      <w:tblGrid>
        <w:gridCol w:w="4572"/>
        <w:gridCol w:w="5913"/>
      </w:tblGrid>
      <w:tr w:rsidR="00A634E5" w:rsidRPr="00653D31" w14:paraId="4CE36EB5" w14:textId="77777777" w:rsidTr="003C35A9">
        <w:trPr>
          <w:jc w:val="center"/>
        </w:trPr>
        <w:tc>
          <w:tcPr>
            <w:tcW w:w="4572" w:type="dxa"/>
          </w:tcPr>
          <w:p w14:paraId="660DA5DE" w14:textId="29BAA79F" w:rsidR="00A634E5" w:rsidRPr="009F411F" w:rsidRDefault="008D2C6C" w:rsidP="008D2C6C">
            <w:pPr>
              <w:jc w:val="both"/>
              <w:rPr>
                <w:rFonts w:ascii="Arial" w:hAnsi="Arial" w:cs="Arial"/>
                <w:b/>
                <w:bCs/>
              </w:rPr>
            </w:pPr>
            <w:r>
              <w:rPr>
                <w:rFonts w:ascii="Arial" w:hAnsi="Arial" w:cs="Arial"/>
                <w:b/>
                <w:bCs/>
              </w:rPr>
              <w:t>QUESTIONS</w:t>
            </w:r>
          </w:p>
        </w:tc>
        <w:tc>
          <w:tcPr>
            <w:tcW w:w="5913" w:type="dxa"/>
          </w:tcPr>
          <w:p w14:paraId="34A1152F" w14:textId="11CEC9C2" w:rsidR="00A634E5" w:rsidRPr="009F411F" w:rsidRDefault="008D2C6C" w:rsidP="008D2C6C">
            <w:pPr>
              <w:jc w:val="both"/>
              <w:rPr>
                <w:rFonts w:ascii="Arial" w:hAnsi="Arial" w:cs="Arial"/>
                <w:b/>
                <w:bCs/>
              </w:rPr>
            </w:pPr>
            <w:r>
              <w:rPr>
                <w:rFonts w:ascii="Arial" w:hAnsi="Arial" w:cs="Arial"/>
                <w:b/>
                <w:bCs/>
              </w:rPr>
              <w:t>REPONSE</w:t>
            </w:r>
          </w:p>
        </w:tc>
      </w:tr>
      <w:tr w:rsidR="00653D31" w:rsidRPr="00662912" w14:paraId="05A87EEC" w14:textId="77777777" w:rsidTr="003C35A9">
        <w:trPr>
          <w:jc w:val="center"/>
        </w:trPr>
        <w:tc>
          <w:tcPr>
            <w:tcW w:w="4572" w:type="dxa"/>
          </w:tcPr>
          <w:p w14:paraId="3F32882C" w14:textId="77777777" w:rsidR="00653D31" w:rsidRPr="00653D31" w:rsidRDefault="00653D31" w:rsidP="008D2C6C">
            <w:pPr>
              <w:jc w:val="both"/>
              <w:rPr>
                <w:rFonts w:ascii="Arial" w:eastAsia="Calibri" w:hAnsi="Arial" w:cs="Arial"/>
                <w:lang w:val="fr-FR"/>
              </w:rPr>
            </w:pPr>
            <w:r w:rsidRPr="00653D31">
              <w:rPr>
                <w:rFonts w:ascii="Arial" w:eastAsia="Calibri" w:hAnsi="Arial" w:cs="Arial"/>
                <w:lang w:val="fr-FR"/>
              </w:rPr>
              <w:t>1.4.4.4.7° : Le marché comprend tous les impôts, taxes, droits de douanes et redevances exigées et les démarches administratives resteront sous la responsabilité de l’Adjudicataire. Les soumissionnaires sont donc priés de bien s’informer auprès des douanes d’import et d’export.</w:t>
            </w:r>
          </w:p>
          <w:p w14:paraId="109EE79D" w14:textId="77777777" w:rsidR="00653D31" w:rsidRPr="00653D31" w:rsidRDefault="00653D31" w:rsidP="008D2C6C">
            <w:pPr>
              <w:jc w:val="both"/>
              <w:rPr>
                <w:rFonts w:ascii="Arial" w:eastAsia="Calibri" w:hAnsi="Arial" w:cs="Arial"/>
                <w:lang w:val="fr-FR"/>
              </w:rPr>
            </w:pPr>
            <w:r w:rsidRPr="00653D31">
              <w:rPr>
                <w:rFonts w:ascii="Arial" w:eastAsia="Calibri" w:hAnsi="Arial" w:cs="Arial"/>
                <w:lang w:val="fr-FR"/>
              </w:rPr>
              <w:t xml:space="preserve"> </w:t>
            </w:r>
          </w:p>
          <w:p w14:paraId="0F17DAA0" w14:textId="0F36FA09" w:rsidR="00653D31" w:rsidRPr="00653D31" w:rsidRDefault="00653D31" w:rsidP="008D2C6C">
            <w:pPr>
              <w:jc w:val="both"/>
              <w:rPr>
                <w:rFonts w:ascii="Arial" w:eastAsia="Calibri" w:hAnsi="Arial" w:cs="Arial"/>
                <w:lang w:val="fr-FR"/>
              </w:rPr>
            </w:pPr>
            <w:r w:rsidRPr="00653D31">
              <w:rPr>
                <w:rFonts w:ascii="Arial" w:eastAsia="Calibri" w:hAnsi="Arial" w:cs="Arial"/>
                <w:b/>
                <w:bCs/>
                <w:lang w:val="fr-FR"/>
              </w:rPr>
              <w:t xml:space="preserve">Question </w:t>
            </w:r>
            <w:r w:rsidRPr="00653D31">
              <w:rPr>
                <w:rFonts w:ascii="Arial" w:eastAsia="Calibri" w:hAnsi="Arial" w:cs="Arial"/>
                <w:lang w:val="fr-FR"/>
              </w:rPr>
              <w:t>: Vous confirmez donc que, contrairement à ce qui était indiqué dans le CSC initialement, aucune exonération ne sera possible et que par conséquent les prix doivent inclure les coûts relatifs aux droits de douane et TVA sur importation des marchandises (non récupérable puisque les prix doivent être HTVA) ainsi que les coûts relatifs à toute autre taxe ou redevance, et les frais liés aux procédures/démarches administratives ? Merci de bien clarifier ce point qui a un impact conséquent sur notre offre.</w:t>
            </w:r>
          </w:p>
        </w:tc>
        <w:tc>
          <w:tcPr>
            <w:tcW w:w="5913" w:type="dxa"/>
          </w:tcPr>
          <w:p w14:paraId="5DCD76AD" w14:textId="7C91F637" w:rsidR="00653D31" w:rsidRDefault="003C35A9" w:rsidP="008D2C6C">
            <w:pPr>
              <w:jc w:val="both"/>
              <w:rPr>
                <w:rFonts w:ascii="Arial" w:hAnsi="Arial" w:cs="Arial"/>
                <w:lang w:val="fr-FR"/>
              </w:rPr>
            </w:pPr>
            <w:r>
              <w:rPr>
                <w:rFonts w:ascii="Arial" w:hAnsi="Arial" w:cs="Arial"/>
                <w:lang w:val="fr-FR"/>
              </w:rPr>
              <w:t xml:space="preserve">Conformément à l’addendum, les soumissionnaires doivent s’informer auprès des douanes sur les droits de douanes, impôts, taxes et redevances applicables au marché ( ce n’est pas la </w:t>
            </w:r>
            <w:r w:rsidR="00041912">
              <w:rPr>
                <w:rFonts w:ascii="Arial" w:hAnsi="Arial" w:cs="Arial"/>
                <w:lang w:val="fr-FR"/>
              </w:rPr>
              <w:t>responsabilité</w:t>
            </w:r>
            <w:r>
              <w:rPr>
                <w:rFonts w:ascii="Arial" w:hAnsi="Arial" w:cs="Arial"/>
                <w:lang w:val="fr-FR"/>
              </w:rPr>
              <w:t xml:space="preserve"> d’Enabel).</w:t>
            </w:r>
          </w:p>
          <w:p w14:paraId="1AFC7B02" w14:textId="77777777" w:rsidR="003C35A9" w:rsidRDefault="003C35A9" w:rsidP="008D2C6C">
            <w:pPr>
              <w:jc w:val="both"/>
              <w:rPr>
                <w:rFonts w:ascii="Arial" w:hAnsi="Arial" w:cs="Arial"/>
                <w:lang w:val="fr-FR"/>
              </w:rPr>
            </w:pPr>
          </w:p>
          <w:p w14:paraId="212AE539" w14:textId="1A92EAC5" w:rsidR="003C35A9" w:rsidRPr="00653D31" w:rsidRDefault="003C35A9" w:rsidP="008D2C6C">
            <w:pPr>
              <w:jc w:val="both"/>
              <w:rPr>
                <w:rFonts w:ascii="Arial" w:hAnsi="Arial" w:cs="Arial"/>
                <w:lang w:val="fr-FR"/>
              </w:rPr>
            </w:pPr>
            <w:r>
              <w:rPr>
                <w:rFonts w:ascii="Arial" w:hAnsi="Arial" w:cs="Arial"/>
                <w:lang w:val="fr-FR"/>
              </w:rPr>
              <w:t>Pour la douane d’import</w:t>
            </w:r>
            <w:r w:rsidR="00E71C53">
              <w:rPr>
                <w:rFonts w:ascii="Arial" w:hAnsi="Arial" w:cs="Arial"/>
                <w:lang w:val="fr-FR"/>
              </w:rPr>
              <w:t xml:space="preserve">/Burundi </w:t>
            </w:r>
            <w:r>
              <w:rPr>
                <w:rFonts w:ascii="Arial" w:hAnsi="Arial" w:cs="Arial"/>
                <w:lang w:val="fr-FR"/>
              </w:rPr>
              <w:t xml:space="preserve">, vous pouvez chercher les adresses sur le site </w:t>
            </w:r>
            <w:hyperlink r:id="rId6" w:history="1">
              <w:r w:rsidRPr="006C7638">
                <w:rPr>
                  <w:rStyle w:val="Lienhypertexte"/>
                  <w:rFonts w:ascii="Arial" w:hAnsi="Arial" w:cs="Arial"/>
                  <w:lang w:val="fr-FR"/>
                </w:rPr>
                <w:t>www.obr.bi</w:t>
              </w:r>
            </w:hyperlink>
            <w:r w:rsidR="00E71C53">
              <w:rPr>
                <w:rFonts w:ascii="Arial" w:hAnsi="Arial" w:cs="Arial"/>
                <w:lang w:val="fr-FR"/>
              </w:rPr>
              <w:t xml:space="preserve"> ou téléphoner au numéro vert « 500 »</w:t>
            </w:r>
            <w:r w:rsidR="00F60D3A">
              <w:rPr>
                <w:rFonts w:ascii="Arial" w:hAnsi="Arial" w:cs="Arial"/>
                <w:lang w:val="fr-FR"/>
              </w:rPr>
              <w:t>.</w:t>
            </w:r>
          </w:p>
        </w:tc>
      </w:tr>
      <w:tr w:rsidR="00A634E5" w:rsidRPr="00662912" w14:paraId="5E3D2731" w14:textId="2209DA6A" w:rsidTr="003C35A9">
        <w:trPr>
          <w:jc w:val="center"/>
        </w:trPr>
        <w:tc>
          <w:tcPr>
            <w:tcW w:w="4572" w:type="dxa"/>
          </w:tcPr>
          <w:p w14:paraId="4C1B0074" w14:textId="77777777" w:rsidR="00A634E5" w:rsidRPr="00653D31" w:rsidRDefault="00A634E5" w:rsidP="008D2C6C">
            <w:pPr>
              <w:jc w:val="both"/>
              <w:rPr>
                <w:rFonts w:ascii="Arial" w:hAnsi="Arial" w:cs="Arial"/>
                <w:lang w:val="fr-FR"/>
              </w:rPr>
            </w:pPr>
            <w:r w:rsidRPr="00653D31">
              <w:rPr>
                <w:rFonts w:ascii="Arial" w:eastAsia="Calibri" w:hAnsi="Arial" w:cs="Arial"/>
                <w:lang w:val="fr-FR"/>
              </w:rPr>
              <w:t>Pouvez-vous confirmer que nous pouvons adapter les quantités dans les bordereaux ?</w:t>
            </w:r>
          </w:p>
        </w:tc>
        <w:tc>
          <w:tcPr>
            <w:tcW w:w="5913" w:type="dxa"/>
            <w:vMerge w:val="restart"/>
          </w:tcPr>
          <w:p w14:paraId="0DA239ED" w14:textId="5A2253D1" w:rsidR="00653D31" w:rsidRPr="00653D31" w:rsidRDefault="00A634E5" w:rsidP="008D2C6C">
            <w:pPr>
              <w:jc w:val="both"/>
              <w:rPr>
                <w:rFonts w:ascii="Arial" w:hAnsi="Arial" w:cs="Arial"/>
                <w:lang w:val="fr-FR"/>
              </w:rPr>
            </w:pPr>
            <w:r w:rsidRPr="00653D31">
              <w:rPr>
                <w:rFonts w:ascii="Arial" w:hAnsi="Arial" w:cs="Arial"/>
                <w:lang w:val="fr-FR"/>
              </w:rPr>
              <w:t xml:space="preserve">Le bordereau initial ne peut pas être modifié. </w:t>
            </w:r>
          </w:p>
          <w:p w14:paraId="2099C51D" w14:textId="5F4CB7C4" w:rsidR="004A2AA3" w:rsidRDefault="00A634E5" w:rsidP="008D2C6C">
            <w:pPr>
              <w:jc w:val="both"/>
              <w:rPr>
                <w:rFonts w:ascii="Arial" w:hAnsi="Arial" w:cs="Arial"/>
                <w:lang w:val="fr-FR"/>
              </w:rPr>
            </w:pPr>
            <w:r w:rsidRPr="00653D31">
              <w:rPr>
                <w:rFonts w:ascii="Arial" w:hAnsi="Arial" w:cs="Arial"/>
                <w:lang w:val="fr-FR"/>
              </w:rPr>
              <w:t>Les quantités, calibres,</w:t>
            </w:r>
            <w:r w:rsidR="00653D31" w:rsidRPr="00653D31">
              <w:rPr>
                <w:rFonts w:ascii="Arial" w:hAnsi="Arial" w:cs="Arial"/>
                <w:lang w:val="fr-FR"/>
              </w:rPr>
              <w:t xml:space="preserve"> </w:t>
            </w:r>
            <w:r w:rsidRPr="00653D31">
              <w:rPr>
                <w:rFonts w:ascii="Arial" w:hAnsi="Arial" w:cs="Arial"/>
                <w:lang w:val="fr-FR"/>
              </w:rPr>
              <w:t>sections,</w:t>
            </w:r>
            <w:r w:rsidR="00653D31" w:rsidRPr="00653D31">
              <w:rPr>
                <w:rFonts w:ascii="Arial" w:hAnsi="Arial" w:cs="Arial"/>
                <w:lang w:val="fr-FR"/>
              </w:rPr>
              <w:t xml:space="preserve"> </w:t>
            </w:r>
            <w:r w:rsidRPr="00653D31">
              <w:rPr>
                <w:rFonts w:ascii="Arial" w:hAnsi="Arial" w:cs="Arial"/>
                <w:lang w:val="fr-FR"/>
              </w:rPr>
              <w:t>etc</w:t>
            </w:r>
            <w:r w:rsidR="00653D31" w:rsidRPr="00653D31">
              <w:rPr>
                <w:rFonts w:ascii="Arial" w:hAnsi="Arial" w:cs="Arial"/>
                <w:lang w:val="fr-FR"/>
              </w:rPr>
              <w:t>.</w:t>
            </w:r>
            <w:r w:rsidRPr="00653D31">
              <w:rPr>
                <w:rFonts w:ascii="Arial" w:hAnsi="Arial" w:cs="Arial"/>
                <w:lang w:val="fr-FR"/>
              </w:rPr>
              <w:t xml:space="preserve"> sont</w:t>
            </w:r>
            <w:r w:rsidR="00653D31" w:rsidRPr="00653D31">
              <w:rPr>
                <w:rFonts w:ascii="Arial" w:hAnsi="Arial" w:cs="Arial"/>
                <w:lang w:val="fr-FR"/>
              </w:rPr>
              <w:t xml:space="preserve"> basées sur les relevés du </w:t>
            </w:r>
            <w:r w:rsidR="004A2AA3" w:rsidRPr="00653D31">
              <w:rPr>
                <w:rFonts w:ascii="Arial" w:hAnsi="Arial" w:cs="Arial"/>
                <w:lang w:val="fr-FR"/>
              </w:rPr>
              <w:t>terrain</w:t>
            </w:r>
            <w:r w:rsidR="003A7C9C">
              <w:rPr>
                <w:rFonts w:ascii="Arial" w:hAnsi="Arial" w:cs="Arial"/>
                <w:lang w:val="fr-FR"/>
              </w:rPr>
              <w:t xml:space="preserve"> et le dimensionnement ;</w:t>
            </w:r>
            <w:r w:rsidR="00653D31" w:rsidRPr="00653D31">
              <w:rPr>
                <w:rFonts w:ascii="Arial" w:hAnsi="Arial" w:cs="Arial"/>
                <w:lang w:val="fr-FR"/>
              </w:rPr>
              <w:t xml:space="preserve"> </w:t>
            </w:r>
            <w:r w:rsidR="00FC13FF">
              <w:rPr>
                <w:rFonts w:ascii="Arial" w:hAnsi="Arial" w:cs="Arial"/>
                <w:lang w:val="fr-FR"/>
              </w:rPr>
              <w:t>t</w:t>
            </w:r>
            <w:r w:rsidR="00FC13FF" w:rsidRPr="00FC13FF">
              <w:rPr>
                <w:rFonts w:ascii="Arial" w:hAnsi="Arial" w:cs="Arial"/>
                <w:lang w:val="fr-FR"/>
              </w:rPr>
              <w:t xml:space="preserve">outes sujétions sont </w:t>
            </w:r>
            <w:r w:rsidR="004A2AA3" w:rsidRPr="00FC13FF">
              <w:rPr>
                <w:rFonts w:ascii="Arial" w:hAnsi="Arial" w:cs="Arial"/>
                <w:lang w:val="fr-FR"/>
              </w:rPr>
              <w:t xml:space="preserve">comprises. </w:t>
            </w:r>
          </w:p>
          <w:p w14:paraId="0264D75F" w14:textId="2CFAD21E" w:rsidR="00653D31" w:rsidRPr="00653D31" w:rsidRDefault="004A2AA3" w:rsidP="008D2C6C">
            <w:pPr>
              <w:jc w:val="both"/>
              <w:rPr>
                <w:rFonts w:ascii="Arial" w:hAnsi="Arial" w:cs="Arial"/>
                <w:lang w:val="fr-FR"/>
              </w:rPr>
            </w:pPr>
            <w:r w:rsidRPr="004A2AA3">
              <w:rPr>
                <w:rFonts w:ascii="Arial" w:hAnsi="Arial" w:cs="Arial"/>
                <w:u w:val="single"/>
                <w:lang w:val="fr-FR"/>
              </w:rPr>
              <w:t>La</w:t>
            </w:r>
            <w:r w:rsidR="00A634E5" w:rsidRPr="004A2AA3">
              <w:rPr>
                <w:rFonts w:ascii="Arial" w:hAnsi="Arial" w:cs="Arial"/>
                <w:u w:val="single"/>
                <w:lang w:val="fr-FR"/>
              </w:rPr>
              <w:t xml:space="preserve"> manière d’intégration </w:t>
            </w:r>
            <w:r w:rsidR="003A7C9C">
              <w:rPr>
                <w:rFonts w:ascii="Arial" w:hAnsi="Arial" w:cs="Arial"/>
                <w:u w:val="single"/>
                <w:lang w:val="fr-FR"/>
              </w:rPr>
              <w:t xml:space="preserve">des </w:t>
            </w:r>
            <w:r w:rsidR="00653D31" w:rsidRPr="004A2AA3">
              <w:rPr>
                <w:rFonts w:ascii="Arial" w:hAnsi="Arial" w:cs="Arial"/>
                <w:u w:val="single"/>
                <w:lang w:val="fr-FR"/>
              </w:rPr>
              <w:t>résultats ajustés et justifiés par une note de calcul et des schémas qui accompagneront l’offre</w:t>
            </w:r>
            <w:r w:rsidR="00A634E5" w:rsidRPr="004A2AA3">
              <w:rPr>
                <w:rFonts w:ascii="Arial" w:hAnsi="Arial" w:cs="Arial"/>
                <w:u w:val="single"/>
                <w:lang w:val="fr-FR"/>
              </w:rPr>
              <w:t xml:space="preserve"> est la suivante </w:t>
            </w:r>
            <w:r w:rsidR="00A634E5" w:rsidRPr="00653D31">
              <w:rPr>
                <w:rFonts w:ascii="Arial" w:hAnsi="Arial" w:cs="Arial"/>
                <w:lang w:val="fr-FR"/>
              </w:rPr>
              <w:t xml:space="preserve">: </w:t>
            </w:r>
          </w:p>
          <w:p w14:paraId="6F0CE1AE" w14:textId="0C65100D" w:rsidR="00A634E5" w:rsidRPr="00653D31" w:rsidRDefault="00653D31" w:rsidP="008D2C6C">
            <w:pPr>
              <w:jc w:val="both"/>
              <w:rPr>
                <w:rFonts w:ascii="Arial" w:hAnsi="Arial" w:cs="Arial"/>
                <w:b/>
                <w:bCs/>
                <w:lang w:val="fr-FR"/>
              </w:rPr>
            </w:pPr>
            <w:r w:rsidRPr="00653D31">
              <w:rPr>
                <w:rFonts w:ascii="Arial" w:hAnsi="Arial" w:cs="Arial"/>
                <w:b/>
                <w:bCs/>
                <w:lang w:val="fr-FR"/>
              </w:rPr>
              <w:t>Le</w:t>
            </w:r>
            <w:r w:rsidR="00A634E5" w:rsidRPr="00653D31">
              <w:rPr>
                <w:rFonts w:ascii="Arial" w:hAnsi="Arial" w:cs="Arial"/>
                <w:b/>
                <w:bCs/>
                <w:lang w:val="fr-FR"/>
              </w:rPr>
              <w:t xml:space="preserve"> soumissionnaire indique dans le bordereau le prix correspondant à l</w:t>
            </w:r>
            <w:r w:rsidRPr="00653D31">
              <w:rPr>
                <w:rFonts w:ascii="Arial" w:hAnsi="Arial" w:cs="Arial"/>
                <w:b/>
                <w:bCs/>
                <w:lang w:val="fr-FR"/>
              </w:rPr>
              <w:t>’article issu de sa note de calcul</w:t>
            </w:r>
            <w:r w:rsidR="00A634E5" w:rsidRPr="00653D31">
              <w:rPr>
                <w:rFonts w:ascii="Arial" w:hAnsi="Arial" w:cs="Arial"/>
                <w:b/>
                <w:bCs/>
                <w:lang w:val="fr-FR"/>
              </w:rPr>
              <w:t xml:space="preserve"> tout en conservant l’intitulé initial du poste.</w:t>
            </w:r>
          </w:p>
        </w:tc>
      </w:tr>
      <w:tr w:rsidR="00A634E5" w:rsidRPr="00662912" w14:paraId="04DF9873" w14:textId="73C2A899" w:rsidTr="003C35A9">
        <w:trPr>
          <w:jc w:val="center"/>
        </w:trPr>
        <w:tc>
          <w:tcPr>
            <w:tcW w:w="4572" w:type="dxa"/>
          </w:tcPr>
          <w:p w14:paraId="6B155BD0" w14:textId="77777777" w:rsidR="00A634E5" w:rsidRPr="00653D31" w:rsidRDefault="00A634E5" w:rsidP="008D2C6C">
            <w:pPr>
              <w:jc w:val="both"/>
              <w:rPr>
                <w:rFonts w:ascii="Arial" w:hAnsi="Arial" w:cs="Arial"/>
                <w:lang w:val="fr-FR"/>
              </w:rPr>
            </w:pPr>
            <w:r w:rsidRPr="00653D31">
              <w:rPr>
                <w:rFonts w:ascii="Arial" w:eastAsia="Calibri" w:hAnsi="Arial" w:cs="Arial"/>
                <w:lang w:val="fr-FR"/>
              </w:rPr>
              <w:t>Après dimensionnement, les sections de câble souple DC 1x35 mm² et DC 1x25 mm² sont nécessaires. Pouvons-nous les ajouter au bordereau ? Si non, spécifier comment les intégrer.</w:t>
            </w:r>
          </w:p>
        </w:tc>
        <w:tc>
          <w:tcPr>
            <w:tcW w:w="5913" w:type="dxa"/>
            <w:vMerge/>
          </w:tcPr>
          <w:p w14:paraId="0DCAFC4E" w14:textId="77777777" w:rsidR="00A634E5" w:rsidRPr="00653D31" w:rsidRDefault="00A634E5" w:rsidP="008D2C6C">
            <w:pPr>
              <w:jc w:val="both"/>
              <w:rPr>
                <w:rFonts w:ascii="Arial" w:hAnsi="Arial" w:cs="Arial"/>
                <w:lang w:val="fr-FR"/>
              </w:rPr>
            </w:pPr>
          </w:p>
        </w:tc>
      </w:tr>
      <w:tr w:rsidR="00A634E5" w:rsidRPr="00662912" w14:paraId="5F01379C" w14:textId="77777777" w:rsidTr="003C35A9">
        <w:trPr>
          <w:jc w:val="center"/>
        </w:trPr>
        <w:tc>
          <w:tcPr>
            <w:tcW w:w="4572" w:type="dxa"/>
          </w:tcPr>
          <w:p w14:paraId="10E8156C" w14:textId="77777777" w:rsidR="00A634E5" w:rsidRPr="00653D31" w:rsidRDefault="00A634E5" w:rsidP="008D2C6C">
            <w:pPr>
              <w:jc w:val="both"/>
              <w:rPr>
                <w:rFonts w:ascii="Arial" w:hAnsi="Arial" w:cs="Arial"/>
                <w:lang w:val="fr-FR"/>
              </w:rPr>
            </w:pPr>
            <w:r w:rsidRPr="00653D31">
              <w:rPr>
                <w:rFonts w:ascii="Arial" w:eastAsia="Calibri" w:hAnsi="Arial" w:cs="Arial"/>
                <w:lang w:val="fr-FR"/>
              </w:rPr>
              <w:t>Après dimensionnement, des disjoncteurs DC 16A et 80A sont nécessaires. Pouvons-nous les ajouter au bordereau ? Si non, spécifier comment les intégrer.</w:t>
            </w:r>
          </w:p>
        </w:tc>
        <w:tc>
          <w:tcPr>
            <w:tcW w:w="5913" w:type="dxa"/>
            <w:vMerge/>
          </w:tcPr>
          <w:p w14:paraId="328A9911" w14:textId="4DEA43EE" w:rsidR="00A634E5" w:rsidRPr="00653D31" w:rsidRDefault="00A634E5" w:rsidP="008D2C6C">
            <w:pPr>
              <w:jc w:val="both"/>
              <w:rPr>
                <w:rFonts w:ascii="Arial" w:hAnsi="Arial" w:cs="Arial"/>
                <w:lang w:val="fr-FR"/>
              </w:rPr>
            </w:pPr>
          </w:p>
        </w:tc>
      </w:tr>
    </w:tbl>
    <w:p w14:paraId="4CBF47F1" w14:textId="77777777" w:rsidR="00E3007B" w:rsidRPr="00A634E5" w:rsidRDefault="00E3007B" w:rsidP="008D2C6C">
      <w:pPr>
        <w:jc w:val="both"/>
        <w:rPr>
          <w:lang w:val="fr-FR"/>
        </w:rPr>
      </w:pPr>
    </w:p>
    <w:p w14:paraId="4F65A86B" w14:textId="6983E775" w:rsidR="00354C5F" w:rsidRPr="00354C5F" w:rsidRDefault="00354C5F" w:rsidP="008D2C6C">
      <w:pPr>
        <w:jc w:val="both"/>
        <w:rPr>
          <w:lang w:val="fr-FR"/>
        </w:rPr>
      </w:pPr>
    </w:p>
    <w:sectPr w:rsidR="00354C5F" w:rsidRPr="00354C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3C4601C5"/>
    <w:multiLevelType w:val="multilevel"/>
    <w:tmpl w:val="4826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668439">
    <w:abstractNumId w:val="8"/>
  </w:num>
  <w:num w:numId="2" w16cid:durableId="2009361762">
    <w:abstractNumId w:val="6"/>
  </w:num>
  <w:num w:numId="3" w16cid:durableId="651450814">
    <w:abstractNumId w:val="5"/>
  </w:num>
  <w:num w:numId="4" w16cid:durableId="328366019">
    <w:abstractNumId w:val="4"/>
  </w:num>
  <w:num w:numId="5" w16cid:durableId="995304556">
    <w:abstractNumId w:val="7"/>
  </w:num>
  <w:num w:numId="6" w16cid:durableId="628626633">
    <w:abstractNumId w:val="3"/>
  </w:num>
  <w:num w:numId="7" w16cid:durableId="562102508">
    <w:abstractNumId w:val="2"/>
  </w:num>
  <w:num w:numId="8" w16cid:durableId="655105667">
    <w:abstractNumId w:val="1"/>
  </w:num>
  <w:num w:numId="9" w16cid:durableId="685643512">
    <w:abstractNumId w:val="0"/>
  </w:num>
  <w:num w:numId="10" w16cid:durableId="943997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1912"/>
    <w:rsid w:val="0006063C"/>
    <w:rsid w:val="00067560"/>
    <w:rsid w:val="0015074B"/>
    <w:rsid w:val="0029639D"/>
    <w:rsid w:val="002B6A05"/>
    <w:rsid w:val="002F0C09"/>
    <w:rsid w:val="00326F90"/>
    <w:rsid w:val="00354C5F"/>
    <w:rsid w:val="003A7C9C"/>
    <w:rsid w:val="003C35A9"/>
    <w:rsid w:val="004A2AA3"/>
    <w:rsid w:val="00575378"/>
    <w:rsid w:val="00653D31"/>
    <w:rsid w:val="00662912"/>
    <w:rsid w:val="007633CF"/>
    <w:rsid w:val="008D2C6C"/>
    <w:rsid w:val="00961265"/>
    <w:rsid w:val="009F411F"/>
    <w:rsid w:val="00A634E5"/>
    <w:rsid w:val="00AA1D8D"/>
    <w:rsid w:val="00B47730"/>
    <w:rsid w:val="00B60388"/>
    <w:rsid w:val="00C31D8F"/>
    <w:rsid w:val="00C751BF"/>
    <w:rsid w:val="00CB0664"/>
    <w:rsid w:val="00DA6BC9"/>
    <w:rsid w:val="00E21D48"/>
    <w:rsid w:val="00E3007B"/>
    <w:rsid w:val="00E66E84"/>
    <w:rsid w:val="00E71C53"/>
    <w:rsid w:val="00F23B16"/>
    <w:rsid w:val="00F60D3A"/>
    <w:rsid w:val="00FC13FF"/>
    <w:rsid w:val="00FC693F"/>
    <w:rsid w:val="00FF2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1C639"/>
  <w14:defaultImageDpi w14:val="300"/>
  <w15:docId w15:val="{340F0F0B-ADF5-49CB-A792-7F57A416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54C5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3C35A9"/>
    <w:rPr>
      <w:color w:val="0000FF" w:themeColor="hyperlink"/>
      <w:u w:val="single"/>
    </w:rPr>
  </w:style>
  <w:style w:type="character" w:styleId="Mentionnonrsolue">
    <w:name w:val="Unresolved Mention"/>
    <w:basedOn w:val="Policepardfaut"/>
    <w:uiPriority w:val="99"/>
    <w:semiHidden/>
    <w:unhideWhenUsed/>
    <w:rsid w:val="003C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6630">
      <w:bodyDiv w:val="1"/>
      <w:marLeft w:val="0"/>
      <w:marRight w:val="0"/>
      <w:marTop w:val="0"/>
      <w:marBottom w:val="0"/>
      <w:divBdr>
        <w:top w:val="none" w:sz="0" w:space="0" w:color="auto"/>
        <w:left w:val="none" w:sz="0" w:space="0" w:color="auto"/>
        <w:bottom w:val="none" w:sz="0" w:space="0" w:color="auto"/>
        <w:right w:val="none" w:sz="0" w:space="0" w:color="auto"/>
      </w:divBdr>
      <w:divsChild>
        <w:div w:id="474834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br.b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5152-3708-4A06-9534-B91AD835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NTAMAGARA, Willy</cp:lastModifiedBy>
  <cp:revision>34</cp:revision>
  <dcterms:created xsi:type="dcterms:W3CDTF">2025-08-01T10:49:00Z</dcterms:created>
  <dcterms:modified xsi:type="dcterms:W3CDTF">2025-08-01T11:03:00Z</dcterms:modified>
  <cp:category/>
</cp:coreProperties>
</file>