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641B" w14:textId="77777777" w:rsidR="009B263B" w:rsidRPr="003034F1" w:rsidRDefault="009B263B" w:rsidP="00E434FA">
      <w:pPr>
        <w:jc w:val="both"/>
        <w:rPr>
          <w:rFonts w:ascii="Georgia" w:hAnsi="Georgia"/>
          <w:b/>
          <w:bCs/>
          <w:sz w:val="21"/>
          <w:szCs w:val="21"/>
          <w:u w:val="single"/>
        </w:rPr>
      </w:pPr>
    </w:p>
    <w:p w14:paraId="184D3BE6" w14:textId="5ADA15EF" w:rsidR="009B263B" w:rsidRPr="003034F1" w:rsidRDefault="009B263B" w:rsidP="00E434FA">
      <w:pPr>
        <w:tabs>
          <w:tab w:val="left" w:pos="1301"/>
        </w:tabs>
        <w:jc w:val="both"/>
        <w:rPr>
          <w:rFonts w:ascii="Georgia" w:hAnsi="Georgia"/>
          <w:b/>
          <w:bCs/>
          <w:sz w:val="21"/>
          <w:szCs w:val="21"/>
          <w:u w:val="single"/>
        </w:rPr>
      </w:pPr>
      <w:r w:rsidRPr="003034F1">
        <w:rPr>
          <w:rFonts w:ascii="Georgia" w:hAnsi="Georgia"/>
          <w:b/>
          <w:bCs/>
          <w:sz w:val="21"/>
          <w:szCs w:val="21"/>
          <w:u w:val="single"/>
        </w:rPr>
        <w:t>APERCU DES QUESTIONS RELATIF</w:t>
      </w:r>
      <w:r w:rsidR="00B9295A" w:rsidRPr="003034F1">
        <w:rPr>
          <w:rFonts w:ascii="Georgia" w:hAnsi="Georgia"/>
          <w:b/>
          <w:bCs/>
          <w:sz w:val="21"/>
          <w:szCs w:val="21"/>
          <w:u w:val="single"/>
        </w:rPr>
        <w:t xml:space="preserve"> A</w:t>
      </w:r>
      <w:r w:rsidR="00DA3ACB" w:rsidRPr="003034F1">
        <w:rPr>
          <w:rFonts w:ascii="Georgia" w:hAnsi="Georgia"/>
          <w:b/>
          <w:bCs/>
          <w:sz w:val="21"/>
          <w:szCs w:val="21"/>
          <w:u w:val="single"/>
        </w:rPr>
        <w:t>U MARCHE</w:t>
      </w:r>
      <w:r w:rsidRPr="003034F1">
        <w:rPr>
          <w:rFonts w:ascii="Georgia" w:hAnsi="Georgia"/>
          <w:b/>
          <w:bCs/>
          <w:sz w:val="21"/>
          <w:szCs w:val="21"/>
          <w:u w:val="single"/>
        </w:rPr>
        <w:t xml:space="preserve"> N° BDI23006-1</w:t>
      </w:r>
      <w:r w:rsidR="00304F00" w:rsidRPr="003034F1">
        <w:rPr>
          <w:rFonts w:ascii="Georgia" w:hAnsi="Georgia"/>
          <w:b/>
          <w:bCs/>
          <w:sz w:val="21"/>
          <w:szCs w:val="21"/>
          <w:u w:val="single"/>
        </w:rPr>
        <w:t>0014</w:t>
      </w:r>
      <w:r w:rsidRPr="003034F1">
        <w:rPr>
          <w:rFonts w:ascii="Georgia" w:hAnsi="Georgia"/>
          <w:b/>
          <w:bCs/>
          <w:sz w:val="21"/>
          <w:szCs w:val="21"/>
          <w:u w:val="single"/>
        </w:rPr>
        <w:t xml:space="preserve"> </w:t>
      </w:r>
    </w:p>
    <w:tbl>
      <w:tblPr>
        <w:tblStyle w:val="Grilledutableau"/>
        <w:tblW w:w="11057" w:type="dxa"/>
        <w:tblInd w:w="-1139" w:type="dxa"/>
        <w:tblLook w:val="04A0" w:firstRow="1" w:lastRow="0" w:firstColumn="1" w:lastColumn="0" w:noHBand="0" w:noVBand="1"/>
      </w:tblPr>
      <w:tblGrid>
        <w:gridCol w:w="5958"/>
        <w:gridCol w:w="5099"/>
      </w:tblGrid>
      <w:tr w:rsidR="0046465C" w:rsidRPr="00572217" w14:paraId="537C71ED" w14:textId="77777777" w:rsidTr="00053A5D">
        <w:tc>
          <w:tcPr>
            <w:tcW w:w="5958" w:type="dxa"/>
          </w:tcPr>
          <w:p w14:paraId="65FFA318" w14:textId="77777777" w:rsidR="009B263B" w:rsidRPr="00572217" w:rsidRDefault="009B263B" w:rsidP="002D5578">
            <w:pPr>
              <w:tabs>
                <w:tab w:val="left" w:pos="1301"/>
              </w:tabs>
              <w:jc w:val="center"/>
              <w:rPr>
                <w:rFonts w:ascii="Georgia" w:hAnsi="Georgia"/>
                <w:b/>
                <w:bCs/>
                <w:sz w:val="21"/>
                <w:szCs w:val="21"/>
              </w:rPr>
            </w:pPr>
            <w:r w:rsidRPr="00572217">
              <w:rPr>
                <w:rFonts w:ascii="Georgia" w:hAnsi="Georgia"/>
                <w:b/>
                <w:bCs/>
                <w:sz w:val="21"/>
                <w:szCs w:val="21"/>
              </w:rPr>
              <w:t>QUESTION</w:t>
            </w:r>
          </w:p>
        </w:tc>
        <w:tc>
          <w:tcPr>
            <w:tcW w:w="5099" w:type="dxa"/>
          </w:tcPr>
          <w:p w14:paraId="1B20C6EF" w14:textId="77777777" w:rsidR="009B263B" w:rsidRPr="00572217" w:rsidRDefault="009B263B" w:rsidP="002D5578">
            <w:pPr>
              <w:tabs>
                <w:tab w:val="left" w:pos="1301"/>
              </w:tabs>
              <w:jc w:val="center"/>
              <w:rPr>
                <w:rFonts w:ascii="Georgia" w:hAnsi="Georgia"/>
                <w:b/>
                <w:bCs/>
                <w:sz w:val="21"/>
                <w:szCs w:val="21"/>
              </w:rPr>
            </w:pPr>
            <w:r w:rsidRPr="00572217">
              <w:rPr>
                <w:rFonts w:ascii="Georgia" w:hAnsi="Georgia"/>
                <w:b/>
                <w:bCs/>
                <w:sz w:val="21"/>
                <w:szCs w:val="21"/>
              </w:rPr>
              <w:t>REPONSE</w:t>
            </w:r>
          </w:p>
        </w:tc>
      </w:tr>
      <w:tr w:rsidR="0046465C" w:rsidRPr="00572217" w14:paraId="5ED903E8" w14:textId="77777777" w:rsidTr="00053A5D">
        <w:tc>
          <w:tcPr>
            <w:tcW w:w="5958" w:type="dxa"/>
          </w:tcPr>
          <w:p w14:paraId="215B7530" w14:textId="77777777" w:rsidR="00304F00" w:rsidRPr="00304F00" w:rsidRDefault="00304F00" w:rsidP="00304F00">
            <w:pPr>
              <w:tabs>
                <w:tab w:val="left" w:pos="1301"/>
              </w:tabs>
              <w:jc w:val="both"/>
              <w:rPr>
                <w:rFonts w:ascii="Georgia" w:hAnsi="Georgia"/>
                <w:sz w:val="21"/>
                <w:szCs w:val="21"/>
              </w:rPr>
            </w:pPr>
            <w:r w:rsidRPr="00304F00">
              <w:rPr>
                <w:rFonts w:ascii="Georgia" w:hAnsi="Georgia"/>
                <w:sz w:val="21"/>
                <w:szCs w:val="21"/>
              </w:rPr>
              <w:t>Dans le cadre de l’appel d’offre BDI23006-10014 relatif à la fourniture, l’installation et la mise en service de backup solaires dans plusieurs lycées du Burundi, nous souhaiterions obtenir une clarification concernant l’éligibilité des références techniques et financières.</w:t>
            </w:r>
          </w:p>
          <w:p w14:paraId="4CAB66F6" w14:textId="77777777" w:rsidR="00304F00" w:rsidRPr="00304F00" w:rsidRDefault="00304F00" w:rsidP="00304F00">
            <w:pPr>
              <w:tabs>
                <w:tab w:val="left" w:pos="1301"/>
              </w:tabs>
              <w:jc w:val="both"/>
              <w:rPr>
                <w:rFonts w:ascii="Georgia" w:hAnsi="Georgia"/>
                <w:sz w:val="21"/>
                <w:szCs w:val="21"/>
              </w:rPr>
            </w:pPr>
          </w:p>
          <w:p w14:paraId="36151E12" w14:textId="0491A037" w:rsidR="00304F00" w:rsidRPr="00304F00" w:rsidRDefault="00304F00" w:rsidP="00304F00">
            <w:pPr>
              <w:tabs>
                <w:tab w:val="left" w:pos="1301"/>
              </w:tabs>
              <w:jc w:val="both"/>
              <w:rPr>
                <w:rFonts w:ascii="Georgia" w:hAnsi="Georgia"/>
                <w:sz w:val="21"/>
                <w:szCs w:val="21"/>
              </w:rPr>
            </w:pPr>
            <w:r w:rsidRPr="00304F00">
              <w:rPr>
                <w:rFonts w:ascii="Georgia" w:hAnsi="Georgia"/>
                <w:sz w:val="21"/>
                <w:szCs w:val="21"/>
              </w:rPr>
              <w:t>En effet, dans le cas où une société récemment enregistrée au Burundi, constituée en Joint Venture, soumet une offre, pourriez-vous nous confirmer si les références techniques et/ou financières des sociétés mères composant la Joint Venture peuvent être considérées comme valides et recevables pour l’évaluation des capacités de ladite Joint Venture ?</w:t>
            </w:r>
          </w:p>
          <w:p w14:paraId="640012E0" w14:textId="3E26D30F" w:rsidR="009B263B" w:rsidRPr="00F06540" w:rsidRDefault="009B263B" w:rsidP="004E4537">
            <w:pPr>
              <w:tabs>
                <w:tab w:val="left" w:pos="1301"/>
              </w:tabs>
              <w:jc w:val="both"/>
              <w:rPr>
                <w:rFonts w:ascii="Georgia" w:hAnsi="Georgia"/>
                <w:sz w:val="21"/>
                <w:szCs w:val="21"/>
              </w:rPr>
            </w:pPr>
          </w:p>
        </w:tc>
        <w:tc>
          <w:tcPr>
            <w:tcW w:w="5099" w:type="dxa"/>
          </w:tcPr>
          <w:p w14:paraId="6C6940B9" w14:textId="210FDC56" w:rsidR="00600FB7" w:rsidRPr="00600FB7" w:rsidRDefault="00600FB7" w:rsidP="00600FB7">
            <w:pPr>
              <w:shd w:val="clear" w:color="auto" w:fill="FFFFFF"/>
              <w:textAlignment w:val="baseline"/>
              <w:rPr>
                <w:rFonts w:ascii="Georgia" w:hAnsi="Georgia"/>
                <w:sz w:val="21"/>
                <w:szCs w:val="21"/>
              </w:rPr>
            </w:pPr>
            <w:r w:rsidRPr="005F0D02">
              <w:rPr>
                <w:rFonts w:ascii="Georgia" w:hAnsi="Georgia"/>
                <w:sz w:val="21"/>
                <w:szCs w:val="21"/>
              </w:rPr>
              <w:t>Réponse :</w:t>
            </w:r>
            <w:r w:rsidRPr="00600FB7">
              <w:rPr>
                <w:rFonts w:ascii="Georgia" w:hAnsi="Georgia"/>
                <w:sz w:val="21"/>
                <w:szCs w:val="21"/>
              </w:rPr>
              <w:t xml:space="preserve"> Non </w:t>
            </w:r>
          </w:p>
          <w:p w14:paraId="1CE4FBBC" w14:textId="0D1C3391" w:rsidR="00600FB7" w:rsidRPr="00600FB7" w:rsidRDefault="00600FB7" w:rsidP="00600FB7">
            <w:pPr>
              <w:shd w:val="clear" w:color="auto" w:fill="FFFFFF"/>
              <w:textAlignment w:val="baseline"/>
              <w:rPr>
                <w:rFonts w:ascii="Georgia" w:hAnsi="Georgia"/>
                <w:sz w:val="21"/>
                <w:szCs w:val="21"/>
              </w:rPr>
            </w:pPr>
            <w:r w:rsidRPr="005F0D02">
              <w:rPr>
                <w:rFonts w:ascii="Georgia" w:hAnsi="Georgia"/>
                <w:sz w:val="21"/>
                <w:szCs w:val="21"/>
              </w:rPr>
              <w:t>Alternative :</w:t>
            </w:r>
            <w:r w:rsidRPr="00600FB7">
              <w:rPr>
                <w:rFonts w:ascii="Georgia" w:hAnsi="Georgia"/>
                <w:sz w:val="21"/>
                <w:szCs w:val="21"/>
              </w:rPr>
              <w:t xml:space="preserve"> La filiale/joint venture et sa maison mère peuvent constituer un groupement prouvé par un acte notarié.</w:t>
            </w:r>
          </w:p>
          <w:p w14:paraId="61E665B7" w14:textId="77777777" w:rsidR="009B263B" w:rsidRPr="00600FB7" w:rsidRDefault="009B263B" w:rsidP="00600FB7">
            <w:pPr>
              <w:shd w:val="clear" w:color="auto" w:fill="FFFFFF"/>
              <w:textAlignment w:val="baseline"/>
              <w:rPr>
                <w:rFonts w:ascii="Georgia" w:hAnsi="Georgia"/>
                <w:sz w:val="21"/>
                <w:szCs w:val="21"/>
              </w:rPr>
            </w:pPr>
          </w:p>
        </w:tc>
      </w:tr>
      <w:tr w:rsidR="0046465C" w:rsidRPr="00572217" w14:paraId="04CD7F33" w14:textId="77777777" w:rsidTr="00053A5D">
        <w:tc>
          <w:tcPr>
            <w:tcW w:w="5958" w:type="dxa"/>
          </w:tcPr>
          <w:p w14:paraId="36F382D2" w14:textId="77777777" w:rsidR="005F2F49" w:rsidRPr="00F13172" w:rsidRDefault="005F2F49" w:rsidP="00403F64">
            <w:r w:rsidRPr="00F13172">
              <w:t xml:space="preserve">Pourriez-vous clarifier le point 2.15.5, page 38, portant sur la « Facturation et paiement des fournitures ». Plus précisément, que voulez-vous dire exactement par </w:t>
            </w:r>
            <w:r w:rsidRPr="00F13172">
              <w:rPr>
                <w:rFonts w:ascii="Calibri Light" w:hAnsi="Calibri Light" w:cs="Calibri Light"/>
                <w:i/>
                <w:iCs/>
              </w:rPr>
              <w:t>réception définitive de chaque livraison</w:t>
            </w:r>
            <w:r w:rsidRPr="00F13172">
              <w:rPr>
                <w:rFonts w:ascii="Calibri Light" w:hAnsi="Calibri Light" w:cs="Calibri Light"/>
              </w:rPr>
              <w:t xml:space="preserve"> </w:t>
            </w:r>
            <w:r w:rsidRPr="00F13172">
              <w:t>dans le dernier paragraphe de la page 38 ?</w:t>
            </w:r>
          </w:p>
          <w:p w14:paraId="36EE8589" w14:textId="77777777" w:rsidR="005F2F49" w:rsidRPr="00F13172" w:rsidRDefault="005F2F49" w:rsidP="005F2F49">
            <w:pPr>
              <w:pStyle w:val="Paragraphedeliste"/>
            </w:pPr>
          </w:p>
          <w:p w14:paraId="7785AB0A" w14:textId="77777777" w:rsidR="005F2F49" w:rsidRPr="00F13172" w:rsidRDefault="005F2F49" w:rsidP="00403F64">
            <w:r w:rsidRPr="00F13172">
              <w:t>A la lecture de ce point 2.15.5, nous comprenons que la facture originale doit être transmise préalablement à l’arrivée du matériel en douane. Nous comprenons aussi que le pouvoir adjudicateur doit effectuer la vérification et le paiement dans un délai de 30 jours</w:t>
            </w:r>
            <w:r w:rsidRPr="00F13172">
              <w:rPr>
                <w:u w:val="single"/>
              </w:rPr>
              <w:t xml:space="preserve"> à compter de la livraison</w:t>
            </w:r>
            <w:r w:rsidRPr="00F13172">
              <w:t xml:space="preserve">. </w:t>
            </w:r>
          </w:p>
          <w:p w14:paraId="5DFF8967" w14:textId="77777777" w:rsidR="005F2F49" w:rsidRPr="00F13172" w:rsidRDefault="005F2F49" w:rsidP="00403F64">
            <w:r w:rsidRPr="00F13172">
              <w:t xml:space="preserve">Par </w:t>
            </w:r>
            <w:r w:rsidRPr="00F13172">
              <w:rPr>
                <w:rFonts w:ascii="Calibri Light" w:hAnsi="Calibri Light" w:cs="Calibri Light"/>
                <w:i/>
                <w:iCs/>
              </w:rPr>
              <w:t>livraison</w:t>
            </w:r>
            <w:r w:rsidRPr="00F13172">
              <w:t xml:space="preserve"> et </w:t>
            </w:r>
            <w:r w:rsidRPr="00F13172">
              <w:rPr>
                <w:rFonts w:ascii="Calibri Light" w:hAnsi="Calibri Light" w:cs="Calibri Light"/>
                <w:i/>
                <w:iCs/>
              </w:rPr>
              <w:t>réception définitive de chaque livraison</w:t>
            </w:r>
            <w:r w:rsidRPr="00F13172">
              <w:t xml:space="preserve">, faut-il comprendre que la facture originale qui sera émise préalablement à l’importation du matériel sera validée et payée dans un délai de 30 jours à partir du moment où la réception </w:t>
            </w:r>
            <w:r w:rsidRPr="00F13172">
              <w:rPr>
                <w:b/>
                <w:bCs/>
              </w:rPr>
              <w:t>définitive</w:t>
            </w:r>
            <w:r w:rsidRPr="00F13172">
              <w:t xml:space="preserve"> aura eu lieux, soit à l’issue du délai de garantie qui est </w:t>
            </w:r>
            <w:r w:rsidRPr="00F13172">
              <w:rPr>
                <w:b/>
                <w:bCs/>
              </w:rPr>
              <w:t>d’un an après la réception provisoire</w:t>
            </w:r>
            <w:r w:rsidRPr="00F13172">
              <w:t xml:space="preserve"> (accordée), soit un an après l’exécution ? </w:t>
            </w:r>
          </w:p>
          <w:p w14:paraId="2F472E7A" w14:textId="77777777" w:rsidR="005F2F49" w:rsidRPr="00F13172" w:rsidRDefault="005F2F49" w:rsidP="005F2F49">
            <w:pPr>
              <w:pStyle w:val="Paragraphedeliste"/>
            </w:pPr>
          </w:p>
          <w:p w14:paraId="58CED409" w14:textId="77777777" w:rsidR="005F2F49" w:rsidRPr="00F13172" w:rsidRDefault="005F2F49" w:rsidP="005F2F49">
            <w:pPr>
              <w:pStyle w:val="Paragraphedeliste"/>
            </w:pPr>
          </w:p>
          <w:p w14:paraId="11A955AF" w14:textId="77777777" w:rsidR="005F2F49" w:rsidRPr="00F13172" w:rsidRDefault="005F2F49" w:rsidP="00403F64">
            <w:r w:rsidRPr="00F13172">
              <w:t xml:space="preserve">Si notre interprétation est correcte et que le paiement de la facture ne peut avoir lieu que dans un délai de 30 jours à compter de la </w:t>
            </w:r>
            <w:r w:rsidRPr="00F13172">
              <w:rPr>
                <w:rFonts w:ascii="Calibri Light" w:hAnsi="Calibri Light" w:cs="Calibri Light"/>
                <w:i/>
                <w:iCs/>
              </w:rPr>
              <w:t>réception définitive de chaque livraison</w:t>
            </w:r>
            <w:r w:rsidRPr="00F13172">
              <w:t>, nous estimons que cette clause sur les conditions de paiement est disproportionnée et non justifiée. D’autant plus qu’aucune avance n’est possible et qu’un cautionnement est demandé.</w:t>
            </w:r>
          </w:p>
          <w:p w14:paraId="2848CA15" w14:textId="77777777" w:rsidR="005F2F49" w:rsidRPr="00F13172" w:rsidRDefault="005F2F49" w:rsidP="005F2F49">
            <w:pPr>
              <w:pStyle w:val="Paragraphedeliste"/>
            </w:pPr>
          </w:p>
          <w:p w14:paraId="0B7D4141" w14:textId="77777777" w:rsidR="005F2F49" w:rsidRPr="00F13172" w:rsidRDefault="005F2F49" w:rsidP="00403F64">
            <w:r w:rsidRPr="00F13172">
              <w:t xml:space="preserve">Selon nous, le paiement devrait intervenir dans les 30 jours après la réception provisoire accordée (réception effective des fournitures), à défaut de clause valablement motivée et proportionnée imposant la réception définitive comme point de départ pour ce délai de 30 jours. </w:t>
            </w:r>
          </w:p>
          <w:p w14:paraId="4C9A2AD9" w14:textId="77777777" w:rsidR="006E6FC4" w:rsidRPr="00F13172" w:rsidRDefault="006E6FC4" w:rsidP="00304F00">
            <w:pPr>
              <w:tabs>
                <w:tab w:val="left" w:pos="1301"/>
              </w:tabs>
              <w:jc w:val="both"/>
              <w:rPr>
                <w:rFonts w:ascii="Georgia" w:hAnsi="Georgia"/>
                <w:sz w:val="21"/>
                <w:szCs w:val="21"/>
              </w:rPr>
            </w:pPr>
          </w:p>
        </w:tc>
        <w:tc>
          <w:tcPr>
            <w:tcW w:w="5099" w:type="dxa"/>
          </w:tcPr>
          <w:p w14:paraId="082BD4FE" w14:textId="0B65EFD0" w:rsidR="00646448" w:rsidRPr="00D43DB5" w:rsidRDefault="00C06EAC" w:rsidP="004713AA">
            <w:r w:rsidRPr="00D43DB5">
              <w:t>Réponse :</w:t>
            </w:r>
            <w:r w:rsidR="00435872" w:rsidRPr="00D43DB5">
              <w:t xml:space="preserve"> Vous avez raison </w:t>
            </w:r>
          </w:p>
          <w:p w14:paraId="5A9584D1" w14:textId="12B923CC" w:rsidR="006E6FC4" w:rsidRPr="00D43DB5" w:rsidRDefault="006E6FC4" w:rsidP="004713AA">
            <w:r w:rsidRPr="00D43DB5">
              <w:t xml:space="preserve">le paiement devrait intervenir dans les </w:t>
            </w:r>
            <w:r w:rsidRPr="00D43DB5">
              <w:rPr>
                <w:b/>
                <w:bCs/>
              </w:rPr>
              <w:t>30 jours après la réception provisoire accordée (réception effective des fournitures</w:t>
            </w:r>
            <w:r w:rsidR="00FE39D8" w:rsidRPr="00D43DB5">
              <w:rPr>
                <w:b/>
                <w:bCs/>
              </w:rPr>
              <w:t>,</w:t>
            </w:r>
            <w:r w:rsidR="00FE39D8" w:rsidRPr="00D43DB5">
              <w:rPr>
                <w:lang w:val="fr-FR"/>
              </w:rPr>
              <w:t xml:space="preserve"> installation et tests des équipements</w:t>
            </w:r>
            <w:r w:rsidRPr="00D43DB5">
              <w:rPr>
                <w:b/>
                <w:bCs/>
              </w:rPr>
              <w:t>)</w:t>
            </w:r>
            <w:r w:rsidRPr="00D43DB5">
              <w:t xml:space="preserve">, à défaut de clause valablement motivée et proportionnée imposant la réception définitive comme point de départ pour ce délai de 30 jours. </w:t>
            </w:r>
          </w:p>
          <w:p w14:paraId="03D43CDC" w14:textId="77777777" w:rsidR="00435872" w:rsidRPr="00D43DB5" w:rsidRDefault="00435872" w:rsidP="004713AA">
            <w:pPr>
              <w:rPr>
                <w:i/>
                <w:iCs/>
              </w:rPr>
            </w:pPr>
          </w:p>
          <w:p w14:paraId="39128992" w14:textId="12EE22A1" w:rsidR="00435872" w:rsidRPr="00D43DB5" w:rsidRDefault="00435872" w:rsidP="004713AA">
            <w:pPr>
              <w:rPr>
                <w:i/>
                <w:iCs/>
              </w:rPr>
            </w:pPr>
            <w:r w:rsidRPr="00D43DB5">
              <w:rPr>
                <w:i/>
                <w:iCs/>
              </w:rPr>
              <w:t>Action : un addendum sera pré</w:t>
            </w:r>
            <w:r w:rsidR="00A17177" w:rsidRPr="00D43DB5">
              <w:rPr>
                <w:i/>
                <w:iCs/>
              </w:rPr>
              <w:t>paré et publié</w:t>
            </w:r>
          </w:p>
          <w:p w14:paraId="36A20768" w14:textId="77777777" w:rsidR="006E6FC4" w:rsidRPr="00D43DB5" w:rsidRDefault="006E6FC4" w:rsidP="00600FB7">
            <w:pPr>
              <w:shd w:val="clear" w:color="auto" w:fill="FFFFFF"/>
              <w:textAlignment w:val="baseline"/>
              <w:rPr>
                <w:rFonts w:ascii="Georgia" w:hAnsi="Georgia"/>
                <w:sz w:val="21"/>
                <w:szCs w:val="21"/>
              </w:rPr>
            </w:pPr>
          </w:p>
          <w:p w14:paraId="516AAF22" w14:textId="77777777" w:rsidR="00FE39D8" w:rsidRPr="00D43DB5" w:rsidRDefault="00FE39D8" w:rsidP="00600FB7">
            <w:pPr>
              <w:shd w:val="clear" w:color="auto" w:fill="FFFFFF"/>
              <w:textAlignment w:val="baseline"/>
              <w:rPr>
                <w:rFonts w:ascii="Georgia" w:hAnsi="Georgia"/>
                <w:sz w:val="21"/>
                <w:szCs w:val="21"/>
              </w:rPr>
            </w:pPr>
          </w:p>
        </w:tc>
      </w:tr>
      <w:tr w:rsidR="0046465C" w:rsidRPr="00572217" w14:paraId="794F064B" w14:textId="77777777" w:rsidTr="00053A5D">
        <w:tc>
          <w:tcPr>
            <w:tcW w:w="5958" w:type="dxa"/>
          </w:tcPr>
          <w:p w14:paraId="24D27E9A" w14:textId="77777777" w:rsidR="00403F64" w:rsidRPr="00F13172" w:rsidRDefault="00403F64" w:rsidP="00C502B1">
            <w:r w:rsidRPr="00F13172">
              <w:lastRenderedPageBreak/>
              <w:t xml:space="preserve">Concernant la facturation et paiement toujours, la réception provisoire et la facturation sur base d’état d’avancement (par site/lycée) de manière indépendante est-elle envisageable ? </w:t>
            </w:r>
          </w:p>
          <w:p w14:paraId="649FDE2B" w14:textId="77777777" w:rsidR="005F2F49" w:rsidRPr="00F13172" w:rsidRDefault="005F2F49" w:rsidP="00403F64">
            <w:pPr>
              <w:pStyle w:val="Paragraphedeliste"/>
            </w:pPr>
          </w:p>
        </w:tc>
        <w:tc>
          <w:tcPr>
            <w:tcW w:w="5099" w:type="dxa"/>
          </w:tcPr>
          <w:p w14:paraId="0EAF9D8B" w14:textId="77777777" w:rsidR="00E6477F" w:rsidRPr="00D43DB5" w:rsidRDefault="004345A0" w:rsidP="004713AA">
            <w:r w:rsidRPr="00D43DB5">
              <w:t>Non le paiement se fera après la réception provisoire du marché et la période de garantie technique restera couver</w:t>
            </w:r>
            <w:r w:rsidR="00E6477F" w:rsidRPr="00D43DB5">
              <w:t>te par le cautionnement/garantie de bonne exé</w:t>
            </w:r>
            <w:r w:rsidR="00C502B1" w:rsidRPr="00D43DB5">
              <w:t>cution.</w:t>
            </w:r>
          </w:p>
          <w:p w14:paraId="641AF5A7" w14:textId="720F0001" w:rsidR="00F40F38" w:rsidRPr="00D43DB5" w:rsidRDefault="00F40F38" w:rsidP="004713AA">
            <w:pPr>
              <w:rPr>
                <w:i/>
                <w:iCs/>
              </w:rPr>
            </w:pPr>
            <w:r w:rsidRPr="00D43DB5">
              <w:rPr>
                <w:i/>
                <w:iCs/>
              </w:rPr>
              <w:t xml:space="preserve">NB. </w:t>
            </w:r>
            <w:r w:rsidR="00D859D5" w:rsidRPr="00D43DB5">
              <w:rPr>
                <w:i/>
                <w:iCs/>
              </w:rPr>
              <w:t>Le point sera clarifié dans l’addendum à publier</w:t>
            </w:r>
          </w:p>
        </w:tc>
      </w:tr>
      <w:tr w:rsidR="0036003F" w:rsidRPr="00572217" w14:paraId="7329D8C7" w14:textId="77777777" w:rsidTr="006254DB">
        <w:trPr>
          <w:trHeight w:val="596"/>
        </w:trPr>
        <w:tc>
          <w:tcPr>
            <w:tcW w:w="5958" w:type="dxa"/>
            <w:tcBorders>
              <w:right w:val="nil"/>
            </w:tcBorders>
          </w:tcPr>
          <w:p w14:paraId="1D30D10A" w14:textId="72747341" w:rsidR="0036003F" w:rsidRPr="00F13172" w:rsidRDefault="0036003F" w:rsidP="0036003F">
            <w:pPr>
              <w:keepNext/>
              <w:keepLines/>
              <w:spacing w:before="160" w:after="80"/>
              <w:outlineLvl w:val="2"/>
              <w:rPr>
                <w:rFonts w:eastAsiaTheme="majorEastAsia" w:cstheme="majorBidi"/>
                <w:sz w:val="28"/>
                <w:szCs w:val="28"/>
                <w:lang w:val="fr-BE"/>
              </w:rPr>
            </w:pPr>
            <w:r w:rsidRPr="00F13172">
              <w:rPr>
                <w:rFonts w:eastAsiaTheme="majorEastAsia" w:cstheme="majorBidi"/>
                <w:sz w:val="28"/>
                <w:szCs w:val="28"/>
                <w:lang w:val="fr-BE"/>
              </w:rPr>
              <w:t>Question d’ordre technique</w:t>
            </w:r>
          </w:p>
        </w:tc>
        <w:tc>
          <w:tcPr>
            <w:tcW w:w="5099" w:type="dxa"/>
            <w:tcBorders>
              <w:left w:val="nil"/>
            </w:tcBorders>
          </w:tcPr>
          <w:p w14:paraId="74D0390F" w14:textId="77777777" w:rsidR="0036003F" w:rsidRPr="00D43DB5" w:rsidRDefault="0036003F" w:rsidP="004713AA"/>
        </w:tc>
      </w:tr>
      <w:tr w:rsidR="0046465C" w:rsidRPr="00572217" w14:paraId="4E7E3002" w14:textId="77777777" w:rsidTr="00053A5D">
        <w:tc>
          <w:tcPr>
            <w:tcW w:w="5958" w:type="dxa"/>
          </w:tcPr>
          <w:p w14:paraId="5339FE92" w14:textId="77777777" w:rsidR="002A688F" w:rsidRPr="00F13172" w:rsidRDefault="002A688F" w:rsidP="002A688F">
            <w:r w:rsidRPr="00F13172">
              <w:t>Le cahier des charges et le bordereau quantitatif imposent des équipements et des quantités très spécifiques, ce qui limite fortement notre capacité à concevoir une solution techniquement et économiquement optimisée. Cette approche restreint la flexibilité de dimensionnement et empêche de proposer les alternatives que nous jugeons plus adaptées aux besoins du projet.</w:t>
            </w:r>
          </w:p>
          <w:p w14:paraId="72E80DEA" w14:textId="77777777" w:rsidR="002A688F" w:rsidRPr="00F13172" w:rsidRDefault="002A688F" w:rsidP="002A688F">
            <w:r w:rsidRPr="00F13172">
              <w:t xml:space="preserve">Parmi ces contraintes on peut citer : </w:t>
            </w:r>
          </w:p>
          <w:p w14:paraId="4B6AB2E8" w14:textId="4DC8623C" w:rsidR="002A688F" w:rsidRPr="00F13172" w:rsidRDefault="002A688F" w:rsidP="00B26F51">
            <w:pPr>
              <w:pStyle w:val="Paragraphedeliste"/>
              <w:numPr>
                <w:ilvl w:val="0"/>
                <w:numId w:val="6"/>
              </w:numPr>
            </w:pPr>
            <w:r w:rsidRPr="00F13172">
              <w:t xml:space="preserve">Le bordereau impose des sections de câble et des longueurs : </w:t>
            </w:r>
          </w:p>
          <w:p w14:paraId="73137DA7" w14:textId="6C86A0AC" w:rsidR="00B26F51" w:rsidRPr="00F13172" w:rsidRDefault="00B26F51" w:rsidP="00B26F51">
            <w:r w:rsidRPr="00F13172">
              <w:rPr>
                <w:noProof/>
              </w:rPr>
              <w:drawing>
                <wp:inline distT="0" distB="0" distL="0" distR="0" wp14:anchorId="66E883B4" wp14:editId="471662BD">
                  <wp:extent cx="2935301" cy="571661"/>
                  <wp:effectExtent l="0" t="0" r="0" b="0"/>
                  <wp:docPr id="243364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3586" cy="604435"/>
                          </a:xfrm>
                          <a:prstGeom prst="rect">
                            <a:avLst/>
                          </a:prstGeom>
                          <a:noFill/>
                        </pic:spPr>
                      </pic:pic>
                    </a:graphicData>
                  </a:graphic>
                </wp:inline>
              </w:drawing>
            </w:r>
          </w:p>
          <w:p w14:paraId="575E5382" w14:textId="77777777" w:rsidR="002A688F" w:rsidRPr="00F13172" w:rsidRDefault="002A688F" w:rsidP="002A688F">
            <w:pPr>
              <w:pStyle w:val="Paragraphedeliste"/>
            </w:pPr>
            <w:r w:rsidRPr="00F13172">
              <w:t xml:space="preserve"> </w:t>
            </w:r>
          </w:p>
          <w:p w14:paraId="6E09EF98" w14:textId="0481D37D" w:rsidR="002A688F" w:rsidRPr="00F13172" w:rsidRDefault="002A688F" w:rsidP="00FE39D8">
            <w:pPr>
              <w:pStyle w:val="Paragraphedeliste"/>
            </w:pPr>
            <w:r w:rsidRPr="00F13172">
              <w:t>Pourtant le CSC indique plusieurs câbles à utiliser :</w:t>
            </w:r>
          </w:p>
          <w:p w14:paraId="09540EF9" w14:textId="78CF1E20" w:rsidR="00B26F51" w:rsidRPr="00F13172" w:rsidRDefault="00B26F51" w:rsidP="00B26F51">
            <w:r w:rsidRPr="00F13172">
              <w:rPr>
                <w:noProof/>
              </w:rPr>
              <w:drawing>
                <wp:inline distT="0" distB="0" distL="0" distR="0" wp14:anchorId="3CC3B041" wp14:editId="4266CE88">
                  <wp:extent cx="3565392" cy="247515"/>
                  <wp:effectExtent l="0" t="0" r="0" b="635"/>
                  <wp:docPr id="6240891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49378" name=""/>
                          <pic:cNvPicPr/>
                        </pic:nvPicPr>
                        <pic:blipFill>
                          <a:blip r:embed="rId6">
                            <a:extLst>
                              <a:ext uri="{28A0092B-C50C-407E-A947-70E740481C1C}">
                                <a14:useLocalDpi xmlns:a14="http://schemas.microsoft.com/office/drawing/2010/main"/>
                              </a:ext>
                            </a:extLst>
                          </a:blip>
                          <a:stretch>
                            <a:fillRect/>
                          </a:stretch>
                        </pic:blipFill>
                        <pic:spPr>
                          <a:xfrm>
                            <a:off x="0" y="0"/>
                            <a:ext cx="3944946" cy="273864"/>
                          </a:xfrm>
                          <a:prstGeom prst="rect">
                            <a:avLst/>
                          </a:prstGeom>
                        </pic:spPr>
                      </pic:pic>
                    </a:graphicData>
                  </a:graphic>
                </wp:inline>
              </w:drawing>
            </w:r>
          </w:p>
          <w:p w14:paraId="1BDB25C3" w14:textId="2FFB391C" w:rsidR="0046465C" w:rsidRPr="00F13172" w:rsidRDefault="0046465C" w:rsidP="0046465C">
            <w:pPr>
              <w:pStyle w:val="Paragraphedeliste"/>
            </w:pPr>
            <w:r w:rsidRPr="00F13172">
              <w:rPr>
                <w:noProof/>
              </w:rPr>
              <w:drawing>
                <wp:inline distT="0" distB="0" distL="0" distR="0" wp14:anchorId="7A7FB2C5" wp14:editId="6FEF36CE">
                  <wp:extent cx="3189536" cy="1006157"/>
                  <wp:effectExtent l="0" t="0" r="0" b="3810"/>
                  <wp:docPr id="16274923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2738" cy="1019785"/>
                          </a:xfrm>
                          <a:prstGeom prst="rect">
                            <a:avLst/>
                          </a:prstGeom>
                          <a:noFill/>
                        </pic:spPr>
                      </pic:pic>
                    </a:graphicData>
                  </a:graphic>
                </wp:inline>
              </w:drawing>
            </w:r>
          </w:p>
          <w:p w14:paraId="53CBC0B2" w14:textId="44416561" w:rsidR="002A688F" w:rsidRPr="00F13172" w:rsidRDefault="002A688F" w:rsidP="002A688F">
            <w:pPr>
              <w:pStyle w:val="Paragraphedeliste"/>
            </w:pPr>
            <w:r w:rsidRPr="00F13172">
              <w:t>Dans quel poste devons-nous placer ces câbles ?</w:t>
            </w:r>
          </w:p>
        </w:tc>
        <w:tc>
          <w:tcPr>
            <w:tcW w:w="5099" w:type="dxa"/>
          </w:tcPr>
          <w:p w14:paraId="4AAC4920" w14:textId="25EB8F25" w:rsidR="002A688F" w:rsidRPr="00D43DB5" w:rsidRDefault="00685C0C" w:rsidP="004713AA">
            <w:r w:rsidRPr="00D43DB5">
              <w:t>Les sections sont choisies en fonction du courant de transit et les longueurs indiquées sont basées sur les relevés du terrain. Le soumissionnaire doit les confirmer ou les ajuster en fonction de son dimensionnement final et les intégrer dans les postes appropriés du bordereau (câblage DC ou AC). Dans le CSC, nous avons donné une large gamme de sections.</w:t>
            </w:r>
          </w:p>
        </w:tc>
      </w:tr>
      <w:tr w:rsidR="00053A5D" w:rsidRPr="00572217" w14:paraId="3A106C0E" w14:textId="77777777" w:rsidTr="00053A5D">
        <w:tc>
          <w:tcPr>
            <w:tcW w:w="5958" w:type="dxa"/>
          </w:tcPr>
          <w:p w14:paraId="1A6AE64C" w14:textId="77777777" w:rsidR="00053A5D" w:rsidRPr="00F13172" w:rsidRDefault="00053A5D" w:rsidP="007A78D7">
            <w:r w:rsidRPr="00F13172">
              <w:t xml:space="preserve">Les spécificités techniques des panneaux solaires sont imposées (550 </w:t>
            </w:r>
            <w:proofErr w:type="spellStart"/>
            <w:r w:rsidRPr="00F13172">
              <w:t>Wc</w:t>
            </w:r>
            <w:proofErr w:type="spellEnd"/>
            <w:r w:rsidRPr="00F13172">
              <w:t xml:space="preserve"> /12,7 A / 44 V), peut-on proposer d’autres panneaux solaires ?</w:t>
            </w:r>
          </w:p>
          <w:p w14:paraId="506EDA4E" w14:textId="77777777" w:rsidR="00053A5D" w:rsidRPr="00F13172" w:rsidRDefault="00053A5D" w:rsidP="002A688F"/>
        </w:tc>
        <w:tc>
          <w:tcPr>
            <w:tcW w:w="5099" w:type="dxa"/>
            <w:vMerge w:val="restart"/>
          </w:tcPr>
          <w:p w14:paraId="47B9B2E2" w14:textId="46117A39" w:rsidR="00053A5D" w:rsidRPr="00D43DB5" w:rsidRDefault="00053A5D" w:rsidP="004713AA">
            <w:r w:rsidRPr="00D43DB5">
              <w:t>Les caractéristiques minimales définies doivent être respectées en termes de performance globale et de production énergétique. Toute alternative (panneaux de puissance différente, batteries d’autres capacités, régulateur MPPT séparé mais compatible) est recevable si elle assure les mêmes résultats et est justifiée par une note de calcul et des schémas qui accompagneront l’offre de soumission.</w:t>
            </w:r>
          </w:p>
        </w:tc>
      </w:tr>
      <w:tr w:rsidR="00053A5D" w:rsidRPr="00572217" w14:paraId="24908D3D" w14:textId="77777777" w:rsidTr="00053A5D">
        <w:tc>
          <w:tcPr>
            <w:tcW w:w="5958" w:type="dxa"/>
          </w:tcPr>
          <w:p w14:paraId="4240BA4D" w14:textId="097353D4" w:rsidR="00053A5D" w:rsidRPr="00F13172" w:rsidRDefault="00053A5D" w:rsidP="007A78D7">
            <w:r w:rsidRPr="00F13172">
              <w:t>Peut-on proposer des batteries dont la capacité est différente de 200 Ah ?</w:t>
            </w:r>
          </w:p>
        </w:tc>
        <w:tc>
          <w:tcPr>
            <w:tcW w:w="5099" w:type="dxa"/>
            <w:vMerge/>
          </w:tcPr>
          <w:p w14:paraId="4837ED1F" w14:textId="77777777" w:rsidR="00053A5D" w:rsidRPr="00D43DB5" w:rsidRDefault="00053A5D" w:rsidP="004713AA"/>
        </w:tc>
      </w:tr>
      <w:tr w:rsidR="00053A5D" w:rsidRPr="00572217" w14:paraId="6ADC0179" w14:textId="77777777" w:rsidTr="004B7829">
        <w:trPr>
          <w:trHeight w:val="2418"/>
        </w:trPr>
        <w:tc>
          <w:tcPr>
            <w:tcW w:w="5958" w:type="dxa"/>
            <w:tcBorders>
              <w:bottom w:val="single" w:sz="4" w:space="0" w:color="auto"/>
            </w:tcBorders>
          </w:tcPr>
          <w:p w14:paraId="431AAC3D" w14:textId="7081F5D0" w:rsidR="00053A5D" w:rsidRPr="00F13172" w:rsidRDefault="00053A5D" w:rsidP="007A78D7">
            <w:r w:rsidRPr="00F13172">
              <w:t>Le Cahier des Charges spécifie que le régulateur de charge MPPT doit être intégré à l’onduleur. Serait-il envisageable de proposer une solution dans laquelle le régulateur MPPT, bien que physiquement séparé du convertisseur/chargeur, reste parfaitement intégré à l’architecture globale du système (même fabricant, compatibilité et communication assurées) ? Cette approche permettrait une plus grande flexibilité technique tout en garantissant une performance optimale et une gestion unifiée de l’installation.</w:t>
            </w:r>
          </w:p>
        </w:tc>
        <w:tc>
          <w:tcPr>
            <w:tcW w:w="5099" w:type="dxa"/>
            <w:vMerge/>
            <w:tcBorders>
              <w:bottom w:val="single" w:sz="4" w:space="0" w:color="auto"/>
            </w:tcBorders>
          </w:tcPr>
          <w:p w14:paraId="714E7B45" w14:textId="77777777" w:rsidR="00053A5D" w:rsidRPr="00D43DB5" w:rsidRDefault="00053A5D" w:rsidP="00053A5D"/>
        </w:tc>
      </w:tr>
      <w:tr w:rsidR="0046465C" w:rsidRPr="00572217" w14:paraId="77DF9EBF" w14:textId="77777777" w:rsidTr="00053A5D">
        <w:tc>
          <w:tcPr>
            <w:tcW w:w="5958" w:type="dxa"/>
          </w:tcPr>
          <w:p w14:paraId="4016D610" w14:textId="77777777" w:rsidR="0053467D" w:rsidRPr="00F13172" w:rsidRDefault="0053467D" w:rsidP="0053467D">
            <w:r w:rsidRPr="00F13172">
              <w:t>Le bordereau demande des quantités et des prix unitaires pour les disjoncteurs DC (200A, 40A, 32A, 25A). Pouvons-nous proposer une alternative ne nécessitant pas ces équipements spécifiques ?</w:t>
            </w:r>
          </w:p>
          <w:p w14:paraId="741C1720" w14:textId="4B05FF10" w:rsidR="0053467D" w:rsidRPr="00F13172" w:rsidRDefault="0053467D" w:rsidP="0053467D">
            <w:r w:rsidRPr="00F13172">
              <w:lastRenderedPageBreak/>
              <w:t xml:space="preserve">En effet, le coût d'un disjoncteur DC haute intensité (comme le 200A) est environ 60 fois supérieur à celui d'un fusible standard de même intensité, car la coupure d'un arc en tension continue est techniquement plus complexe qu'en tension alternative. Nous recommandons donc d'opter pour des fusibles, en prévoyant des pièces de rechange. Il s’agit d’une pratique plus courante conforme </w:t>
            </w:r>
            <w:r w:rsidRPr="00F13172">
              <w:rPr>
                <w:rFonts w:ascii="Aptos" w:eastAsia="Aptos" w:hAnsi="Aptos"/>
                <w:lang w:val="fr-BE"/>
              </w:rPr>
              <w:t>aux règles de l’art pour les installations solaire.</w:t>
            </w:r>
          </w:p>
          <w:p w14:paraId="76A0A0C9" w14:textId="77777777" w:rsidR="00984146" w:rsidRPr="00F13172" w:rsidRDefault="00984146" w:rsidP="007A78D7"/>
        </w:tc>
        <w:tc>
          <w:tcPr>
            <w:tcW w:w="5099" w:type="dxa"/>
          </w:tcPr>
          <w:p w14:paraId="0B452D18" w14:textId="19BEB2F7" w:rsidR="00984146" w:rsidRPr="00D43DB5" w:rsidRDefault="00C83A6D" w:rsidP="004713AA">
            <w:r w:rsidRPr="00D43DB5">
              <w:lastRenderedPageBreak/>
              <w:t>La proposition des fusibles non acceptée.</w:t>
            </w:r>
          </w:p>
        </w:tc>
      </w:tr>
      <w:tr w:rsidR="0046465C" w:rsidRPr="00572217" w14:paraId="72648566" w14:textId="77777777" w:rsidTr="00053A5D">
        <w:tc>
          <w:tcPr>
            <w:tcW w:w="5958" w:type="dxa"/>
          </w:tcPr>
          <w:p w14:paraId="6B561A78" w14:textId="77777777" w:rsidR="00053987" w:rsidRPr="00F13172" w:rsidRDefault="00053987" w:rsidP="00053987">
            <w:r w:rsidRPr="00F13172">
              <w:t xml:space="preserve">Pourriez-vous préciser les fonctions attendues de ces disjoncteurs DC au sein du système ?  </w:t>
            </w:r>
          </w:p>
          <w:p w14:paraId="71427ECB" w14:textId="77777777" w:rsidR="0053467D" w:rsidRPr="00F13172" w:rsidRDefault="0053467D" w:rsidP="0053467D"/>
        </w:tc>
        <w:tc>
          <w:tcPr>
            <w:tcW w:w="5099" w:type="dxa"/>
          </w:tcPr>
          <w:p w14:paraId="1F07340C" w14:textId="52CC78C2" w:rsidR="0053467D" w:rsidRPr="00D43DB5" w:rsidRDefault="00C83A6D" w:rsidP="004713AA">
            <w:r w:rsidRPr="00D43DB5">
              <w:t>Les fonctions attendues des disjoncteurs : Réutilisable (peut être réarmer après déclenchement) ; sécurité accrue ; Maintenance simplifiée et durabilité</w:t>
            </w:r>
          </w:p>
        </w:tc>
      </w:tr>
      <w:tr w:rsidR="0046465C" w:rsidRPr="00572217" w14:paraId="5AE930AB" w14:textId="77777777" w:rsidTr="00053A5D">
        <w:tc>
          <w:tcPr>
            <w:tcW w:w="5958" w:type="dxa"/>
          </w:tcPr>
          <w:p w14:paraId="253A013C" w14:textId="77777777" w:rsidR="003711D8" w:rsidRPr="00F13172" w:rsidRDefault="003711D8" w:rsidP="003711D8">
            <w:r w:rsidRPr="00F13172">
              <w:t xml:space="preserve">Contrairement au bordereau du lot 2, le bordereau du lot 1 ne contient pas de poste pour le transport du matériel et les frais de facilitation sur le terrain. Y a-t-il une raison particulière à cela ? </w:t>
            </w:r>
          </w:p>
          <w:p w14:paraId="4315E046" w14:textId="77777777" w:rsidR="00803DE6" w:rsidRPr="00F13172" w:rsidRDefault="00803DE6" w:rsidP="00053987"/>
        </w:tc>
        <w:tc>
          <w:tcPr>
            <w:tcW w:w="5099" w:type="dxa"/>
          </w:tcPr>
          <w:p w14:paraId="3941935C" w14:textId="77777777" w:rsidR="00803DE6" w:rsidRPr="00D43DB5" w:rsidRDefault="00492F48" w:rsidP="004713AA">
            <w:r w:rsidRPr="00D43DB5">
              <w:t>Pour le lot 1, le</w:t>
            </w:r>
            <w:r w:rsidR="00E22803" w:rsidRPr="00D43DB5">
              <w:t xml:space="preserve"> poste pour le transport du matériel et les frais de facilitation sur le terrain</w:t>
            </w:r>
            <w:r w:rsidRPr="00D43DB5">
              <w:t xml:space="preserve"> sont prévus. </w:t>
            </w:r>
          </w:p>
          <w:p w14:paraId="3949AFC7" w14:textId="18CD33E2" w:rsidR="00E22803" w:rsidRPr="00D43DB5" w:rsidRDefault="00020EC4" w:rsidP="004713AA">
            <w:pPr>
              <w:rPr>
                <w:i/>
                <w:iCs/>
              </w:rPr>
            </w:pPr>
            <w:r w:rsidRPr="00D43DB5">
              <w:rPr>
                <w:i/>
                <w:iCs/>
              </w:rPr>
              <w:t>NB. Le point sera clarifié dans l’addendum à publier</w:t>
            </w:r>
          </w:p>
        </w:tc>
      </w:tr>
      <w:tr w:rsidR="0046465C" w:rsidRPr="00572217" w14:paraId="4F0661C1" w14:textId="77777777" w:rsidTr="00053A5D">
        <w:tc>
          <w:tcPr>
            <w:tcW w:w="5958" w:type="dxa"/>
          </w:tcPr>
          <w:p w14:paraId="72BDD277" w14:textId="77777777" w:rsidR="00F22E2D" w:rsidRPr="00F13172" w:rsidRDefault="00F22E2D" w:rsidP="00F22E2D">
            <w:r w:rsidRPr="00F13172">
              <w:t>Des paratonnerres sont-ils installés sur les lycées ? Si oui, lesquels ?</w:t>
            </w:r>
          </w:p>
          <w:p w14:paraId="4E9769CE" w14:textId="77777777" w:rsidR="00F22E2D" w:rsidRPr="00F13172" w:rsidRDefault="00F22E2D" w:rsidP="003711D8"/>
        </w:tc>
        <w:tc>
          <w:tcPr>
            <w:tcW w:w="5099" w:type="dxa"/>
          </w:tcPr>
          <w:p w14:paraId="055B4AF6" w14:textId="05BC0A5F" w:rsidR="00A2354E" w:rsidRPr="00D43DB5" w:rsidRDefault="003E563E" w:rsidP="00A2354E">
            <w:r w:rsidRPr="00D43DB5">
              <w:t>Non</w:t>
            </w:r>
            <w:r w:rsidR="0060279F" w:rsidRPr="00D43DB5">
              <w:t>,</w:t>
            </w:r>
            <w:r w:rsidR="00F72254" w:rsidRPr="00D43DB5">
              <w:t xml:space="preserve"> </w:t>
            </w:r>
            <w:r w:rsidR="00726048" w:rsidRPr="00D43DB5">
              <w:t>d</w:t>
            </w:r>
            <w:r w:rsidR="00F72254" w:rsidRPr="00D43DB5">
              <w:t xml:space="preserve">es </w:t>
            </w:r>
            <w:r w:rsidR="008B32EF" w:rsidRPr="00D43DB5">
              <w:t>paratonnerres</w:t>
            </w:r>
            <w:r w:rsidR="00726048" w:rsidRPr="00D43DB5">
              <w:t xml:space="preserve"> à tige simple </w:t>
            </w:r>
            <w:r w:rsidR="00C8275B" w:rsidRPr="00D43DB5">
              <w:t>Franklin seront</w:t>
            </w:r>
            <w:r w:rsidR="008B32EF" w:rsidRPr="00D43DB5">
              <w:t xml:space="preserve"> installés</w:t>
            </w:r>
            <w:r w:rsidR="0003315F" w:rsidRPr="00D43DB5">
              <w:t>,</w:t>
            </w:r>
            <w:r w:rsidR="008B32EF" w:rsidRPr="00D43DB5">
              <w:t xml:space="preserve"> </w:t>
            </w:r>
            <w:r w:rsidR="00C8275B" w:rsidRPr="00D43DB5">
              <w:t>fourni</w:t>
            </w:r>
            <w:r w:rsidR="0003315F" w:rsidRPr="00D43DB5">
              <w:t>s</w:t>
            </w:r>
            <w:r w:rsidR="00C8275B" w:rsidRPr="00D43DB5">
              <w:t xml:space="preserve"> avec l’installation solaire.</w:t>
            </w:r>
          </w:p>
          <w:p w14:paraId="21C2F38E" w14:textId="5166A1B4" w:rsidR="00F22E2D" w:rsidRPr="00D43DB5" w:rsidRDefault="00020EC4" w:rsidP="003E563E">
            <w:r w:rsidRPr="00D43DB5">
              <w:rPr>
                <w:i/>
                <w:iCs/>
              </w:rPr>
              <w:t>NB. Le point sera clarifié dans l’addendum à publier</w:t>
            </w:r>
            <w:r w:rsidRPr="00D43DB5">
              <w:t xml:space="preserve"> </w:t>
            </w:r>
          </w:p>
        </w:tc>
      </w:tr>
    </w:tbl>
    <w:p w14:paraId="7753F970" w14:textId="77777777" w:rsidR="009B263B" w:rsidRPr="00572217" w:rsidRDefault="009B263B" w:rsidP="00E434FA">
      <w:pPr>
        <w:tabs>
          <w:tab w:val="left" w:pos="1301"/>
        </w:tabs>
        <w:jc w:val="both"/>
        <w:rPr>
          <w:rFonts w:ascii="Georgia" w:hAnsi="Georgia"/>
          <w:sz w:val="21"/>
          <w:szCs w:val="21"/>
        </w:rPr>
      </w:pPr>
    </w:p>
    <w:p w14:paraId="4FA11ECF" w14:textId="77777777" w:rsidR="006C4AA8" w:rsidRPr="00572217" w:rsidRDefault="006C4AA8" w:rsidP="00E434FA">
      <w:pPr>
        <w:jc w:val="both"/>
        <w:rPr>
          <w:rFonts w:ascii="Georgia" w:hAnsi="Georgia"/>
          <w:sz w:val="21"/>
          <w:szCs w:val="21"/>
        </w:rPr>
      </w:pPr>
    </w:p>
    <w:sectPr w:rsidR="006C4AA8" w:rsidRPr="00572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913"/>
    <w:multiLevelType w:val="hybridMultilevel"/>
    <w:tmpl w:val="9F282BD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52553C4"/>
    <w:multiLevelType w:val="multilevel"/>
    <w:tmpl w:val="BE94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616AA"/>
    <w:multiLevelType w:val="multilevel"/>
    <w:tmpl w:val="787C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9451EA"/>
    <w:multiLevelType w:val="hybridMultilevel"/>
    <w:tmpl w:val="EF5670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E67E20"/>
    <w:multiLevelType w:val="hybridMultilevel"/>
    <w:tmpl w:val="5D9203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68E07CC"/>
    <w:multiLevelType w:val="hybridMultilevel"/>
    <w:tmpl w:val="EF56706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B7D2486"/>
    <w:multiLevelType w:val="hybridMultilevel"/>
    <w:tmpl w:val="DE38C95E"/>
    <w:lvl w:ilvl="0" w:tplc="AA7838D0">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516234152">
    <w:abstractNumId w:val="1"/>
  </w:num>
  <w:num w:numId="2" w16cid:durableId="315106599">
    <w:abstractNumId w:val="2"/>
  </w:num>
  <w:num w:numId="3" w16cid:durableId="1641837560">
    <w:abstractNumId w:val="5"/>
  </w:num>
  <w:num w:numId="4" w16cid:durableId="1201936900">
    <w:abstractNumId w:val="3"/>
  </w:num>
  <w:num w:numId="5" w16cid:durableId="2106610234">
    <w:abstractNumId w:val="4"/>
  </w:num>
  <w:num w:numId="6" w16cid:durableId="564798241">
    <w:abstractNumId w:val="6"/>
  </w:num>
  <w:num w:numId="7" w16cid:durableId="57829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3B"/>
    <w:rsid w:val="00020EC4"/>
    <w:rsid w:val="0003315F"/>
    <w:rsid w:val="00033D5B"/>
    <w:rsid w:val="00053987"/>
    <w:rsid w:val="00053A5D"/>
    <w:rsid w:val="0007494D"/>
    <w:rsid w:val="00132807"/>
    <w:rsid w:val="001402D3"/>
    <w:rsid w:val="00194ECC"/>
    <w:rsid w:val="00216CE7"/>
    <w:rsid w:val="00270B02"/>
    <w:rsid w:val="0028745C"/>
    <w:rsid w:val="002A688F"/>
    <w:rsid w:val="002D5578"/>
    <w:rsid w:val="003034F1"/>
    <w:rsid w:val="00304F00"/>
    <w:rsid w:val="00312E3C"/>
    <w:rsid w:val="0036003F"/>
    <w:rsid w:val="003711D8"/>
    <w:rsid w:val="003E563E"/>
    <w:rsid w:val="00403F64"/>
    <w:rsid w:val="004345A0"/>
    <w:rsid w:val="00435872"/>
    <w:rsid w:val="00452640"/>
    <w:rsid w:val="0046465C"/>
    <w:rsid w:val="004713AA"/>
    <w:rsid w:val="00475013"/>
    <w:rsid w:val="0048350C"/>
    <w:rsid w:val="00492F48"/>
    <w:rsid w:val="004C781F"/>
    <w:rsid w:val="004E3FC0"/>
    <w:rsid w:val="004E4537"/>
    <w:rsid w:val="004F34A7"/>
    <w:rsid w:val="00502282"/>
    <w:rsid w:val="00521C2F"/>
    <w:rsid w:val="0053467D"/>
    <w:rsid w:val="00545D34"/>
    <w:rsid w:val="00554D02"/>
    <w:rsid w:val="00563A6E"/>
    <w:rsid w:val="005702D4"/>
    <w:rsid w:val="00572217"/>
    <w:rsid w:val="005D1E76"/>
    <w:rsid w:val="005F0D02"/>
    <w:rsid w:val="005F2F49"/>
    <w:rsid w:val="00600FB7"/>
    <w:rsid w:val="0060279F"/>
    <w:rsid w:val="00640441"/>
    <w:rsid w:val="00646448"/>
    <w:rsid w:val="00660455"/>
    <w:rsid w:val="00685C0C"/>
    <w:rsid w:val="006B2D8C"/>
    <w:rsid w:val="006C4AA8"/>
    <w:rsid w:val="006E6FC4"/>
    <w:rsid w:val="00726048"/>
    <w:rsid w:val="007A78D7"/>
    <w:rsid w:val="00803DE6"/>
    <w:rsid w:val="00805FEC"/>
    <w:rsid w:val="008B32EF"/>
    <w:rsid w:val="008C22B3"/>
    <w:rsid w:val="008D4392"/>
    <w:rsid w:val="009149A5"/>
    <w:rsid w:val="00931F51"/>
    <w:rsid w:val="00984146"/>
    <w:rsid w:val="009B263B"/>
    <w:rsid w:val="009F531D"/>
    <w:rsid w:val="00A17177"/>
    <w:rsid w:val="00A2354E"/>
    <w:rsid w:val="00A3419D"/>
    <w:rsid w:val="00A66586"/>
    <w:rsid w:val="00AB64BE"/>
    <w:rsid w:val="00AE7986"/>
    <w:rsid w:val="00B10B8F"/>
    <w:rsid w:val="00B1158B"/>
    <w:rsid w:val="00B13B6D"/>
    <w:rsid w:val="00B25C8B"/>
    <w:rsid w:val="00B26F51"/>
    <w:rsid w:val="00B462F0"/>
    <w:rsid w:val="00B56249"/>
    <w:rsid w:val="00B866F5"/>
    <w:rsid w:val="00B9295A"/>
    <w:rsid w:val="00BC10D4"/>
    <w:rsid w:val="00BE64CF"/>
    <w:rsid w:val="00C06EAC"/>
    <w:rsid w:val="00C13060"/>
    <w:rsid w:val="00C502B1"/>
    <w:rsid w:val="00C8275B"/>
    <w:rsid w:val="00C83A6D"/>
    <w:rsid w:val="00CA20EA"/>
    <w:rsid w:val="00D43DB5"/>
    <w:rsid w:val="00D859D5"/>
    <w:rsid w:val="00DA3ACB"/>
    <w:rsid w:val="00DA7687"/>
    <w:rsid w:val="00E02819"/>
    <w:rsid w:val="00E22803"/>
    <w:rsid w:val="00E35196"/>
    <w:rsid w:val="00E434FA"/>
    <w:rsid w:val="00E6477F"/>
    <w:rsid w:val="00E77FBD"/>
    <w:rsid w:val="00E86AC2"/>
    <w:rsid w:val="00F06540"/>
    <w:rsid w:val="00F13172"/>
    <w:rsid w:val="00F22E2D"/>
    <w:rsid w:val="00F26114"/>
    <w:rsid w:val="00F33870"/>
    <w:rsid w:val="00F40F38"/>
    <w:rsid w:val="00F72254"/>
    <w:rsid w:val="00F73F20"/>
    <w:rsid w:val="00F90E3B"/>
    <w:rsid w:val="00FB23AF"/>
    <w:rsid w:val="00FE39D8"/>
    <w:rsid w:val="00FF0794"/>
    <w:rsid w:val="00FF4DD5"/>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63D7"/>
  <w15:chartTrackingRefBased/>
  <w15:docId w15:val="{B85CDE1A-1832-4601-B44F-D68A3F75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03"/>
  </w:style>
  <w:style w:type="paragraph" w:styleId="Titre1">
    <w:name w:val="heading 1"/>
    <w:basedOn w:val="Normal"/>
    <w:next w:val="Normal"/>
    <w:link w:val="Titre1Car"/>
    <w:uiPriority w:val="9"/>
    <w:qFormat/>
    <w:rsid w:val="009B2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2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26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26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26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26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26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26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26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6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26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26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26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26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26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26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26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263B"/>
    <w:rPr>
      <w:rFonts w:eastAsiaTheme="majorEastAsia" w:cstheme="majorBidi"/>
      <w:color w:val="272727" w:themeColor="text1" w:themeTint="D8"/>
    </w:rPr>
  </w:style>
  <w:style w:type="paragraph" w:styleId="Titre">
    <w:name w:val="Title"/>
    <w:basedOn w:val="Normal"/>
    <w:next w:val="Normal"/>
    <w:link w:val="TitreCar"/>
    <w:uiPriority w:val="10"/>
    <w:qFormat/>
    <w:rsid w:val="009B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26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26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26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263B"/>
    <w:pPr>
      <w:spacing w:before="160"/>
      <w:jc w:val="center"/>
    </w:pPr>
    <w:rPr>
      <w:i/>
      <w:iCs/>
      <w:color w:val="404040" w:themeColor="text1" w:themeTint="BF"/>
    </w:rPr>
  </w:style>
  <w:style w:type="character" w:customStyle="1" w:styleId="CitationCar">
    <w:name w:val="Citation Car"/>
    <w:basedOn w:val="Policepardfaut"/>
    <w:link w:val="Citation"/>
    <w:uiPriority w:val="29"/>
    <w:rsid w:val="009B263B"/>
    <w:rPr>
      <w:i/>
      <w:iCs/>
      <w:color w:val="404040" w:themeColor="text1" w:themeTint="BF"/>
    </w:rPr>
  </w:style>
  <w:style w:type="paragraph" w:styleId="Paragraphedeliste">
    <w:name w:val="List Paragraph"/>
    <w:basedOn w:val="Normal"/>
    <w:uiPriority w:val="34"/>
    <w:qFormat/>
    <w:rsid w:val="009B263B"/>
    <w:pPr>
      <w:ind w:left="720"/>
      <w:contextualSpacing/>
    </w:pPr>
  </w:style>
  <w:style w:type="character" w:styleId="Accentuationintense">
    <w:name w:val="Intense Emphasis"/>
    <w:basedOn w:val="Policepardfaut"/>
    <w:uiPriority w:val="21"/>
    <w:qFormat/>
    <w:rsid w:val="009B263B"/>
    <w:rPr>
      <w:i/>
      <w:iCs/>
      <w:color w:val="0F4761" w:themeColor="accent1" w:themeShade="BF"/>
    </w:rPr>
  </w:style>
  <w:style w:type="paragraph" w:styleId="Citationintense">
    <w:name w:val="Intense Quote"/>
    <w:basedOn w:val="Normal"/>
    <w:next w:val="Normal"/>
    <w:link w:val="CitationintenseCar"/>
    <w:uiPriority w:val="30"/>
    <w:qFormat/>
    <w:rsid w:val="009B2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263B"/>
    <w:rPr>
      <w:i/>
      <w:iCs/>
      <w:color w:val="0F4761" w:themeColor="accent1" w:themeShade="BF"/>
    </w:rPr>
  </w:style>
  <w:style w:type="character" w:styleId="Rfrenceintense">
    <w:name w:val="Intense Reference"/>
    <w:basedOn w:val="Policepardfaut"/>
    <w:uiPriority w:val="32"/>
    <w:qFormat/>
    <w:rsid w:val="009B263B"/>
    <w:rPr>
      <w:b/>
      <w:bCs/>
      <w:smallCaps/>
      <w:color w:val="0F4761" w:themeColor="accent1" w:themeShade="BF"/>
      <w:spacing w:val="5"/>
    </w:rPr>
  </w:style>
  <w:style w:type="table" w:styleId="Grilledutableau">
    <w:name w:val="Table Grid"/>
    <w:basedOn w:val="TableauNormal"/>
    <w:uiPriority w:val="39"/>
    <w:rsid w:val="009B2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3060"/>
    <w:pPr>
      <w:spacing w:before="100" w:beforeAutospacing="1" w:after="100" w:afterAutospacing="1" w:line="240" w:lineRule="auto"/>
    </w:pPr>
    <w:rPr>
      <w:rFonts w:ascii="Times New Roman" w:eastAsia="Times New Roman" w:hAnsi="Times New Roman" w:cs="Times New Roman"/>
      <w:kern w:val="0"/>
      <w:sz w:val="24"/>
      <w:szCs w:val="24"/>
      <w:lang w:eastAsia="fr-BI"/>
      <w14:ligatures w14:val="none"/>
    </w:rPr>
  </w:style>
  <w:style w:type="character" w:customStyle="1" w:styleId="marknyzvi95su">
    <w:name w:val="marknyzvi95su"/>
    <w:basedOn w:val="Policepardfaut"/>
    <w:rsid w:val="00C13060"/>
  </w:style>
  <w:style w:type="character" w:customStyle="1" w:styleId="marksruy4p3og">
    <w:name w:val="marksruy4p3og"/>
    <w:basedOn w:val="Policepardfaut"/>
    <w:rsid w:val="00545D34"/>
  </w:style>
  <w:style w:type="character" w:styleId="Lienhypertexte">
    <w:name w:val="Hyperlink"/>
    <w:basedOn w:val="Policepardfaut"/>
    <w:uiPriority w:val="99"/>
    <w:semiHidden/>
    <w:unhideWhenUsed/>
    <w:rsid w:val="00545D34"/>
    <w:rPr>
      <w:color w:val="0000FF"/>
      <w:u w:val="single"/>
    </w:rPr>
  </w:style>
  <w:style w:type="paragraph" w:customStyle="1" w:styleId="xmsonormal">
    <w:name w:val="x_msonormal"/>
    <w:basedOn w:val="Normal"/>
    <w:rsid w:val="00F06540"/>
    <w:pPr>
      <w:spacing w:before="100" w:beforeAutospacing="1" w:after="100" w:afterAutospacing="1" w:line="240" w:lineRule="auto"/>
    </w:pPr>
    <w:rPr>
      <w:rFonts w:ascii="Times New Roman" w:eastAsia="Times New Roman" w:hAnsi="Times New Roman" w:cs="Times New Roman"/>
      <w:kern w:val="0"/>
      <w:sz w:val="24"/>
      <w:szCs w:val="24"/>
      <w:lang w:eastAsia="fr-BI"/>
      <w14:ligatures w14:val="none"/>
    </w:rPr>
  </w:style>
  <w:style w:type="character" w:customStyle="1" w:styleId="marksg3mxbw58">
    <w:name w:val="marksg3mxbw58"/>
    <w:basedOn w:val="Policepardfaut"/>
    <w:rsid w:val="00F06540"/>
  </w:style>
  <w:style w:type="paragraph" w:customStyle="1" w:styleId="xmsolistparagraph">
    <w:name w:val="x_msolistparagraph"/>
    <w:basedOn w:val="Normal"/>
    <w:rsid w:val="00F06540"/>
    <w:pPr>
      <w:spacing w:before="100" w:beforeAutospacing="1" w:after="100" w:afterAutospacing="1" w:line="240" w:lineRule="auto"/>
    </w:pPr>
    <w:rPr>
      <w:rFonts w:ascii="Times New Roman" w:eastAsia="Times New Roman" w:hAnsi="Times New Roman" w:cs="Times New Roman"/>
      <w:kern w:val="0"/>
      <w:sz w:val="24"/>
      <w:szCs w:val="24"/>
      <w:lang w:eastAsia="fr-B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743">
      <w:bodyDiv w:val="1"/>
      <w:marLeft w:val="0"/>
      <w:marRight w:val="0"/>
      <w:marTop w:val="0"/>
      <w:marBottom w:val="0"/>
      <w:divBdr>
        <w:top w:val="none" w:sz="0" w:space="0" w:color="auto"/>
        <w:left w:val="none" w:sz="0" w:space="0" w:color="auto"/>
        <w:bottom w:val="none" w:sz="0" w:space="0" w:color="auto"/>
        <w:right w:val="none" w:sz="0" w:space="0" w:color="auto"/>
      </w:divBdr>
    </w:div>
    <w:div w:id="240911524">
      <w:bodyDiv w:val="1"/>
      <w:marLeft w:val="0"/>
      <w:marRight w:val="0"/>
      <w:marTop w:val="0"/>
      <w:marBottom w:val="0"/>
      <w:divBdr>
        <w:top w:val="none" w:sz="0" w:space="0" w:color="auto"/>
        <w:left w:val="none" w:sz="0" w:space="0" w:color="auto"/>
        <w:bottom w:val="none" w:sz="0" w:space="0" w:color="auto"/>
        <w:right w:val="none" w:sz="0" w:space="0" w:color="auto"/>
      </w:divBdr>
      <w:divsChild>
        <w:div w:id="1732651108">
          <w:marLeft w:val="0"/>
          <w:marRight w:val="0"/>
          <w:marTop w:val="0"/>
          <w:marBottom w:val="0"/>
          <w:divBdr>
            <w:top w:val="none" w:sz="0" w:space="0" w:color="auto"/>
            <w:left w:val="none" w:sz="0" w:space="0" w:color="auto"/>
            <w:bottom w:val="none" w:sz="0" w:space="0" w:color="auto"/>
            <w:right w:val="none" w:sz="0" w:space="0" w:color="auto"/>
          </w:divBdr>
        </w:div>
        <w:div w:id="467631848">
          <w:marLeft w:val="0"/>
          <w:marRight w:val="0"/>
          <w:marTop w:val="0"/>
          <w:marBottom w:val="0"/>
          <w:divBdr>
            <w:top w:val="none" w:sz="0" w:space="0" w:color="auto"/>
            <w:left w:val="none" w:sz="0" w:space="0" w:color="auto"/>
            <w:bottom w:val="none" w:sz="0" w:space="0" w:color="auto"/>
            <w:right w:val="none" w:sz="0" w:space="0" w:color="auto"/>
          </w:divBdr>
        </w:div>
        <w:div w:id="979650612">
          <w:marLeft w:val="0"/>
          <w:marRight w:val="0"/>
          <w:marTop w:val="0"/>
          <w:marBottom w:val="0"/>
          <w:divBdr>
            <w:top w:val="none" w:sz="0" w:space="0" w:color="auto"/>
            <w:left w:val="none" w:sz="0" w:space="0" w:color="auto"/>
            <w:bottom w:val="none" w:sz="0" w:space="0" w:color="auto"/>
            <w:right w:val="none" w:sz="0" w:space="0" w:color="auto"/>
          </w:divBdr>
        </w:div>
      </w:divsChild>
    </w:div>
    <w:div w:id="319888583">
      <w:bodyDiv w:val="1"/>
      <w:marLeft w:val="0"/>
      <w:marRight w:val="0"/>
      <w:marTop w:val="0"/>
      <w:marBottom w:val="0"/>
      <w:divBdr>
        <w:top w:val="none" w:sz="0" w:space="0" w:color="auto"/>
        <w:left w:val="none" w:sz="0" w:space="0" w:color="auto"/>
        <w:bottom w:val="none" w:sz="0" w:space="0" w:color="auto"/>
        <w:right w:val="none" w:sz="0" w:space="0" w:color="auto"/>
      </w:divBdr>
      <w:divsChild>
        <w:div w:id="209177">
          <w:marLeft w:val="0"/>
          <w:marRight w:val="0"/>
          <w:marTop w:val="0"/>
          <w:marBottom w:val="0"/>
          <w:divBdr>
            <w:top w:val="none" w:sz="0" w:space="0" w:color="auto"/>
            <w:left w:val="none" w:sz="0" w:space="0" w:color="auto"/>
            <w:bottom w:val="none" w:sz="0" w:space="0" w:color="auto"/>
            <w:right w:val="none" w:sz="0" w:space="0" w:color="auto"/>
          </w:divBdr>
        </w:div>
        <w:div w:id="728848524">
          <w:marLeft w:val="0"/>
          <w:marRight w:val="0"/>
          <w:marTop w:val="0"/>
          <w:marBottom w:val="0"/>
          <w:divBdr>
            <w:top w:val="none" w:sz="0" w:space="0" w:color="auto"/>
            <w:left w:val="none" w:sz="0" w:space="0" w:color="auto"/>
            <w:bottom w:val="none" w:sz="0" w:space="0" w:color="auto"/>
            <w:right w:val="none" w:sz="0" w:space="0" w:color="auto"/>
          </w:divBdr>
        </w:div>
      </w:divsChild>
    </w:div>
    <w:div w:id="616332892">
      <w:bodyDiv w:val="1"/>
      <w:marLeft w:val="0"/>
      <w:marRight w:val="0"/>
      <w:marTop w:val="0"/>
      <w:marBottom w:val="0"/>
      <w:divBdr>
        <w:top w:val="none" w:sz="0" w:space="0" w:color="auto"/>
        <w:left w:val="none" w:sz="0" w:space="0" w:color="auto"/>
        <w:bottom w:val="none" w:sz="0" w:space="0" w:color="auto"/>
        <w:right w:val="none" w:sz="0" w:space="0" w:color="auto"/>
      </w:divBdr>
    </w:div>
    <w:div w:id="623000874">
      <w:bodyDiv w:val="1"/>
      <w:marLeft w:val="0"/>
      <w:marRight w:val="0"/>
      <w:marTop w:val="0"/>
      <w:marBottom w:val="0"/>
      <w:divBdr>
        <w:top w:val="none" w:sz="0" w:space="0" w:color="auto"/>
        <w:left w:val="none" w:sz="0" w:space="0" w:color="auto"/>
        <w:bottom w:val="none" w:sz="0" w:space="0" w:color="auto"/>
        <w:right w:val="none" w:sz="0" w:space="0" w:color="auto"/>
      </w:divBdr>
    </w:div>
    <w:div w:id="697509819">
      <w:bodyDiv w:val="1"/>
      <w:marLeft w:val="0"/>
      <w:marRight w:val="0"/>
      <w:marTop w:val="0"/>
      <w:marBottom w:val="0"/>
      <w:divBdr>
        <w:top w:val="none" w:sz="0" w:space="0" w:color="auto"/>
        <w:left w:val="none" w:sz="0" w:space="0" w:color="auto"/>
        <w:bottom w:val="none" w:sz="0" w:space="0" w:color="auto"/>
        <w:right w:val="none" w:sz="0" w:space="0" w:color="auto"/>
      </w:divBdr>
    </w:div>
    <w:div w:id="2064718092">
      <w:bodyDiv w:val="1"/>
      <w:marLeft w:val="0"/>
      <w:marRight w:val="0"/>
      <w:marTop w:val="0"/>
      <w:marBottom w:val="0"/>
      <w:divBdr>
        <w:top w:val="none" w:sz="0" w:space="0" w:color="auto"/>
        <w:left w:val="none" w:sz="0" w:space="0" w:color="auto"/>
        <w:bottom w:val="none" w:sz="0" w:space="0" w:color="auto"/>
        <w:right w:val="none" w:sz="0" w:space="0" w:color="auto"/>
      </w:divBdr>
      <w:divsChild>
        <w:div w:id="1964261561">
          <w:marLeft w:val="0"/>
          <w:marRight w:val="0"/>
          <w:marTop w:val="0"/>
          <w:marBottom w:val="0"/>
          <w:divBdr>
            <w:top w:val="none" w:sz="0" w:space="0" w:color="auto"/>
            <w:left w:val="none" w:sz="0" w:space="0" w:color="auto"/>
            <w:bottom w:val="none" w:sz="0" w:space="0" w:color="auto"/>
            <w:right w:val="none" w:sz="0" w:space="0" w:color="auto"/>
          </w:divBdr>
        </w:div>
        <w:div w:id="30365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NTAMAGARA, Willy</dc:creator>
  <cp:keywords/>
  <dc:description/>
  <cp:lastModifiedBy>NTAMAGARA, Willy</cp:lastModifiedBy>
  <cp:revision>3</cp:revision>
  <dcterms:created xsi:type="dcterms:W3CDTF">2025-07-30T12:25:00Z</dcterms:created>
  <dcterms:modified xsi:type="dcterms:W3CDTF">2025-07-30T12:31:00Z</dcterms:modified>
</cp:coreProperties>
</file>