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3E7" w14:textId="60ACD0E3" w:rsidR="00901650" w:rsidRDefault="00901650">
      <w:r w:rsidRPr="00901650">
        <w:rPr>
          <w:b/>
          <w:bCs/>
        </w:rPr>
        <w:t>BDI23009-10077-Marché de services de consultance pour le renforcement des capacités des acteurs locaux de la gouvernance participative</w:t>
      </w:r>
      <w:r w:rsidRPr="00901650">
        <w:t> »</w:t>
      </w:r>
      <w:r>
        <w:t>.</w:t>
      </w:r>
    </w:p>
    <w:p w14:paraId="005A60DA" w14:textId="2397FA6F" w:rsidR="00F55654" w:rsidRPr="00901650" w:rsidRDefault="00901650" w:rsidP="004661A1">
      <w:pPr>
        <w:tabs>
          <w:tab w:val="left" w:pos="9072"/>
        </w:tabs>
        <w:rPr>
          <w:b/>
          <w:bCs/>
        </w:rPr>
      </w:pPr>
      <w:r w:rsidRPr="00901650">
        <w:rPr>
          <w:b/>
          <w:bCs/>
        </w:rPr>
        <w:t>Questions et réponses</w:t>
      </w:r>
    </w:p>
    <w:p w14:paraId="66D1BCDF" w14:textId="77777777" w:rsidR="00901650" w:rsidRDefault="00901650"/>
    <w:tbl>
      <w:tblPr>
        <w:tblStyle w:val="Grilledutableau"/>
        <w:tblW w:w="14170" w:type="dxa"/>
        <w:tblLook w:val="04A0" w:firstRow="1" w:lastRow="0" w:firstColumn="1" w:lastColumn="0" w:noHBand="0" w:noVBand="1"/>
      </w:tblPr>
      <w:tblGrid>
        <w:gridCol w:w="443"/>
        <w:gridCol w:w="7206"/>
        <w:gridCol w:w="6521"/>
      </w:tblGrid>
      <w:tr w:rsidR="00664F53" w:rsidRPr="005B36B6" w14:paraId="73913F8C" w14:textId="32BF6C69" w:rsidTr="00664F53">
        <w:trPr>
          <w:tblHeader/>
        </w:trPr>
        <w:tc>
          <w:tcPr>
            <w:tcW w:w="156" w:type="pct"/>
          </w:tcPr>
          <w:p w14:paraId="32153470" w14:textId="5A866CA2" w:rsidR="00664F53" w:rsidRPr="005B36B6" w:rsidRDefault="00664F53">
            <w:pPr>
              <w:rPr>
                <w:rFonts w:ascii="Georgia" w:hAnsi="Georgia"/>
                <w:b/>
                <w:bCs/>
                <w:sz w:val="18"/>
                <w:szCs w:val="18"/>
              </w:rPr>
            </w:pPr>
            <w:r w:rsidRPr="005B36B6">
              <w:rPr>
                <w:rFonts w:ascii="Georgia" w:hAnsi="Georgia"/>
                <w:b/>
                <w:bCs/>
                <w:sz w:val="18"/>
                <w:szCs w:val="18"/>
              </w:rPr>
              <w:t>N°</w:t>
            </w:r>
          </w:p>
        </w:tc>
        <w:tc>
          <w:tcPr>
            <w:tcW w:w="2543" w:type="pct"/>
          </w:tcPr>
          <w:p w14:paraId="72897A76" w14:textId="5D5D169C" w:rsidR="00664F53" w:rsidRPr="005B36B6" w:rsidRDefault="00664F53" w:rsidP="00BB7058">
            <w:pPr>
              <w:jc w:val="both"/>
              <w:rPr>
                <w:rFonts w:ascii="Georgia" w:hAnsi="Georgia"/>
                <w:b/>
                <w:bCs/>
                <w:sz w:val="18"/>
                <w:szCs w:val="18"/>
              </w:rPr>
            </w:pPr>
            <w:r w:rsidRPr="005B36B6">
              <w:rPr>
                <w:rFonts w:ascii="Georgia" w:hAnsi="Georgia"/>
                <w:b/>
                <w:bCs/>
                <w:sz w:val="18"/>
                <w:szCs w:val="18"/>
              </w:rPr>
              <w:t>Questions</w:t>
            </w:r>
          </w:p>
        </w:tc>
        <w:tc>
          <w:tcPr>
            <w:tcW w:w="2301" w:type="pct"/>
          </w:tcPr>
          <w:p w14:paraId="1F2BEF8A" w14:textId="0132411C" w:rsidR="00664F53" w:rsidRPr="00664F53" w:rsidRDefault="00664F53" w:rsidP="00261A31">
            <w:pPr>
              <w:jc w:val="both"/>
              <w:rPr>
                <w:rFonts w:ascii="Georgia" w:hAnsi="Georgia"/>
                <w:b/>
                <w:bCs/>
                <w:sz w:val="18"/>
                <w:szCs w:val="18"/>
              </w:rPr>
            </w:pPr>
            <w:r w:rsidRPr="00664F53">
              <w:rPr>
                <w:rFonts w:ascii="Georgia" w:hAnsi="Georgia"/>
                <w:b/>
                <w:bCs/>
                <w:sz w:val="18"/>
                <w:szCs w:val="18"/>
              </w:rPr>
              <w:t>Réponses</w:t>
            </w:r>
          </w:p>
        </w:tc>
      </w:tr>
      <w:tr w:rsidR="00664F53" w:rsidRPr="005B36B6" w14:paraId="2F45DA15" w14:textId="6E846734" w:rsidTr="00664F53">
        <w:tc>
          <w:tcPr>
            <w:tcW w:w="156" w:type="pct"/>
          </w:tcPr>
          <w:p w14:paraId="263FC377" w14:textId="5D4B0F54" w:rsidR="00664F53" w:rsidRPr="005B36B6" w:rsidRDefault="00664F53">
            <w:pPr>
              <w:rPr>
                <w:rFonts w:ascii="Georgia" w:hAnsi="Georgia"/>
                <w:sz w:val="18"/>
                <w:szCs w:val="18"/>
              </w:rPr>
            </w:pPr>
            <w:r w:rsidRPr="005B36B6">
              <w:rPr>
                <w:rFonts w:ascii="Georgia" w:hAnsi="Georgia"/>
                <w:sz w:val="18"/>
                <w:szCs w:val="18"/>
              </w:rPr>
              <w:t>1</w:t>
            </w:r>
          </w:p>
        </w:tc>
        <w:tc>
          <w:tcPr>
            <w:tcW w:w="2543" w:type="pct"/>
          </w:tcPr>
          <w:p w14:paraId="7295F7C2" w14:textId="051A8354" w:rsidR="00664F53" w:rsidRPr="005B36B6" w:rsidRDefault="00664F53" w:rsidP="00BB7058">
            <w:pPr>
              <w:ind w:left="60"/>
              <w:jc w:val="both"/>
              <w:textAlignment w:val="baseline"/>
              <w:rPr>
                <w:rFonts w:ascii="Georgia" w:eastAsia="Times New Roman" w:hAnsi="Georgia" w:cs="Times New Roman"/>
                <w:sz w:val="18"/>
                <w:szCs w:val="18"/>
              </w:rPr>
            </w:pPr>
            <w:r w:rsidRPr="005B36B6">
              <w:rPr>
                <w:rFonts w:ascii="Georgia" w:eastAsia="Times New Roman" w:hAnsi="Georgia" w:cs="Times New Roman"/>
                <w:b/>
                <w:bCs/>
                <w:sz w:val="18"/>
                <w:szCs w:val="18"/>
              </w:rPr>
              <w:t>Budget par Lot</w:t>
            </w:r>
          </w:p>
          <w:p w14:paraId="089B282D" w14:textId="2C9F33E1" w:rsidR="00664F53" w:rsidRPr="005B36B6" w:rsidRDefault="00664F53" w:rsidP="00BB7058">
            <w:pPr>
              <w:ind w:left="60"/>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 xml:space="preserve">A la page 15 du cahier spécial des charges, il est indiqué que les montants maximums pour les lots étaient de : </w:t>
            </w:r>
          </w:p>
          <w:p w14:paraId="4361073C" w14:textId="77777777" w:rsidR="00664F53" w:rsidRPr="005B36B6" w:rsidRDefault="00664F53" w:rsidP="00BB7058">
            <w:pPr>
              <w:ind w:left="60"/>
              <w:jc w:val="both"/>
              <w:textAlignment w:val="baseline"/>
              <w:rPr>
                <w:rFonts w:ascii="Georgia" w:eastAsia="Times New Roman" w:hAnsi="Georgia" w:cs="Times New Roman"/>
                <w:sz w:val="18"/>
                <w:szCs w:val="18"/>
                <w:lang w:val="en-US"/>
              </w:rPr>
            </w:pPr>
            <w:r w:rsidRPr="005B36B6">
              <w:rPr>
                <w:rFonts w:ascii="Georgia" w:eastAsia="Times New Roman" w:hAnsi="Georgia" w:cs="Times New Roman"/>
                <w:b/>
                <w:sz w:val="18"/>
                <w:szCs w:val="18"/>
                <w:lang w:val="en-US"/>
              </w:rPr>
              <w:t xml:space="preserve">Lot </w:t>
            </w:r>
            <w:proofErr w:type="gramStart"/>
            <w:r w:rsidRPr="005B36B6">
              <w:rPr>
                <w:rFonts w:ascii="Georgia" w:eastAsia="Times New Roman" w:hAnsi="Georgia" w:cs="Times New Roman"/>
                <w:b/>
                <w:sz w:val="18"/>
                <w:szCs w:val="18"/>
                <w:lang w:val="en-US"/>
              </w:rPr>
              <w:t>1 :</w:t>
            </w:r>
            <w:proofErr w:type="gramEnd"/>
            <w:r w:rsidRPr="005B36B6">
              <w:rPr>
                <w:rFonts w:ascii="Georgia" w:eastAsia="Times New Roman" w:hAnsi="Georgia" w:cs="Times New Roman"/>
                <w:sz w:val="18"/>
                <w:szCs w:val="18"/>
                <w:lang w:val="en-US"/>
              </w:rPr>
              <w:t xml:space="preserve"> 350 650 euros HTVA</w:t>
            </w:r>
          </w:p>
          <w:p w14:paraId="7C5F6E2C" w14:textId="77777777" w:rsidR="00664F53" w:rsidRPr="005B36B6" w:rsidRDefault="00664F53" w:rsidP="00BB7058">
            <w:pPr>
              <w:ind w:left="60"/>
              <w:jc w:val="both"/>
              <w:textAlignment w:val="baseline"/>
              <w:rPr>
                <w:rFonts w:ascii="Georgia" w:eastAsia="Times New Roman" w:hAnsi="Georgia" w:cs="Times New Roman"/>
                <w:sz w:val="18"/>
                <w:szCs w:val="18"/>
                <w:lang w:val="en-US"/>
              </w:rPr>
            </w:pPr>
            <w:r w:rsidRPr="005B36B6">
              <w:rPr>
                <w:rFonts w:ascii="Georgia" w:eastAsia="Times New Roman" w:hAnsi="Georgia" w:cs="Times New Roman"/>
                <w:b/>
                <w:sz w:val="18"/>
                <w:szCs w:val="18"/>
                <w:lang w:val="en-US"/>
              </w:rPr>
              <w:t>Lot 2:</w:t>
            </w:r>
            <w:r w:rsidRPr="005B36B6">
              <w:rPr>
                <w:rFonts w:ascii="Georgia" w:eastAsia="Times New Roman" w:hAnsi="Georgia" w:cs="Times New Roman"/>
                <w:sz w:val="18"/>
                <w:szCs w:val="18"/>
                <w:lang w:val="en-US"/>
              </w:rPr>
              <w:t xml:space="preserve"> 149 350 euros HTVA</w:t>
            </w:r>
          </w:p>
          <w:p w14:paraId="741284F8" w14:textId="77777777" w:rsidR="00664F53" w:rsidRPr="005B36B6" w:rsidRDefault="00664F53" w:rsidP="00BB7058">
            <w:pPr>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 xml:space="preserve">Mais dans la partie 6.5 formulaire d’offre initiale -Prix, page 76 du CSC, les montants mentionnés sont différents : </w:t>
            </w:r>
          </w:p>
          <w:p w14:paraId="05840905" w14:textId="77777777" w:rsidR="00664F53" w:rsidRPr="005B36B6" w:rsidRDefault="00664F53" w:rsidP="00BB7058">
            <w:pPr>
              <w:ind w:left="60"/>
              <w:jc w:val="both"/>
              <w:textAlignment w:val="baseline"/>
              <w:rPr>
                <w:rFonts w:ascii="Georgia" w:eastAsia="Times New Roman" w:hAnsi="Georgia" w:cs="Times New Roman"/>
                <w:sz w:val="18"/>
                <w:szCs w:val="18"/>
                <w:lang w:val="en-US"/>
              </w:rPr>
            </w:pPr>
            <w:r w:rsidRPr="005B36B6">
              <w:rPr>
                <w:rFonts w:ascii="Georgia" w:eastAsia="Times New Roman" w:hAnsi="Georgia" w:cs="Times New Roman"/>
                <w:sz w:val="18"/>
                <w:szCs w:val="18"/>
              </w:rPr>
              <w:t xml:space="preserve"> </w:t>
            </w:r>
            <w:r w:rsidRPr="005B36B6">
              <w:rPr>
                <w:rFonts w:ascii="Georgia" w:eastAsia="Times New Roman" w:hAnsi="Georgia" w:cs="Times New Roman"/>
                <w:b/>
                <w:sz w:val="18"/>
                <w:szCs w:val="18"/>
                <w:lang w:val="en-US"/>
              </w:rPr>
              <w:t xml:space="preserve">Lot </w:t>
            </w:r>
            <w:proofErr w:type="gramStart"/>
            <w:r w:rsidRPr="005B36B6">
              <w:rPr>
                <w:rFonts w:ascii="Georgia" w:eastAsia="Times New Roman" w:hAnsi="Georgia" w:cs="Times New Roman"/>
                <w:b/>
                <w:sz w:val="18"/>
                <w:szCs w:val="18"/>
                <w:lang w:val="en-US"/>
              </w:rPr>
              <w:t>1 :</w:t>
            </w:r>
            <w:proofErr w:type="gramEnd"/>
            <w:r w:rsidRPr="005B36B6">
              <w:rPr>
                <w:rFonts w:ascii="Georgia" w:eastAsia="Times New Roman" w:hAnsi="Georgia" w:cs="Times New Roman"/>
                <w:sz w:val="18"/>
                <w:szCs w:val="18"/>
                <w:lang w:val="en-US"/>
              </w:rPr>
              <w:t xml:space="preserve"> 355 250 euros HTVA</w:t>
            </w:r>
          </w:p>
          <w:p w14:paraId="355AC016" w14:textId="77777777" w:rsidR="00664F53" w:rsidRPr="005B36B6" w:rsidRDefault="00664F53" w:rsidP="00BB7058">
            <w:pPr>
              <w:ind w:left="60"/>
              <w:jc w:val="both"/>
              <w:textAlignment w:val="baseline"/>
              <w:rPr>
                <w:rFonts w:ascii="Georgia" w:eastAsia="Times New Roman" w:hAnsi="Georgia" w:cs="Times New Roman"/>
                <w:sz w:val="18"/>
                <w:szCs w:val="18"/>
                <w:lang w:val="en-US"/>
              </w:rPr>
            </w:pPr>
            <w:r w:rsidRPr="005B36B6">
              <w:rPr>
                <w:rFonts w:ascii="Georgia" w:eastAsia="Times New Roman" w:hAnsi="Georgia" w:cs="Times New Roman"/>
                <w:b/>
                <w:sz w:val="18"/>
                <w:szCs w:val="18"/>
                <w:lang w:val="en-US"/>
              </w:rPr>
              <w:t>Lot 2:</w:t>
            </w:r>
            <w:r w:rsidRPr="005B36B6">
              <w:rPr>
                <w:rFonts w:ascii="Georgia" w:eastAsia="Times New Roman" w:hAnsi="Georgia" w:cs="Times New Roman"/>
                <w:sz w:val="18"/>
                <w:szCs w:val="18"/>
                <w:lang w:val="en-US"/>
              </w:rPr>
              <w:t xml:space="preserve"> 144 625 euros HTVA</w:t>
            </w:r>
          </w:p>
          <w:p w14:paraId="773A6B64" w14:textId="7587D977" w:rsidR="00664F53" w:rsidRPr="005B36B6" w:rsidRDefault="00664F53" w:rsidP="00BB7058">
            <w:pPr>
              <w:jc w:val="both"/>
              <w:rPr>
                <w:rFonts w:ascii="Georgia" w:hAnsi="Georgia"/>
                <w:sz w:val="18"/>
                <w:szCs w:val="18"/>
              </w:rPr>
            </w:pPr>
            <w:r w:rsidRPr="005B36B6">
              <w:rPr>
                <w:rFonts w:ascii="Georgia" w:eastAsia="Times New Roman" w:hAnsi="Georgia" w:cs="Times New Roman"/>
                <w:b/>
                <w:i/>
                <w:sz w:val="18"/>
                <w:szCs w:val="18"/>
              </w:rPr>
              <w:t>Pouvez-vous confirmer les montants maximums par lot dans le cadre de cet accord-cadre ?</w:t>
            </w:r>
          </w:p>
        </w:tc>
        <w:tc>
          <w:tcPr>
            <w:tcW w:w="2301" w:type="pct"/>
          </w:tcPr>
          <w:p w14:paraId="43731F28" w14:textId="77777777" w:rsidR="00664F53" w:rsidRPr="00664F53" w:rsidRDefault="00664F53" w:rsidP="00261A31">
            <w:pPr>
              <w:jc w:val="both"/>
              <w:rPr>
                <w:rFonts w:ascii="Georgia" w:eastAsia="Times New Roman" w:hAnsi="Georgia" w:cs="Times New Roman"/>
                <w:sz w:val="18"/>
                <w:szCs w:val="18"/>
              </w:rPr>
            </w:pPr>
            <w:r w:rsidRPr="00664F53">
              <w:rPr>
                <w:rFonts w:ascii="Georgia" w:eastAsia="Times New Roman" w:hAnsi="Georgia" w:cs="Times New Roman"/>
                <w:sz w:val="18"/>
                <w:szCs w:val="18"/>
              </w:rPr>
              <w:t>Nous confirmons que les montants maxima de l’accord-cadre sont ceux de la clause 2.7 du CSC, soit :</w:t>
            </w:r>
          </w:p>
          <w:p w14:paraId="54A2A429" w14:textId="77777777" w:rsidR="00664F53" w:rsidRPr="00664F53" w:rsidRDefault="00664F53" w:rsidP="00B04273">
            <w:pPr>
              <w:pStyle w:val="Paragraphedeliste"/>
              <w:numPr>
                <w:ilvl w:val="0"/>
                <w:numId w:val="19"/>
              </w:numPr>
              <w:jc w:val="both"/>
              <w:rPr>
                <w:rFonts w:ascii="Georgia" w:hAnsi="Georgia"/>
                <w:sz w:val="18"/>
                <w:szCs w:val="18"/>
              </w:rPr>
            </w:pPr>
            <w:r w:rsidRPr="00664F53">
              <w:rPr>
                <w:rFonts w:ascii="Georgia" w:eastAsia="Times New Roman" w:hAnsi="Georgia" w:cs="Times New Roman"/>
                <w:sz w:val="18"/>
                <w:szCs w:val="18"/>
              </w:rPr>
              <w:t>Lot1 : 350 650 € HTVA et ;</w:t>
            </w:r>
          </w:p>
          <w:p w14:paraId="2212D21F" w14:textId="77777777" w:rsidR="00664F53" w:rsidRPr="00664F53" w:rsidRDefault="00664F53" w:rsidP="00B04273">
            <w:pPr>
              <w:pStyle w:val="Paragraphedeliste"/>
              <w:numPr>
                <w:ilvl w:val="0"/>
                <w:numId w:val="19"/>
              </w:numPr>
              <w:jc w:val="both"/>
              <w:rPr>
                <w:rFonts w:ascii="Georgia" w:hAnsi="Georgia"/>
                <w:sz w:val="18"/>
                <w:szCs w:val="18"/>
              </w:rPr>
            </w:pPr>
            <w:r w:rsidRPr="00664F53">
              <w:rPr>
                <w:rFonts w:ascii="Georgia" w:eastAsia="Times New Roman" w:hAnsi="Georgia" w:cs="Times New Roman"/>
                <w:sz w:val="18"/>
                <w:szCs w:val="18"/>
              </w:rPr>
              <w:t>Lot 2 : 149 350 € HTVA, établis conformément aux articles 6 et 7 de l’AR du 18/04/2017.</w:t>
            </w:r>
          </w:p>
          <w:p w14:paraId="1736E041" w14:textId="2C2BA983" w:rsidR="00664F53" w:rsidRPr="00664F53" w:rsidRDefault="00664F53" w:rsidP="00B04273">
            <w:pPr>
              <w:ind w:left="48"/>
              <w:jc w:val="both"/>
              <w:rPr>
                <w:rFonts w:ascii="Georgia" w:hAnsi="Georgia"/>
                <w:sz w:val="18"/>
                <w:szCs w:val="18"/>
              </w:rPr>
            </w:pPr>
            <w:r w:rsidRPr="00664F53">
              <w:rPr>
                <w:rFonts w:ascii="Georgia" w:eastAsia="Times New Roman" w:hAnsi="Georgia" w:cs="Times New Roman"/>
                <w:sz w:val="18"/>
                <w:szCs w:val="18"/>
              </w:rPr>
              <w:t>La mention différente figurant au formulaire 6.5 résulte d’une coquille éditoriale ; elle sera rectifiée. Cela n’affecte pas la remise des prix unitaires ni la nature sans quantités minimales de l’accord-cadre.</w:t>
            </w:r>
          </w:p>
        </w:tc>
      </w:tr>
      <w:tr w:rsidR="00664F53" w:rsidRPr="005B36B6" w14:paraId="413937C1" w14:textId="65169B9B" w:rsidTr="00664F53">
        <w:trPr>
          <w:trHeight w:val="2250"/>
        </w:trPr>
        <w:tc>
          <w:tcPr>
            <w:tcW w:w="156" w:type="pct"/>
          </w:tcPr>
          <w:p w14:paraId="25CC2183" w14:textId="6C3D123B" w:rsidR="00664F53" w:rsidRPr="005B36B6" w:rsidRDefault="00664F53" w:rsidP="00B04273">
            <w:pPr>
              <w:rPr>
                <w:rFonts w:ascii="Georgia" w:hAnsi="Georgia"/>
                <w:sz w:val="18"/>
                <w:szCs w:val="18"/>
              </w:rPr>
            </w:pPr>
            <w:r w:rsidRPr="005B36B6">
              <w:rPr>
                <w:rFonts w:ascii="Georgia" w:hAnsi="Georgia"/>
                <w:sz w:val="18"/>
                <w:szCs w:val="18"/>
              </w:rPr>
              <w:t>2</w:t>
            </w:r>
          </w:p>
        </w:tc>
        <w:tc>
          <w:tcPr>
            <w:tcW w:w="2543" w:type="pct"/>
          </w:tcPr>
          <w:p w14:paraId="667D8385" w14:textId="77777777" w:rsidR="00664F53" w:rsidRPr="005B36B6" w:rsidRDefault="00664F53" w:rsidP="00B04273">
            <w:pPr>
              <w:jc w:val="both"/>
              <w:rPr>
                <w:rFonts w:ascii="Georgia" w:eastAsia="Times New Roman" w:hAnsi="Georgia" w:cs="Times New Roman"/>
                <w:b/>
                <w:bCs/>
                <w:sz w:val="18"/>
                <w:szCs w:val="18"/>
              </w:rPr>
            </w:pPr>
            <w:r w:rsidRPr="005B36B6">
              <w:rPr>
                <w:rFonts w:ascii="Georgia" w:eastAsia="Times New Roman" w:hAnsi="Georgia" w:cs="Times New Roman"/>
                <w:b/>
                <w:bCs/>
                <w:sz w:val="18"/>
                <w:szCs w:val="18"/>
              </w:rPr>
              <w:t>Format de l’offre technique</w:t>
            </w:r>
          </w:p>
          <w:p w14:paraId="04550889" w14:textId="77777777" w:rsidR="00664F53" w:rsidRPr="005B36B6" w:rsidRDefault="00664F53" w:rsidP="00B04273">
            <w:pPr>
              <w:jc w:val="both"/>
              <w:textAlignment w:val="baseline"/>
              <w:rPr>
                <w:rFonts w:ascii="Georgia" w:eastAsia="Times New Roman" w:hAnsi="Georgia" w:cs="Times New Roman"/>
                <w:sz w:val="18"/>
                <w:szCs w:val="18"/>
              </w:rPr>
            </w:pPr>
          </w:p>
          <w:p w14:paraId="38AA851E" w14:textId="6F50A84A" w:rsidR="00664F53" w:rsidRPr="005B36B6" w:rsidRDefault="00664F53" w:rsidP="00B04273">
            <w:pPr>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 xml:space="preserve">Dans la partie 6.14 Documents à remettre – liste exhaustive, à la dernière page du CSC, il est mentionné que : </w:t>
            </w:r>
          </w:p>
          <w:p w14:paraId="00C1A6F8" w14:textId="77777777" w:rsidR="00664F53" w:rsidRPr="005B36B6" w:rsidRDefault="00664F53" w:rsidP="00B04273">
            <w:pPr>
              <w:pStyle w:val="Paragraphedeliste"/>
              <w:numPr>
                <w:ilvl w:val="0"/>
                <w:numId w:val="4"/>
              </w:numPr>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La note méthodologique doit faire « max. 4 pages A4 recto-verso »</w:t>
            </w:r>
          </w:p>
          <w:p w14:paraId="202F2E1F" w14:textId="77777777" w:rsidR="00664F53" w:rsidRPr="005B36B6" w:rsidRDefault="00664F53" w:rsidP="00B04273">
            <w:pPr>
              <w:pStyle w:val="Paragraphedeliste"/>
              <w:numPr>
                <w:ilvl w:val="0"/>
                <w:numId w:val="4"/>
              </w:numPr>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 xml:space="preserve">Le plan de mobilisation des autres compétences requises dans une note succincte doit faire « max.1 page A4 recto-verso » </w:t>
            </w:r>
          </w:p>
          <w:p w14:paraId="3D65F21E" w14:textId="68AB3402" w:rsidR="00664F53" w:rsidRPr="005B36B6" w:rsidRDefault="00664F53" w:rsidP="00B04273">
            <w:pPr>
              <w:jc w:val="both"/>
              <w:rPr>
                <w:rFonts w:ascii="Georgia" w:eastAsia="Times New Roman" w:hAnsi="Georgia" w:cs="Times New Roman"/>
                <w:b/>
                <w:bCs/>
                <w:sz w:val="18"/>
                <w:szCs w:val="18"/>
              </w:rPr>
            </w:pPr>
            <w:r w:rsidRPr="005B36B6">
              <w:rPr>
                <w:rFonts w:ascii="Georgia" w:eastAsia="Times New Roman" w:hAnsi="Georgia" w:cs="Times New Roman"/>
                <w:b/>
                <w:i/>
                <w:sz w:val="18"/>
                <w:szCs w:val="18"/>
              </w:rPr>
              <w:t>Pouvez-vous préciser si la longueur des documents attendus est, respectivement, de 4 et 1 pages ou de 8 et 2 pages (soit 4 et 1 feuilles recto-verso) ?</w:t>
            </w:r>
          </w:p>
          <w:p w14:paraId="232E55D0" w14:textId="5F440E19" w:rsidR="00664F53" w:rsidRPr="005B36B6" w:rsidRDefault="00664F53" w:rsidP="00B04273">
            <w:pPr>
              <w:jc w:val="both"/>
              <w:rPr>
                <w:rFonts w:ascii="Georgia" w:hAnsi="Georgia"/>
                <w:sz w:val="18"/>
                <w:szCs w:val="18"/>
              </w:rPr>
            </w:pPr>
          </w:p>
        </w:tc>
        <w:tc>
          <w:tcPr>
            <w:tcW w:w="2301" w:type="pct"/>
          </w:tcPr>
          <w:p w14:paraId="439EE162" w14:textId="54767A76" w:rsidR="00664F53" w:rsidRPr="00664F53" w:rsidRDefault="00664F53" w:rsidP="00B04273">
            <w:pPr>
              <w:jc w:val="both"/>
              <w:rPr>
                <w:rFonts w:ascii="Georgia" w:hAnsi="Georgia"/>
                <w:sz w:val="18"/>
                <w:szCs w:val="18"/>
              </w:rPr>
            </w:pPr>
            <w:r w:rsidRPr="00664F53">
              <w:rPr>
                <w:rFonts w:ascii="Georgia" w:eastAsia="Times New Roman" w:hAnsi="Georgia" w:cs="Times New Roman"/>
                <w:sz w:val="18"/>
                <w:szCs w:val="18"/>
              </w:rPr>
              <w:t>Par « page », il faut entendre une face (recto ou verso). Une feuille imprimée recto-verso compte donc 2 pages.</w:t>
            </w:r>
            <w:r w:rsidRPr="00664F53">
              <w:rPr>
                <w:rFonts w:ascii="Georgia" w:eastAsia="Times New Roman" w:hAnsi="Georgia" w:cs="Times New Roman"/>
                <w:sz w:val="18"/>
                <w:szCs w:val="18"/>
              </w:rPr>
              <w:br/>
              <w:t>• Note méthodologique : maximum 4 pages (soit 4 faces).</w:t>
            </w:r>
            <w:r w:rsidRPr="00664F53">
              <w:rPr>
                <w:rFonts w:ascii="Georgia" w:eastAsia="Times New Roman" w:hAnsi="Georgia" w:cs="Times New Roman"/>
                <w:sz w:val="18"/>
                <w:szCs w:val="18"/>
              </w:rPr>
              <w:br/>
              <w:t>• Plan de mobilisation des autres compétences (note succincte) : maximum 1 feuille A4 recto-verso, soit 2 pages.</w:t>
            </w:r>
            <w:r w:rsidRPr="00664F53">
              <w:rPr>
                <w:rFonts w:ascii="Georgia" w:eastAsia="Times New Roman" w:hAnsi="Georgia" w:cs="Times New Roman"/>
                <w:sz w:val="18"/>
                <w:szCs w:val="18"/>
              </w:rPr>
              <w:br/>
              <w:t>• Les annexes ne sont pas comptabilisées dans ce maxima.</w:t>
            </w:r>
          </w:p>
        </w:tc>
      </w:tr>
      <w:tr w:rsidR="00664F53" w:rsidRPr="005B36B6" w14:paraId="76E963A0" w14:textId="06B915F4" w:rsidTr="00664F53">
        <w:tc>
          <w:tcPr>
            <w:tcW w:w="156" w:type="pct"/>
          </w:tcPr>
          <w:p w14:paraId="4B1CC812" w14:textId="7DF14802" w:rsidR="00664F53" w:rsidRPr="005B36B6" w:rsidRDefault="00664F53">
            <w:pPr>
              <w:rPr>
                <w:rFonts w:ascii="Georgia" w:hAnsi="Georgia"/>
                <w:sz w:val="18"/>
                <w:szCs w:val="18"/>
              </w:rPr>
            </w:pPr>
            <w:r w:rsidRPr="005B36B6">
              <w:rPr>
                <w:rFonts w:ascii="Georgia" w:hAnsi="Georgia"/>
                <w:sz w:val="18"/>
                <w:szCs w:val="18"/>
              </w:rPr>
              <w:t>3</w:t>
            </w:r>
          </w:p>
        </w:tc>
        <w:tc>
          <w:tcPr>
            <w:tcW w:w="2543" w:type="pct"/>
          </w:tcPr>
          <w:p w14:paraId="1C5D9B37" w14:textId="77777777" w:rsidR="00664F53" w:rsidRPr="005B36B6" w:rsidRDefault="00664F53" w:rsidP="00BB7058">
            <w:pPr>
              <w:jc w:val="both"/>
              <w:rPr>
                <w:rFonts w:ascii="Georgia" w:eastAsia="Times New Roman" w:hAnsi="Georgia" w:cs="Times New Roman"/>
                <w:b/>
                <w:bCs/>
                <w:sz w:val="18"/>
                <w:szCs w:val="18"/>
              </w:rPr>
            </w:pPr>
            <w:r w:rsidRPr="005B36B6">
              <w:rPr>
                <w:rFonts w:ascii="Georgia" w:eastAsia="Times New Roman" w:hAnsi="Georgia" w:cs="Times New Roman"/>
                <w:b/>
                <w:bCs/>
                <w:sz w:val="18"/>
                <w:szCs w:val="18"/>
              </w:rPr>
              <w:t>Soumission plateforme</w:t>
            </w:r>
          </w:p>
          <w:p w14:paraId="182D8379" w14:textId="77777777" w:rsidR="00664F53" w:rsidRPr="005B36B6" w:rsidRDefault="00664F53" w:rsidP="00BB7058">
            <w:pPr>
              <w:jc w:val="both"/>
              <w:rPr>
                <w:rFonts w:ascii="Georgia" w:hAnsi="Georgia"/>
                <w:sz w:val="18"/>
                <w:szCs w:val="18"/>
              </w:rPr>
            </w:pPr>
          </w:p>
          <w:p w14:paraId="45528737" w14:textId="77777777" w:rsidR="00664F53" w:rsidRPr="005B36B6" w:rsidRDefault="00664F53" w:rsidP="00BB7058">
            <w:pPr>
              <w:jc w:val="both"/>
              <w:textAlignment w:val="baseline"/>
              <w:rPr>
                <w:rFonts w:ascii="Georgia" w:eastAsia="Times New Roman" w:hAnsi="Georgia" w:cs="Times New Roman"/>
                <w:sz w:val="18"/>
                <w:szCs w:val="18"/>
              </w:rPr>
            </w:pPr>
            <w:r w:rsidRPr="005B36B6">
              <w:rPr>
                <w:rFonts w:ascii="Georgia" w:eastAsia="Times New Roman" w:hAnsi="Georgia" w:cs="Times New Roman"/>
                <w:sz w:val="18"/>
                <w:szCs w:val="18"/>
              </w:rPr>
              <w:t xml:space="preserve">Les liens pour soumettre l’offre, mentionnés dans le CSC aux pages 18 et 19, ne fonctionnent pas. </w:t>
            </w:r>
          </w:p>
          <w:p w14:paraId="1EA41ABF" w14:textId="0A1A1CE7" w:rsidR="00664F53" w:rsidRPr="005B36B6" w:rsidRDefault="00664F53" w:rsidP="00BB7058">
            <w:pPr>
              <w:jc w:val="both"/>
              <w:rPr>
                <w:rFonts w:ascii="Georgia" w:hAnsi="Georgia"/>
                <w:sz w:val="18"/>
                <w:szCs w:val="18"/>
              </w:rPr>
            </w:pPr>
            <w:r w:rsidRPr="005B36B6">
              <w:rPr>
                <w:rFonts w:ascii="Georgia" w:eastAsia="Times New Roman" w:hAnsi="Georgia" w:cs="Times New Roman"/>
                <w:b/>
                <w:i/>
                <w:sz w:val="18"/>
                <w:szCs w:val="18"/>
              </w:rPr>
              <w:t>Pouvez-vous nous indiquer la marche à suivre et/ou nous envoyer un lien fonctionnel pour soumette ?</w:t>
            </w:r>
          </w:p>
          <w:p w14:paraId="3C384C7A" w14:textId="77777777" w:rsidR="00664F53" w:rsidRPr="005B36B6" w:rsidRDefault="00664F53" w:rsidP="00BB7058">
            <w:pPr>
              <w:jc w:val="both"/>
              <w:rPr>
                <w:rFonts w:ascii="Georgia" w:hAnsi="Georgia"/>
                <w:sz w:val="18"/>
                <w:szCs w:val="18"/>
              </w:rPr>
            </w:pPr>
          </w:p>
          <w:p w14:paraId="2A343607" w14:textId="6C5682AB" w:rsidR="00664F53" w:rsidRPr="005B36B6" w:rsidRDefault="00664F53" w:rsidP="00BB7058">
            <w:pPr>
              <w:jc w:val="both"/>
              <w:rPr>
                <w:rFonts w:ascii="Georgia" w:hAnsi="Georgia"/>
                <w:sz w:val="18"/>
                <w:szCs w:val="18"/>
              </w:rPr>
            </w:pPr>
          </w:p>
        </w:tc>
        <w:tc>
          <w:tcPr>
            <w:tcW w:w="2301" w:type="pct"/>
            <w:shd w:val="clear" w:color="auto" w:fill="FFFF00"/>
          </w:tcPr>
          <w:p w14:paraId="30097C11" w14:textId="77777777" w:rsidR="00664F53" w:rsidRPr="00664F53" w:rsidRDefault="00664F53" w:rsidP="00261A31">
            <w:pPr>
              <w:jc w:val="both"/>
              <w:rPr>
                <w:rFonts w:ascii="Georgia" w:hAnsi="Georgia"/>
                <w:sz w:val="18"/>
                <w:szCs w:val="18"/>
              </w:rPr>
            </w:pPr>
          </w:p>
        </w:tc>
      </w:tr>
      <w:tr w:rsidR="00664F53" w:rsidRPr="005B36B6" w14:paraId="28382CD8" w14:textId="6431D270" w:rsidTr="00664F53">
        <w:tc>
          <w:tcPr>
            <w:tcW w:w="156" w:type="pct"/>
          </w:tcPr>
          <w:p w14:paraId="729FEDF4" w14:textId="2C646831" w:rsidR="00664F53" w:rsidRPr="005B36B6" w:rsidRDefault="00664F53">
            <w:pPr>
              <w:rPr>
                <w:rFonts w:ascii="Georgia" w:hAnsi="Georgia"/>
                <w:sz w:val="18"/>
                <w:szCs w:val="18"/>
              </w:rPr>
            </w:pPr>
            <w:r w:rsidRPr="005B36B6">
              <w:rPr>
                <w:rFonts w:ascii="Georgia" w:hAnsi="Georgia"/>
                <w:sz w:val="18"/>
                <w:szCs w:val="18"/>
              </w:rPr>
              <w:t>4</w:t>
            </w:r>
          </w:p>
        </w:tc>
        <w:tc>
          <w:tcPr>
            <w:tcW w:w="2543" w:type="pct"/>
          </w:tcPr>
          <w:p w14:paraId="776D58D4" w14:textId="77777777" w:rsidR="00664F53" w:rsidRPr="005B36B6" w:rsidRDefault="00664F53" w:rsidP="00BB7058">
            <w:pPr>
              <w:jc w:val="both"/>
              <w:rPr>
                <w:rFonts w:ascii="Georgia" w:hAnsi="Georgia"/>
                <w:sz w:val="18"/>
                <w:szCs w:val="18"/>
              </w:rPr>
            </w:pPr>
            <w:r w:rsidRPr="005B36B6">
              <w:rPr>
                <w:rFonts w:ascii="Georgia" w:hAnsi="Georgia"/>
                <w:sz w:val="18"/>
                <w:szCs w:val="18"/>
              </w:rPr>
              <w:t>Concernant la conclusion de l’accord cadre : pourriez-vous nous confirmer le nombre d’attributaires par lot ? En effet, il nous semble qu’il existe des contradictions dans le document entre la page 27 qui prévoit un maximum de 2 attributaires par lot, et la page 29 où il est indiqué que pour les marchés fondés sur l’accord cadre, « le pouvoir adjudicateur demandera aux </w:t>
            </w:r>
            <w:r w:rsidRPr="005B36B6">
              <w:rPr>
                <w:rFonts w:ascii="Georgia" w:hAnsi="Georgia"/>
                <w:sz w:val="18"/>
                <w:szCs w:val="18"/>
                <w:u w:val="single"/>
              </w:rPr>
              <w:t>trois participants</w:t>
            </w:r>
            <w:r w:rsidRPr="005B36B6">
              <w:rPr>
                <w:rFonts w:ascii="Georgia" w:hAnsi="Georgia"/>
                <w:sz w:val="18"/>
                <w:szCs w:val="18"/>
              </w:rPr>
              <w:t> (phase 2) lors de chaque procédure d’attribution fondée sur l’accord cadre de déposer une offre finale »</w:t>
            </w:r>
          </w:p>
          <w:p w14:paraId="7C789B27" w14:textId="77777777" w:rsidR="00664F53" w:rsidRPr="005B36B6" w:rsidRDefault="00664F53" w:rsidP="00BB7058">
            <w:pPr>
              <w:jc w:val="both"/>
              <w:rPr>
                <w:rFonts w:ascii="Georgia" w:hAnsi="Georgia"/>
                <w:sz w:val="18"/>
                <w:szCs w:val="18"/>
              </w:rPr>
            </w:pPr>
          </w:p>
        </w:tc>
        <w:tc>
          <w:tcPr>
            <w:tcW w:w="2301" w:type="pct"/>
          </w:tcPr>
          <w:p w14:paraId="39E52E90" w14:textId="19C4DD9B" w:rsidR="00664F53" w:rsidRPr="00664F53" w:rsidRDefault="00664F53" w:rsidP="00261A31">
            <w:pPr>
              <w:jc w:val="both"/>
              <w:rPr>
                <w:rFonts w:ascii="Georgia" w:hAnsi="Georgia"/>
                <w:sz w:val="18"/>
                <w:szCs w:val="18"/>
              </w:rPr>
            </w:pPr>
            <w:r w:rsidRPr="00664F53">
              <w:rPr>
                <w:rFonts w:ascii="Georgia" w:hAnsi="Georgia" w:cstheme="minorHAnsi"/>
                <w:sz w:val="18"/>
                <w:szCs w:val="18"/>
                <w:lang w:val="fr-BE"/>
              </w:rPr>
              <w:lastRenderedPageBreak/>
              <w:t xml:space="preserve">Nous confirmons qu’une </w:t>
            </w:r>
            <w:r w:rsidRPr="00664F53">
              <w:rPr>
                <w:rStyle w:val="lev"/>
                <w:rFonts w:ascii="Georgia" w:hAnsi="Georgia" w:cstheme="minorHAnsi"/>
                <w:b w:val="0"/>
                <w:bCs w:val="0"/>
                <w:sz w:val="18"/>
                <w:szCs w:val="18"/>
                <w:lang w:val="fr-BE"/>
              </w:rPr>
              <w:t>incohérence de rédaction</w:t>
            </w:r>
            <w:r w:rsidRPr="00664F53">
              <w:rPr>
                <w:rFonts w:ascii="Georgia" w:hAnsi="Georgia" w:cstheme="minorHAnsi"/>
                <w:sz w:val="18"/>
                <w:szCs w:val="18"/>
                <w:lang w:val="fr-BE"/>
              </w:rPr>
              <w:t xml:space="preserve"> figure dans le dossier : le §2.2 mentionne </w:t>
            </w:r>
            <w:r w:rsidRPr="00664F53">
              <w:rPr>
                <w:rStyle w:val="lev"/>
                <w:rFonts w:ascii="Georgia" w:hAnsi="Georgia" w:cstheme="minorHAnsi"/>
                <w:b w:val="0"/>
                <w:bCs w:val="0"/>
                <w:sz w:val="18"/>
                <w:szCs w:val="18"/>
                <w:lang w:val="fr-BE"/>
              </w:rPr>
              <w:t>deux (2)</w:t>
            </w:r>
            <w:r w:rsidRPr="00664F53">
              <w:rPr>
                <w:rFonts w:ascii="Georgia" w:hAnsi="Georgia" w:cstheme="minorHAnsi"/>
                <w:sz w:val="18"/>
                <w:szCs w:val="18"/>
                <w:lang w:val="fr-BE"/>
              </w:rPr>
              <w:t xml:space="preserve"> participants par lot, tandis que le §3.5 fait référence à </w:t>
            </w:r>
            <w:r w:rsidRPr="00664F53">
              <w:rPr>
                <w:rStyle w:val="lev"/>
                <w:rFonts w:ascii="Georgia" w:hAnsi="Georgia" w:cstheme="minorHAnsi"/>
                <w:b w:val="0"/>
                <w:bCs w:val="0"/>
                <w:sz w:val="18"/>
                <w:szCs w:val="18"/>
                <w:lang w:val="fr-BE"/>
              </w:rPr>
              <w:t>trois (3)</w:t>
            </w:r>
            <w:r w:rsidRPr="00664F53">
              <w:rPr>
                <w:rFonts w:ascii="Georgia" w:hAnsi="Georgia" w:cstheme="minorHAnsi"/>
                <w:sz w:val="18"/>
                <w:szCs w:val="18"/>
                <w:lang w:val="fr-BE"/>
              </w:rPr>
              <w:t>.</w:t>
            </w:r>
            <w:r w:rsidRPr="00664F53">
              <w:rPr>
                <w:rFonts w:ascii="Georgia" w:hAnsi="Georgia" w:cstheme="minorHAnsi"/>
                <w:sz w:val="18"/>
                <w:szCs w:val="18"/>
                <w:lang w:val="fr-BE"/>
              </w:rPr>
              <w:br/>
            </w:r>
            <w:r w:rsidRPr="00664F53">
              <w:rPr>
                <w:rStyle w:val="lev"/>
                <w:rFonts w:ascii="Georgia" w:hAnsi="Georgia" w:cstheme="minorHAnsi"/>
                <w:b w:val="0"/>
                <w:bCs w:val="0"/>
                <w:sz w:val="18"/>
                <w:szCs w:val="18"/>
                <w:lang w:val="fr-BE"/>
              </w:rPr>
              <w:t>Position appliquée</w:t>
            </w:r>
            <w:r w:rsidRPr="00664F53">
              <w:rPr>
                <w:rFonts w:ascii="Georgia" w:hAnsi="Georgia" w:cstheme="minorHAnsi"/>
                <w:sz w:val="18"/>
                <w:szCs w:val="18"/>
                <w:lang w:val="fr-BE"/>
              </w:rPr>
              <w:t xml:space="preserve"> : le nombre de participants à l’accord-cadre sera de </w:t>
            </w:r>
            <w:r w:rsidRPr="00664F53">
              <w:rPr>
                <w:rStyle w:val="lev"/>
                <w:rFonts w:ascii="Georgia" w:hAnsi="Georgia" w:cstheme="minorHAnsi"/>
                <w:b w:val="0"/>
                <w:bCs w:val="0"/>
                <w:sz w:val="18"/>
                <w:szCs w:val="18"/>
                <w:lang w:val="fr-BE"/>
              </w:rPr>
              <w:t>deux (2) par lot</w:t>
            </w:r>
            <w:r w:rsidRPr="00664F53">
              <w:rPr>
                <w:rFonts w:ascii="Georgia" w:hAnsi="Georgia" w:cstheme="minorHAnsi"/>
                <w:sz w:val="18"/>
                <w:szCs w:val="18"/>
                <w:lang w:val="fr-BE"/>
              </w:rPr>
              <w:t xml:space="preserve"> comme indiqué au §2.2. Les occurrences de « trois participants » au §3.5 seront </w:t>
            </w:r>
            <w:r w:rsidRPr="00664F53">
              <w:rPr>
                <w:rStyle w:val="lev"/>
                <w:rFonts w:ascii="Georgia" w:hAnsi="Georgia" w:cstheme="minorHAnsi"/>
                <w:b w:val="0"/>
                <w:bCs w:val="0"/>
                <w:sz w:val="18"/>
                <w:szCs w:val="18"/>
                <w:lang w:val="fr-BE"/>
              </w:rPr>
              <w:t>corrigées</w:t>
            </w:r>
            <w:r w:rsidRPr="00664F53">
              <w:rPr>
                <w:rFonts w:ascii="Georgia" w:hAnsi="Georgia" w:cstheme="minorHAnsi"/>
                <w:sz w:val="18"/>
                <w:szCs w:val="18"/>
                <w:lang w:val="fr-BE"/>
              </w:rPr>
              <w:t xml:space="preserve"> par une communication de clarification/erratum.</w:t>
            </w:r>
            <w:r w:rsidRPr="00664F53">
              <w:rPr>
                <w:rFonts w:ascii="Georgia" w:hAnsi="Georgia" w:cstheme="minorHAnsi"/>
                <w:sz w:val="18"/>
                <w:szCs w:val="18"/>
                <w:lang w:val="fr-BE"/>
              </w:rPr>
              <w:br/>
            </w:r>
            <w:r w:rsidRPr="00664F53">
              <w:rPr>
                <w:rFonts w:ascii="Georgia" w:hAnsi="Georgia" w:cstheme="minorHAnsi"/>
                <w:sz w:val="18"/>
                <w:szCs w:val="18"/>
                <w:lang w:val="fr-BE"/>
              </w:rPr>
              <w:lastRenderedPageBreak/>
              <w:t>Cela n’affecte pas la suite de la procédure : les participants retenus seront invités à remettre des offres pour les marchés spécifiques conformément au §3.5 ajusté.</w:t>
            </w:r>
          </w:p>
        </w:tc>
      </w:tr>
      <w:tr w:rsidR="00664F53" w:rsidRPr="005B36B6" w14:paraId="4DF71A57" w14:textId="7E82CCE8" w:rsidTr="00664F53">
        <w:tc>
          <w:tcPr>
            <w:tcW w:w="156" w:type="pct"/>
          </w:tcPr>
          <w:p w14:paraId="0E1D2ED7" w14:textId="1CEF57E0" w:rsidR="00664F53" w:rsidRPr="005B36B6" w:rsidRDefault="00664F53">
            <w:pPr>
              <w:rPr>
                <w:rFonts w:ascii="Georgia" w:hAnsi="Georgia"/>
                <w:sz w:val="18"/>
                <w:szCs w:val="18"/>
              </w:rPr>
            </w:pPr>
            <w:r w:rsidRPr="005B36B6">
              <w:rPr>
                <w:rFonts w:ascii="Georgia" w:hAnsi="Georgia"/>
                <w:sz w:val="18"/>
                <w:szCs w:val="18"/>
              </w:rPr>
              <w:lastRenderedPageBreak/>
              <w:t>5</w:t>
            </w:r>
          </w:p>
        </w:tc>
        <w:tc>
          <w:tcPr>
            <w:tcW w:w="2543" w:type="pct"/>
          </w:tcPr>
          <w:p w14:paraId="1A94F298" w14:textId="77777777" w:rsidR="00664F53" w:rsidRPr="005B36B6" w:rsidRDefault="00664F53" w:rsidP="00BB7058">
            <w:pPr>
              <w:jc w:val="both"/>
              <w:rPr>
                <w:rFonts w:ascii="Georgia" w:eastAsia="Times New Roman" w:hAnsi="Georgia" w:cs="Times New Roman"/>
                <w:kern w:val="0"/>
                <w:sz w:val="18"/>
                <w:szCs w:val="18"/>
                <w:lang w:eastAsia="fr-FR"/>
                <w14:ligatures w14:val="none"/>
              </w:rPr>
            </w:pPr>
            <w:r w:rsidRPr="005B36B6">
              <w:rPr>
                <w:rFonts w:ascii="Georgia" w:eastAsia="Times New Roman" w:hAnsi="Georgia" w:cs="Calibri"/>
                <w:kern w:val="0"/>
                <w:sz w:val="18"/>
                <w:szCs w:val="18"/>
                <w:lang w:eastAsia="fr-FR"/>
                <w14:ligatures w14:val="none"/>
              </w:rPr>
              <w:t>Par ailleurs, nous comprenons donc que les 2 attributaires seront systématiquement mis en concurrence, pour chacune des missions menées dans le CC ? Est-ce bien cela ?</w:t>
            </w:r>
          </w:p>
          <w:p w14:paraId="109AB5D1" w14:textId="77777777" w:rsidR="00664F53" w:rsidRPr="005B36B6" w:rsidRDefault="00664F53" w:rsidP="00BB7058">
            <w:pPr>
              <w:jc w:val="both"/>
              <w:rPr>
                <w:rFonts w:ascii="Georgia" w:hAnsi="Georgia"/>
                <w:sz w:val="18"/>
                <w:szCs w:val="18"/>
              </w:rPr>
            </w:pPr>
          </w:p>
        </w:tc>
        <w:tc>
          <w:tcPr>
            <w:tcW w:w="2301" w:type="pct"/>
          </w:tcPr>
          <w:p w14:paraId="1A3DBFE3" w14:textId="31856BBD" w:rsidR="00664F53" w:rsidRPr="00664F53" w:rsidRDefault="00664F53" w:rsidP="00261A31">
            <w:pPr>
              <w:jc w:val="both"/>
              <w:rPr>
                <w:rFonts w:ascii="Georgia" w:hAnsi="Georgia"/>
                <w:sz w:val="18"/>
                <w:szCs w:val="18"/>
              </w:rPr>
            </w:pPr>
            <w:r w:rsidRPr="00664F53">
              <w:rPr>
                <w:rFonts w:ascii="Georgia" w:hAnsi="Georgia"/>
                <w:sz w:val="18"/>
                <w:szCs w:val="18"/>
              </w:rPr>
              <w:t>C’est bien cela.</w:t>
            </w:r>
          </w:p>
        </w:tc>
      </w:tr>
      <w:tr w:rsidR="00664F53" w:rsidRPr="005B36B6" w14:paraId="20BF5C22" w14:textId="77777777" w:rsidTr="00664F53">
        <w:tc>
          <w:tcPr>
            <w:tcW w:w="156" w:type="pct"/>
          </w:tcPr>
          <w:p w14:paraId="7DCB7D84" w14:textId="7BC744FE" w:rsidR="00664F53" w:rsidRPr="005B36B6" w:rsidRDefault="00664F53">
            <w:pPr>
              <w:rPr>
                <w:rFonts w:ascii="Georgia" w:hAnsi="Georgia"/>
                <w:sz w:val="18"/>
                <w:szCs w:val="18"/>
              </w:rPr>
            </w:pPr>
            <w:r w:rsidRPr="005B36B6">
              <w:rPr>
                <w:rFonts w:ascii="Georgia" w:hAnsi="Georgia"/>
                <w:sz w:val="18"/>
                <w:szCs w:val="18"/>
              </w:rPr>
              <w:t>6</w:t>
            </w:r>
          </w:p>
        </w:tc>
        <w:tc>
          <w:tcPr>
            <w:tcW w:w="2543" w:type="pct"/>
          </w:tcPr>
          <w:p w14:paraId="77CAF957" w14:textId="77777777" w:rsidR="00664F53" w:rsidRPr="005B36B6" w:rsidRDefault="00664F53" w:rsidP="00BB7058">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Concernant l’offre méthodologique : pourriez-vous nous confirmer qu’il est attendu une offre de 4 pages maximum ? En effet, dans la dernière rubrique « Documents à remettre » il est mentionné « 4 pages A4 recto-verso » : est-ce que cela signifie que nous pouvons aller jusqu’à 8 pages ?</w:t>
            </w:r>
          </w:p>
          <w:p w14:paraId="029B3308" w14:textId="77777777" w:rsidR="00664F53" w:rsidRPr="005B36B6" w:rsidRDefault="00664F53" w:rsidP="00BB7058">
            <w:pPr>
              <w:jc w:val="both"/>
              <w:rPr>
                <w:rFonts w:ascii="Georgia" w:eastAsia="Times New Roman" w:hAnsi="Georgia" w:cs="Calibri"/>
                <w:kern w:val="0"/>
                <w:sz w:val="18"/>
                <w:szCs w:val="18"/>
                <w:lang w:eastAsia="fr-FR"/>
                <w14:ligatures w14:val="none"/>
              </w:rPr>
            </w:pPr>
          </w:p>
        </w:tc>
        <w:tc>
          <w:tcPr>
            <w:tcW w:w="2301" w:type="pct"/>
          </w:tcPr>
          <w:p w14:paraId="170179F9" w14:textId="35A97EEC" w:rsidR="00664F53" w:rsidRPr="00664F53" w:rsidRDefault="00664F53" w:rsidP="00261A31">
            <w:pPr>
              <w:jc w:val="both"/>
              <w:rPr>
                <w:rFonts w:ascii="Georgia" w:hAnsi="Georgia"/>
                <w:sz w:val="18"/>
                <w:szCs w:val="18"/>
              </w:rPr>
            </w:pPr>
            <w:r w:rsidRPr="00664F53">
              <w:rPr>
                <w:rFonts w:ascii="Georgia" w:hAnsi="Georgia"/>
                <w:sz w:val="18"/>
                <w:szCs w:val="18"/>
              </w:rPr>
              <w:t>Non. Une feuille A4 recto-verso, a 2 pages, donc un maximum de deux feuilles recto-verso fait 4 pages.</w:t>
            </w:r>
          </w:p>
        </w:tc>
      </w:tr>
      <w:tr w:rsidR="00664F53" w:rsidRPr="005B36B6" w14:paraId="41D78576" w14:textId="77777777" w:rsidTr="00664F53">
        <w:tc>
          <w:tcPr>
            <w:tcW w:w="156" w:type="pct"/>
          </w:tcPr>
          <w:p w14:paraId="55052C04" w14:textId="71454268" w:rsidR="00664F53" w:rsidRPr="005B36B6" w:rsidRDefault="00664F53">
            <w:pPr>
              <w:rPr>
                <w:rFonts w:ascii="Georgia" w:hAnsi="Georgia"/>
                <w:sz w:val="18"/>
                <w:szCs w:val="18"/>
              </w:rPr>
            </w:pPr>
            <w:r w:rsidRPr="005B36B6">
              <w:rPr>
                <w:rFonts w:ascii="Georgia" w:hAnsi="Georgia"/>
                <w:sz w:val="18"/>
                <w:szCs w:val="18"/>
              </w:rPr>
              <w:t>7</w:t>
            </w:r>
          </w:p>
        </w:tc>
        <w:tc>
          <w:tcPr>
            <w:tcW w:w="2543" w:type="pct"/>
          </w:tcPr>
          <w:p w14:paraId="0833FA85" w14:textId="77777777" w:rsidR="00664F53" w:rsidRPr="005B36B6" w:rsidRDefault="00664F53" w:rsidP="00BB7058">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Un expert peut-il être présenté sur les deux lots ?</w:t>
            </w:r>
          </w:p>
          <w:p w14:paraId="427678E2" w14:textId="77777777" w:rsidR="00664F53" w:rsidRPr="005B36B6" w:rsidRDefault="00664F53" w:rsidP="00BB7058">
            <w:pPr>
              <w:jc w:val="both"/>
              <w:rPr>
                <w:rFonts w:ascii="Georgia" w:eastAsia="Times New Roman" w:hAnsi="Georgia" w:cs="Calibri"/>
                <w:kern w:val="0"/>
                <w:sz w:val="18"/>
                <w:szCs w:val="18"/>
                <w:lang w:eastAsia="fr-FR"/>
                <w14:ligatures w14:val="none"/>
              </w:rPr>
            </w:pPr>
          </w:p>
        </w:tc>
        <w:tc>
          <w:tcPr>
            <w:tcW w:w="2301" w:type="pct"/>
          </w:tcPr>
          <w:p w14:paraId="45F862B9" w14:textId="77777777" w:rsidR="00664F53" w:rsidRPr="00664F53" w:rsidRDefault="00664F53" w:rsidP="00261A31">
            <w:pPr>
              <w:spacing w:after="160" w:line="259" w:lineRule="auto"/>
              <w:jc w:val="both"/>
              <w:rPr>
                <w:rFonts w:ascii="Georgia" w:hAnsi="Georgia"/>
                <w:sz w:val="18"/>
                <w:szCs w:val="18"/>
              </w:rPr>
            </w:pPr>
            <w:r w:rsidRPr="00664F53">
              <w:rPr>
                <w:rFonts w:ascii="Georgia" w:hAnsi="Georgia"/>
                <w:sz w:val="18"/>
                <w:szCs w:val="18"/>
              </w:rPr>
              <w:t>Oui.</w:t>
            </w:r>
          </w:p>
          <w:p w14:paraId="64F03C7B" w14:textId="77777777" w:rsidR="00664F53" w:rsidRPr="00664F53" w:rsidRDefault="00664F53" w:rsidP="00261A31">
            <w:pPr>
              <w:spacing w:after="160" w:line="259" w:lineRule="auto"/>
              <w:jc w:val="both"/>
              <w:rPr>
                <w:rFonts w:ascii="Georgia" w:hAnsi="Georgia"/>
                <w:sz w:val="18"/>
                <w:szCs w:val="18"/>
              </w:rPr>
            </w:pPr>
            <w:r w:rsidRPr="00664F53">
              <w:rPr>
                <w:rFonts w:ascii="Georgia" w:hAnsi="Georgia"/>
                <w:sz w:val="18"/>
                <w:szCs w:val="18"/>
              </w:rPr>
              <w:t xml:space="preserve">Le CSC le permet explicitement : « Un soumissionnaire peut proposer le même expert pour plusieurs lots. » </w:t>
            </w:r>
          </w:p>
          <w:p w14:paraId="6F4D1C63" w14:textId="77777777" w:rsidR="00664F53" w:rsidRPr="00664F53" w:rsidRDefault="00664F53" w:rsidP="00261A31">
            <w:pPr>
              <w:spacing w:after="160" w:line="259" w:lineRule="auto"/>
              <w:jc w:val="both"/>
              <w:rPr>
                <w:rFonts w:ascii="Georgia" w:hAnsi="Georgia"/>
                <w:sz w:val="18"/>
                <w:szCs w:val="18"/>
              </w:rPr>
            </w:pPr>
            <w:r w:rsidRPr="00664F53">
              <w:rPr>
                <w:rFonts w:ascii="Georgia" w:hAnsi="Georgia"/>
                <w:sz w:val="18"/>
                <w:szCs w:val="18"/>
              </w:rPr>
              <w:t xml:space="preserve">En revanche, le même expert ne peut pas être proposé, pour un même lot, par des soumissionnaires différents. </w:t>
            </w:r>
          </w:p>
          <w:p w14:paraId="5608515D" w14:textId="7C46FCC5" w:rsidR="00664F53" w:rsidRPr="00664F53" w:rsidRDefault="00664F53" w:rsidP="00261A31">
            <w:pPr>
              <w:jc w:val="both"/>
              <w:rPr>
                <w:rFonts w:ascii="Georgia" w:hAnsi="Georgia"/>
                <w:sz w:val="18"/>
                <w:szCs w:val="18"/>
              </w:rPr>
            </w:pPr>
            <w:r w:rsidRPr="00664F53">
              <w:rPr>
                <w:rFonts w:ascii="Georgia" w:hAnsi="Georgia"/>
                <w:sz w:val="18"/>
                <w:szCs w:val="18"/>
              </w:rPr>
              <w:t>L’expert doit par ailleurs signer un accord d’exclusivité pour le(s) lot(s) concerné(s) au profit du soumissionnaire qui le présente.</w:t>
            </w:r>
          </w:p>
        </w:tc>
      </w:tr>
      <w:tr w:rsidR="00664F53" w:rsidRPr="005B36B6" w14:paraId="1154319A" w14:textId="77777777" w:rsidTr="00664F53">
        <w:tc>
          <w:tcPr>
            <w:tcW w:w="156" w:type="pct"/>
          </w:tcPr>
          <w:p w14:paraId="4D961CD3" w14:textId="09117457" w:rsidR="00664F53" w:rsidRPr="005B36B6" w:rsidRDefault="00664F53" w:rsidP="00065EB5">
            <w:pPr>
              <w:rPr>
                <w:rFonts w:ascii="Georgia" w:hAnsi="Georgia"/>
                <w:sz w:val="18"/>
                <w:szCs w:val="18"/>
              </w:rPr>
            </w:pPr>
            <w:r w:rsidRPr="005B36B6">
              <w:rPr>
                <w:rFonts w:ascii="Georgia" w:hAnsi="Georgia"/>
                <w:sz w:val="18"/>
                <w:szCs w:val="18"/>
              </w:rPr>
              <w:t>8</w:t>
            </w:r>
          </w:p>
        </w:tc>
        <w:tc>
          <w:tcPr>
            <w:tcW w:w="2543" w:type="pct"/>
          </w:tcPr>
          <w:p w14:paraId="6C8D019D" w14:textId="77777777" w:rsidR="00664F53" w:rsidRPr="005B36B6" w:rsidRDefault="00664F53" w:rsidP="00065EB5">
            <w:pPr>
              <w:numPr>
                <w:ilvl w:val="0"/>
                <w:numId w:val="6"/>
              </w:numPr>
              <w:tabs>
                <w:tab w:val="clear" w:pos="720"/>
                <w:tab w:val="num" w:pos="158"/>
              </w:tabs>
              <w:ind w:left="158" w:hanging="142"/>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Selon notre compréhension, les experts </w:t>
            </w:r>
            <w:r w:rsidRPr="005B36B6">
              <w:rPr>
                <w:rFonts w:ascii="Georgia" w:eastAsia="Times New Roman" w:hAnsi="Georgia" w:cs="Calibri"/>
                <w:b/>
                <w:bCs/>
                <w:kern w:val="0"/>
                <w:sz w:val="18"/>
                <w:szCs w:val="18"/>
                <w:lang w:eastAsia="fr-FR"/>
                <w14:ligatures w14:val="none"/>
              </w:rPr>
              <w:t>complémentaires</w:t>
            </w:r>
            <w:r w:rsidRPr="005B36B6">
              <w:rPr>
                <w:rFonts w:ascii="Georgia" w:eastAsia="Times New Roman" w:hAnsi="Georgia" w:cs="Calibri"/>
                <w:kern w:val="0"/>
                <w:sz w:val="18"/>
                <w:szCs w:val="18"/>
                <w:lang w:eastAsia="fr-FR"/>
                <w14:ligatures w14:val="none"/>
              </w:rPr>
              <w:t> ne sont pas évalués au même titre que les experts clés – faut-il les inclure dans le tableau 6.4 ?</w:t>
            </w:r>
          </w:p>
          <w:p w14:paraId="73261487" w14:textId="30EAC6AB" w:rsidR="00664F53" w:rsidRPr="005B36B6" w:rsidRDefault="00664F53" w:rsidP="00AC269F">
            <w:pPr>
              <w:ind w:left="158"/>
              <w:jc w:val="both"/>
              <w:rPr>
                <w:rFonts w:ascii="Georgia" w:eastAsia="Times New Roman" w:hAnsi="Georgia" w:cs="Calibri"/>
                <w:kern w:val="0"/>
                <w:sz w:val="18"/>
                <w:szCs w:val="18"/>
                <w:lang w:eastAsia="fr-FR"/>
                <w14:ligatures w14:val="none"/>
              </w:rPr>
            </w:pPr>
          </w:p>
          <w:p w14:paraId="12DC9BBA" w14:textId="77777777" w:rsidR="00664F53" w:rsidRPr="005B36B6" w:rsidRDefault="00664F53" w:rsidP="00065EB5">
            <w:pPr>
              <w:tabs>
                <w:tab w:val="num" w:pos="158"/>
              </w:tabs>
              <w:ind w:hanging="704"/>
              <w:jc w:val="both"/>
              <w:rPr>
                <w:rFonts w:ascii="Georgia" w:eastAsia="Times New Roman" w:hAnsi="Georgia" w:cs="Calibri"/>
                <w:kern w:val="0"/>
                <w:sz w:val="18"/>
                <w:szCs w:val="18"/>
                <w:lang w:eastAsia="fr-FR"/>
                <w14:ligatures w14:val="none"/>
              </w:rPr>
            </w:pPr>
          </w:p>
        </w:tc>
        <w:tc>
          <w:tcPr>
            <w:tcW w:w="2301" w:type="pct"/>
          </w:tcPr>
          <w:p w14:paraId="344EF694" w14:textId="0B152678" w:rsidR="00664F53" w:rsidRPr="00664F53" w:rsidRDefault="00664F53" w:rsidP="00065EB5">
            <w:pPr>
              <w:jc w:val="both"/>
              <w:rPr>
                <w:rFonts w:ascii="Georgia" w:hAnsi="Georgia"/>
                <w:sz w:val="18"/>
                <w:szCs w:val="18"/>
              </w:rPr>
            </w:pPr>
            <w:r w:rsidRPr="00664F53">
              <w:rPr>
                <w:rFonts w:ascii="Georgia" w:eastAsia="Times New Roman" w:hAnsi="Georgia" w:cs="Calibri"/>
                <w:kern w:val="0"/>
                <w:sz w:val="18"/>
                <w:szCs w:val="18"/>
                <w:lang w:eastAsia="fr-FR"/>
                <w14:ligatures w14:val="none"/>
              </w:rPr>
              <w:t>Le tableau 6.4 “Profils experts” concerne uniquement les 4 experts clés par lot (tableau 6.4 + CV + attestation d’exclusivité). Les experts complémentaires ne sont pas à insérer dans le 6.4 : ils sont décrits dans la note succincte “autres compétences” (max. 1 feuille A4 recto-verso) et évalués séparément (10 pts) ; leur tarification est à renseigner dans le formulaire 6.5, rubrique option exigée – mobilisation d’expertises complémentaires.</w:t>
            </w:r>
          </w:p>
        </w:tc>
      </w:tr>
      <w:tr w:rsidR="00664F53" w:rsidRPr="005B36B6" w14:paraId="21A8F2E8" w14:textId="77777777" w:rsidTr="00664F53">
        <w:tc>
          <w:tcPr>
            <w:tcW w:w="156" w:type="pct"/>
          </w:tcPr>
          <w:p w14:paraId="25D8180B" w14:textId="77777777" w:rsidR="00664F53" w:rsidRPr="005B36B6" w:rsidRDefault="00664F53" w:rsidP="00AC269F">
            <w:pPr>
              <w:rPr>
                <w:rFonts w:ascii="Georgia" w:hAnsi="Georgia"/>
                <w:sz w:val="18"/>
                <w:szCs w:val="18"/>
              </w:rPr>
            </w:pPr>
          </w:p>
        </w:tc>
        <w:tc>
          <w:tcPr>
            <w:tcW w:w="2543" w:type="pct"/>
          </w:tcPr>
          <w:p w14:paraId="6E1F31C3" w14:textId="427C7CBA" w:rsidR="00664F53" w:rsidRPr="005B36B6" w:rsidRDefault="00664F53" w:rsidP="00AC269F">
            <w:pPr>
              <w:numPr>
                <w:ilvl w:val="0"/>
                <w:numId w:val="6"/>
              </w:numPr>
              <w:tabs>
                <w:tab w:val="clear" w:pos="720"/>
                <w:tab w:val="num" w:pos="158"/>
              </w:tabs>
              <w:ind w:left="158" w:hanging="142"/>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Est-ce correct que nous ne devons </w:t>
            </w:r>
            <w:r w:rsidRPr="005B36B6">
              <w:rPr>
                <w:rFonts w:ascii="Georgia" w:eastAsia="Times New Roman" w:hAnsi="Georgia" w:cs="Calibri"/>
                <w:b/>
                <w:bCs/>
                <w:kern w:val="0"/>
                <w:sz w:val="18"/>
                <w:szCs w:val="18"/>
                <w:lang w:eastAsia="fr-FR"/>
                <w14:ligatures w14:val="none"/>
              </w:rPr>
              <w:t>pas</w:t>
            </w:r>
            <w:r w:rsidRPr="005B36B6">
              <w:rPr>
                <w:rFonts w:ascii="Georgia" w:eastAsia="Times New Roman" w:hAnsi="Georgia" w:cs="Calibri"/>
                <w:kern w:val="0"/>
                <w:sz w:val="18"/>
                <w:szCs w:val="18"/>
                <w:lang w:eastAsia="fr-FR"/>
                <w14:ligatures w14:val="none"/>
              </w:rPr>
              <w:t> fournir leur CV au format 6.10 ?</w:t>
            </w:r>
          </w:p>
        </w:tc>
        <w:tc>
          <w:tcPr>
            <w:tcW w:w="2301" w:type="pct"/>
          </w:tcPr>
          <w:p w14:paraId="3DC508E4" w14:textId="6008495D" w:rsidR="00664F53" w:rsidRPr="00664F53" w:rsidRDefault="00664F53" w:rsidP="00AC269F">
            <w:pPr>
              <w:jc w:val="both"/>
              <w:rPr>
                <w:rFonts w:ascii="Georgia" w:eastAsia="Times New Roman" w:hAnsi="Georgia" w:cs="Calibri"/>
                <w:kern w:val="0"/>
                <w:sz w:val="18"/>
                <w:szCs w:val="18"/>
                <w:lang w:eastAsia="fr-FR"/>
                <w14:ligatures w14:val="none"/>
              </w:rPr>
            </w:pPr>
            <w:r w:rsidRPr="00664F53">
              <w:rPr>
                <w:rFonts w:ascii="Georgia" w:eastAsia="Times New Roman" w:hAnsi="Georgia" w:cs="Calibri"/>
                <w:kern w:val="0"/>
                <w:sz w:val="18"/>
                <w:szCs w:val="18"/>
                <w:lang w:eastAsia="fr-FR"/>
                <w14:ligatures w14:val="none"/>
              </w:rPr>
              <w:t>Les profils complémentaires sont évalués sur la base de la note succincte (max. 1 feuille A4 recto-verso). La transmission de CV pour ces profils n’est pas exigée par le CSC ; elle est toutefois souhaitée à titre facultatif et peut être jointe en annexe (format libre ou 6.10, idéalement ≤ 2 pages par CV). Ces CV annexés ne se substituent pas à la note succincte et n’ouvrent pas de points supplémentaires au-delà de la grille d’évaluation prévue.</w:t>
            </w:r>
          </w:p>
        </w:tc>
      </w:tr>
      <w:tr w:rsidR="00664F53" w:rsidRPr="005B36B6" w14:paraId="42E9A643" w14:textId="77777777" w:rsidTr="00664F53">
        <w:tc>
          <w:tcPr>
            <w:tcW w:w="156" w:type="pct"/>
          </w:tcPr>
          <w:p w14:paraId="41C3BF01" w14:textId="77777777" w:rsidR="00664F53" w:rsidRPr="005B36B6" w:rsidRDefault="00664F53" w:rsidP="00AC269F">
            <w:pPr>
              <w:rPr>
                <w:rFonts w:ascii="Georgia" w:hAnsi="Georgia"/>
                <w:sz w:val="18"/>
                <w:szCs w:val="18"/>
              </w:rPr>
            </w:pPr>
          </w:p>
        </w:tc>
        <w:tc>
          <w:tcPr>
            <w:tcW w:w="2543" w:type="pct"/>
          </w:tcPr>
          <w:p w14:paraId="0D8358F1" w14:textId="39D452FB" w:rsidR="00664F53" w:rsidRPr="005B36B6" w:rsidRDefault="00664F53" w:rsidP="00AC269F">
            <w:pPr>
              <w:numPr>
                <w:ilvl w:val="0"/>
                <w:numId w:val="6"/>
              </w:numPr>
              <w:tabs>
                <w:tab w:val="clear" w:pos="720"/>
                <w:tab w:val="num" w:pos="158"/>
              </w:tabs>
              <w:ind w:left="158" w:hanging="142"/>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Pourriez-vous confirmer qu’un calendrier doit être présenté (vu que ceci est un accord-cadre) dans le cadre de la méthodologie et qu’il sera évalué sur un total de 15 points ?</w:t>
            </w:r>
          </w:p>
        </w:tc>
        <w:tc>
          <w:tcPr>
            <w:tcW w:w="2301" w:type="pct"/>
          </w:tcPr>
          <w:p w14:paraId="02F7C549" w14:textId="01EFF2D6" w:rsidR="00664F53" w:rsidRPr="00664F53" w:rsidRDefault="00664F53" w:rsidP="00AC269F">
            <w:pPr>
              <w:jc w:val="both"/>
              <w:rPr>
                <w:rFonts w:ascii="Georgia" w:eastAsia="Times New Roman" w:hAnsi="Georgia" w:cs="Calibri"/>
                <w:kern w:val="0"/>
                <w:sz w:val="18"/>
                <w:szCs w:val="18"/>
                <w:lang w:eastAsia="fr-FR"/>
                <w14:ligatures w14:val="none"/>
              </w:rPr>
            </w:pPr>
            <w:r w:rsidRPr="00664F53">
              <w:rPr>
                <w:rFonts w:ascii="Georgia" w:eastAsia="Times New Roman" w:hAnsi="Georgia" w:cs="Calibri"/>
                <w:kern w:val="0"/>
                <w:sz w:val="18"/>
                <w:szCs w:val="18"/>
                <w:lang w:eastAsia="fr-FR"/>
                <w14:ligatures w14:val="none"/>
              </w:rPr>
              <w:t>Un calendrier est obligatoire et évalué (15 pts) lors de chaque marché fondé sur l’accord-cadre (phase 2), au sein de l’Approche méthodologique (70 pts). En revanche, pour l’offre initiale visant la conclusion de l’accord-cadre (phase 1), la note méthodologique (max. 4 pages, 20 pts) ne comporte pas de sous-critère « calendrier ». Vous pouvez y indiquer un planning indicatif pour la cohérence, mais ce n’est pas un item distinctement noté à ce stade.</w:t>
            </w:r>
          </w:p>
        </w:tc>
      </w:tr>
      <w:tr w:rsidR="00664F53" w:rsidRPr="005B36B6" w14:paraId="0D857744" w14:textId="77777777" w:rsidTr="00664F53">
        <w:tc>
          <w:tcPr>
            <w:tcW w:w="156" w:type="pct"/>
          </w:tcPr>
          <w:p w14:paraId="7F6DC0EA" w14:textId="7DA8D816" w:rsidR="00664F53" w:rsidRPr="005B36B6" w:rsidRDefault="00664F53" w:rsidP="00AC269F">
            <w:pPr>
              <w:rPr>
                <w:rFonts w:ascii="Georgia" w:hAnsi="Georgia"/>
                <w:sz w:val="18"/>
                <w:szCs w:val="18"/>
              </w:rPr>
            </w:pPr>
            <w:r w:rsidRPr="005B36B6">
              <w:rPr>
                <w:rFonts w:ascii="Georgia" w:hAnsi="Georgia"/>
                <w:sz w:val="18"/>
                <w:szCs w:val="18"/>
              </w:rPr>
              <w:t>9</w:t>
            </w:r>
          </w:p>
        </w:tc>
        <w:tc>
          <w:tcPr>
            <w:tcW w:w="2543" w:type="pct"/>
          </w:tcPr>
          <w:p w14:paraId="120C0A1A" w14:textId="02B05368" w:rsidR="00664F53" w:rsidRPr="005B36B6" w:rsidRDefault="00664F53" w:rsidP="00AC269F">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Est-ce que les soumissionnaires hors Burundi peuvent envoyer leur offre par DHL Express à l'adresse indiquée dans le CSC ?</w:t>
            </w:r>
          </w:p>
          <w:p w14:paraId="308ECDEA" w14:textId="77777777" w:rsidR="00664F53" w:rsidRPr="005B36B6" w:rsidRDefault="00664F53" w:rsidP="00AC269F">
            <w:pPr>
              <w:jc w:val="both"/>
              <w:rPr>
                <w:rFonts w:ascii="Georgia" w:eastAsia="Times New Roman" w:hAnsi="Georgia" w:cs="Calibri"/>
                <w:kern w:val="0"/>
                <w:sz w:val="18"/>
                <w:szCs w:val="18"/>
                <w:lang w:eastAsia="fr-FR"/>
                <w14:ligatures w14:val="none"/>
              </w:rPr>
            </w:pPr>
          </w:p>
        </w:tc>
        <w:tc>
          <w:tcPr>
            <w:tcW w:w="2301" w:type="pct"/>
          </w:tcPr>
          <w:p w14:paraId="717E5C0D" w14:textId="3797CDCB" w:rsidR="00664F53" w:rsidRPr="00664F53" w:rsidRDefault="00664F53" w:rsidP="00AC269F">
            <w:pPr>
              <w:jc w:val="both"/>
              <w:rPr>
                <w:rFonts w:ascii="Georgia" w:hAnsi="Georgia"/>
                <w:sz w:val="18"/>
                <w:szCs w:val="18"/>
              </w:rPr>
            </w:pPr>
            <w:r w:rsidRPr="00664F53">
              <w:rPr>
                <w:rFonts w:ascii="Georgia" w:eastAsia="Times New Roman" w:hAnsi="Georgia" w:cs="Calibri"/>
                <w:kern w:val="0"/>
                <w:sz w:val="18"/>
                <w:szCs w:val="18"/>
                <w:lang w:eastAsia="fr-FR"/>
                <w14:ligatures w14:val="none"/>
              </w:rPr>
              <w:t>Pour les opérateurs non installés au Burundi, l’offre doit être exclusivement déposée en ligne via la plateforme e-</w:t>
            </w:r>
            <w:proofErr w:type="spellStart"/>
            <w:r w:rsidRPr="00664F53">
              <w:rPr>
                <w:rFonts w:ascii="Georgia" w:eastAsia="Times New Roman" w:hAnsi="Georgia" w:cs="Calibri"/>
                <w:kern w:val="0"/>
                <w:sz w:val="18"/>
                <w:szCs w:val="18"/>
                <w:lang w:eastAsia="fr-FR"/>
                <w14:ligatures w14:val="none"/>
              </w:rPr>
              <w:t>Tendering</w:t>
            </w:r>
            <w:proofErr w:type="spellEnd"/>
            <w:r w:rsidRPr="00664F53">
              <w:rPr>
                <w:rFonts w:ascii="Georgia" w:eastAsia="Times New Roman" w:hAnsi="Georgia" w:cs="Calibri"/>
                <w:kern w:val="0"/>
                <w:sz w:val="18"/>
                <w:szCs w:val="18"/>
                <w:lang w:eastAsia="fr-FR"/>
                <w14:ligatures w14:val="none"/>
              </w:rPr>
              <w:t xml:space="preserve"> (e-Procurement). Les envois par courrier/transporteur (ex. DHL) ne sont pas admis et rendraient l’offre irrecevable. Les opérateurs installés au Burundi déposent physiquement </w:t>
            </w:r>
            <w:r w:rsidRPr="00664F53">
              <w:rPr>
                <w:rFonts w:ascii="Georgia" w:eastAsia="Times New Roman" w:hAnsi="Georgia" w:cs="Calibri"/>
                <w:kern w:val="0"/>
                <w:sz w:val="18"/>
                <w:szCs w:val="18"/>
                <w:lang w:eastAsia="fr-FR"/>
                <w14:ligatures w14:val="none"/>
              </w:rPr>
              <w:lastRenderedPageBreak/>
              <w:t>(original + copies + USB) à l’adresse Enabel indiquée dans le CSC, pendant les heures ouvrables.</w:t>
            </w:r>
          </w:p>
        </w:tc>
      </w:tr>
      <w:tr w:rsidR="00664F53" w:rsidRPr="005B36B6" w14:paraId="52028D74" w14:textId="77777777" w:rsidTr="00664F53">
        <w:tc>
          <w:tcPr>
            <w:tcW w:w="156" w:type="pct"/>
          </w:tcPr>
          <w:p w14:paraId="44286822" w14:textId="42E1BF49" w:rsidR="00664F53" w:rsidRPr="005B36B6" w:rsidRDefault="00664F53" w:rsidP="003D0482">
            <w:pPr>
              <w:rPr>
                <w:rFonts w:ascii="Georgia" w:hAnsi="Georgia"/>
                <w:sz w:val="18"/>
                <w:szCs w:val="18"/>
              </w:rPr>
            </w:pPr>
            <w:r w:rsidRPr="005B36B6">
              <w:rPr>
                <w:rFonts w:ascii="Georgia" w:hAnsi="Georgia"/>
                <w:sz w:val="18"/>
                <w:szCs w:val="18"/>
              </w:rPr>
              <w:lastRenderedPageBreak/>
              <w:t>10</w:t>
            </w:r>
          </w:p>
        </w:tc>
        <w:tc>
          <w:tcPr>
            <w:tcW w:w="2543" w:type="pct"/>
          </w:tcPr>
          <w:p w14:paraId="3D20F8B0" w14:textId="5BBF861C" w:rsidR="00664F53" w:rsidRPr="005B36B6" w:rsidRDefault="00664F53" w:rsidP="003D0482">
            <w:pPr>
              <w:jc w:val="both"/>
              <w:rPr>
                <w:rFonts w:ascii="Georgia" w:eastAsia="Times New Roman" w:hAnsi="Georgia" w:cs="Calibri"/>
                <w:b/>
                <w:bCs/>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t>Formulaire d’offre initiale- Prix</w:t>
            </w:r>
          </w:p>
          <w:p w14:paraId="123EE7A1" w14:textId="532A4DC0" w:rsidR="00664F53" w:rsidRPr="005B36B6" w:rsidRDefault="00664F53" w:rsidP="003D0482">
            <w:pPr>
              <w:pStyle w:val="Paragraphedeliste"/>
              <w:numPr>
                <w:ilvl w:val="0"/>
                <w:numId w:val="7"/>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Pour les Experts complémentaires 1 et 3 p77 et 78 du DAO, le tableau dans le formulaire des prix, il y a 2 lignes « Sur terrain », ce qui n’est pas le cas pour l’expertise complémentaire du lot 2, ni pour le reste de l’expertise de manière générale. · Pouvez-vous confirmer s’il s »’agit bien d’une erreur, ou s’il faut prendre en compte cette deuxième ligne « Sur terrain »</w:t>
            </w:r>
          </w:p>
          <w:p w14:paraId="5D2FB685" w14:textId="55054745" w:rsidR="00664F53" w:rsidRPr="005B36B6" w:rsidRDefault="00664F53" w:rsidP="003D0482">
            <w:pPr>
              <w:jc w:val="both"/>
              <w:rPr>
                <w:rFonts w:ascii="Georgia" w:eastAsia="Times New Roman" w:hAnsi="Georgia" w:cs="Calibri"/>
                <w:kern w:val="0"/>
                <w:sz w:val="18"/>
                <w:szCs w:val="18"/>
                <w:lang w:eastAsia="fr-FR"/>
                <w14:ligatures w14:val="none"/>
              </w:rPr>
            </w:pPr>
          </w:p>
        </w:tc>
        <w:tc>
          <w:tcPr>
            <w:tcW w:w="2301" w:type="pct"/>
          </w:tcPr>
          <w:p w14:paraId="0A79E1D0" w14:textId="3F5F81D3" w:rsidR="00664F53" w:rsidRPr="00664F53" w:rsidRDefault="00664F53" w:rsidP="003D0482">
            <w:pPr>
              <w:jc w:val="both"/>
              <w:rPr>
                <w:rFonts w:ascii="Georgia" w:hAnsi="Georgia"/>
                <w:sz w:val="18"/>
                <w:szCs w:val="18"/>
              </w:rPr>
            </w:pPr>
            <w:r w:rsidRPr="00664F53">
              <w:rPr>
                <w:rFonts w:ascii="Georgia" w:eastAsia="Times New Roman" w:hAnsi="Georgia" w:cs="Calibri"/>
                <w:kern w:val="0"/>
                <w:sz w:val="18"/>
                <w:szCs w:val="18"/>
                <w:lang w:eastAsia="fr-FR"/>
                <w14:ligatures w14:val="none"/>
              </w:rPr>
              <w:t>La présence de deux lignes « Sur terrain » pour certains profils est une erreur de mise en page. Merci de ne compléter qu’une seule ligne “Sur terrain” par profil (avec la ligne “A domicile”), conformément au format appliqué aux autres profils. L’autre ligne peut être laissée vide et n’est pas prise en compte dans l’évaluation/totalisation.</w:t>
            </w:r>
          </w:p>
        </w:tc>
      </w:tr>
      <w:tr w:rsidR="00664F53" w:rsidRPr="005B36B6" w14:paraId="3E313608" w14:textId="77777777" w:rsidTr="00664F53">
        <w:tc>
          <w:tcPr>
            <w:tcW w:w="156" w:type="pct"/>
          </w:tcPr>
          <w:p w14:paraId="638B8B46" w14:textId="77777777" w:rsidR="00664F53" w:rsidRPr="005B36B6" w:rsidRDefault="00664F53" w:rsidP="003D0482">
            <w:pPr>
              <w:rPr>
                <w:rFonts w:ascii="Georgia" w:hAnsi="Georgia"/>
                <w:sz w:val="18"/>
                <w:szCs w:val="18"/>
              </w:rPr>
            </w:pPr>
          </w:p>
        </w:tc>
        <w:tc>
          <w:tcPr>
            <w:tcW w:w="2543" w:type="pct"/>
          </w:tcPr>
          <w:p w14:paraId="3E6848C2" w14:textId="77777777" w:rsidR="00664F53" w:rsidRPr="005B36B6" w:rsidRDefault="00664F53" w:rsidP="003D0482">
            <w:pPr>
              <w:pStyle w:val="Paragraphedeliste"/>
              <w:numPr>
                <w:ilvl w:val="0"/>
                <w:numId w:val="7"/>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Le formulaire d’offre initiale -Prix, au format PDF, doit -il être intégré à la proposition technique, de sorte que les consultants ne déposent qu’un seul fichier PDF, et un fichier Excel par lot, ou doit-il faire l’objet d’un fichier à part, ne contenant que le Formulaire d’offre initiale – Prix ?</w:t>
            </w:r>
          </w:p>
          <w:p w14:paraId="7B6AE759" w14:textId="77777777" w:rsidR="00664F53" w:rsidRPr="005B36B6" w:rsidRDefault="00664F53" w:rsidP="003D0482">
            <w:pPr>
              <w:jc w:val="both"/>
              <w:rPr>
                <w:rFonts w:ascii="Georgia" w:eastAsia="Times New Roman" w:hAnsi="Georgia" w:cs="Calibri"/>
                <w:b/>
                <w:bCs/>
                <w:kern w:val="0"/>
                <w:sz w:val="18"/>
                <w:szCs w:val="18"/>
                <w:lang w:eastAsia="fr-FR"/>
                <w14:ligatures w14:val="none"/>
              </w:rPr>
            </w:pPr>
          </w:p>
        </w:tc>
        <w:tc>
          <w:tcPr>
            <w:tcW w:w="2301" w:type="pct"/>
          </w:tcPr>
          <w:p w14:paraId="4F3A4940" w14:textId="693E032B" w:rsidR="00664F53" w:rsidRPr="00664F53" w:rsidRDefault="00664F53" w:rsidP="003D0482">
            <w:pPr>
              <w:jc w:val="both"/>
              <w:rPr>
                <w:rFonts w:ascii="Georgia" w:eastAsia="Times New Roman" w:hAnsi="Georgia" w:cs="Calibri"/>
                <w:kern w:val="0"/>
                <w:sz w:val="18"/>
                <w:szCs w:val="18"/>
                <w:lang w:eastAsia="fr-FR"/>
                <w14:ligatures w14:val="none"/>
              </w:rPr>
            </w:pPr>
            <w:r w:rsidRPr="00664F53">
              <w:rPr>
                <w:rFonts w:ascii="Georgia" w:eastAsia="Times New Roman" w:hAnsi="Georgia" w:cs="Calibri"/>
                <w:kern w:val="0"/>
                <w:sz w:val="18"/>
                <w:szCs w:val="18"/>
                <w:lang w:eastAsia="fr-FR"/>
                <w14:ligatures w14:val="none"/>
              </w:rPr>
              <w:t>Merci de déposer des fichiers séparés :</w:t>
            </w:r>
            <w:r w:rsidRPr="00664F53">
              <w:rPr>
                <w:rFonts w:ascii="Georgia" w:eastAsia="Times New Roman" w:hAnsi="Georgia" w:cs="Calibri"/>
                <w:kern w:val="0"/>
                <w:sz w:val="18"/>
                <w:szCs w:val="18"/>
                <w:lang w:eastAsia="fr-FR"/>
                <w14:ligatures w14:val="none"/>
              </w:rPr>
              <w:br/>
              <w:t>• Offre technique (PDF) ;</w:t>
            </w:r>
            <w:r w:rsidRPr="00664F53">
              <w:rPr>
                <w:rFonts w:ascii="Georgia" w:eastAsia="Times New Roman" w:hAnsi="Georgia" w:cs="Calibri"/>
                <w:kern w:val="0"/>
                <w:sz w:val="18"/>
                <w:szCs w:val="18"/>
                <w:lang w:eastAsia="fr-FR"/>
                <w14:ligatures w14:val="none"/>
              </w:rPr>
              <w:br/>
              <w:t>• Formulaire d’offre initiale – Prix (PDF inconvertible) + sa version Excel (un jeu par lot).</w:t>
            </w:r>
            <w:r w:rsidRPr="00664F53">
              <w:rPr>
                <w:rFonts w:ascii="Georgia" w:eastAsia="Times New Roman" w:hAnsi="Georgia" w:cs="Calibri"/>
                <w:kern w:val="0"/>
                <w:sz w:val="18"/>
                <w:szCs w:val="18"/>
                <w:lang w:eastAsia="fr-FR"/>
                <w14:ligatures w14:val="none"/>
              </w:rPr>
              <w:br/>
              <w:t>La plateforme e-</w:t>
            </w:r>
            <w:proofErr w:type="spellStart"/>
            <w:r w:rsidRPr="00664F53">
              <w:rPr>
                <w:rFonts w:ascii="Georgia" w:eastAsia="Times New Roman" w:hAnsi="Georgia" w:cs="Calibri"/>
                <w:kern w:val="0"/>
                <w:sz w:val="18"/>
                <w:szCs w:val="18"/>
                <w:lang w:eastAsia="fr-FR"/>
                <w14:ligatures w14:val="none"/>
              </w:rPr>
              <w:t>Tendering</w:t>
            </w:r>
            <w:proofErr w:type="spellEnd"/>
            <w:r w:rsidRPr="00664F53">
              <w:rPr>
                <w:rFonts w:ascii="Georgia" w:eastAsia="Times New Roman" w:hAnsi="Georgia" w:cs="Calibri"/>
                <w:kern w:val="0"/>
                <w:sz w:val="18"/>
                <w:szCs w:val="18"/>
                <w:lang w:eastAsia="fr-FR"/>
                <w14:ligatures w14:val="none"/>
              </w:rPr>
              <w:t xml:space="preserve"> accepte plusieurs fichiers (PDF recommandé). En soumission électronique, la signature s’effectue via le “rapport de dépôt” (pas de signature individuelle sur chaque document).</w:t>
            </w:r>
          </w:p>
        </w:tc>
      </w:tr>
      <w:tr w:rsidR="00664F53" w:rsidRPr="005B36B6" w14:paraId="4A726406" w14:textId="77777777" w:rsidTr="00664F53">
        <w:tc>
          <w:tcPr>
            <w:tcW w:w="156" w:type="pct"/>
          </w:tcPr>
          <w:p w14:paraId="6D1387E0" w14:textId="2B7DF741" w:rsidR="00664F53" w:rsidRPr="005B36B6" w:rsidRDefault="00664F53" w:rsidP="003D0482">
            <w:pPr>
              <w:rPr>
                <w:rFonts w:ascii="Georgia" w:hAnsi="Georgia"/>
                <w:sz w:val="18"/>
                <w:szCs w:val="18"/>
              </w:rPr>
            </w:pPr>
            <w:r w:rsidRPr="005B36B6">
              <w:rPr>
                <w:rFonts w:ascii="Georgia" w:hAnsi="Georgia"/>
                <w:sz w:val="18"/>
                <w:szCs w:val="18"/>
              </w:rPr>
              <w:t>11</w:t>
            </w:r>
          </w:p>
        </w:tc>
        <w:tc>
          <w:tcPr>
            <w:tcW w:w="2543" w:type="pct"/>
          </w:tcPr>
          <w:p w14:paraId="459A96E6" w14:textId="77777777"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Dans le cadre de la préparation de notre offre en réponse à la demande de proposition CSC BDI 23009-10077, nous souhaiterions obtenir une clarification concernant un point figurant dans la section </w:t>
            </w:r>
            <w:r w:rsidRPr="005B36B6">
              <w:rPr>
                <w:rFonts w:ascii="Georgia" w:eastAsia="Times New Roman" w:hAnsi="Georgia" w:cs="Calibri"/>
                <w:i/>
                <w:iCs/>
                <w:kern w:val="0"/>
                <w:sz w:val="18"/>
                <w:szCs w:val="18"/>
                <w:lang w:eastAsia="fr-FR"/>
                <w14:ligatures w14:val="none"/>
              </w:rPr>
              <w:t>« </w:t>
            </w:r>
            <w:r w:rsidRPr="005B36B6">
              <w:rPr>
                <w:rFonts w:ascii="Georgia" w:eastAsia="Times New Roman" w:hAnsi="Georgia" w:cs="Calibri"/>
                <w:b/>
                <w:bCs/>
                <w:i/>
                <w:iCs/>
                <w:kern w:val="0"/>
                <w:sz w:val="18"/>
                <w:szCs w:val="18"/>
                <w:lang w:eastAsia="fr-FR"/>
                <w14:ligatures w14:val="none"/>
              </w:rPr>
              <w:t>3.4.4.2 Éléments inclus dans le prix</w:t>
            </w:r>
            <w:r w:rsidRPr="005B36B6">
              <w:rPr>
                <w:rFonts w:ascii="Georgia" w:eastAsia="Times New Roman" w:hAnsi="Georgia" w:cs="Calibri"/>
                <w:i/>
                <w:iCs/>
                <w:kern w:val="0"/>
                <w:sz w:val="18"/>
                <w:szCs w:val="18"/>
                <w:lang w:eastAsia="fr-FR"/>
                <w14:ligatures w14:val="none"/>
              </w:rPr>
              <w:t> »</w:t>
            </w:r>
            <w:r w:rsidRPr="005B36B6">
              <w:rPr>
                <w:rFonts w:ascii="Georgia" w:eastAsia="Times New Roman" w:hAnsi="Georgia" w:cs="Calibri"/>
                <w:kern w:val="0"/>
                <w:sz w:val="18"/>
                <w:szCs w:val="18"/>
                <w:lang w:eastAsia="fr-FR"/>
                <w14:ligatures w14:val="none"/>
              </w:rPr>
              <w:t>.</w:t>
            </w:r>
          </w:p>
          <w:p w14:paraId="569BC042" w14:textId="77777777"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302B817D" w14:textId="77777777"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Nous avons bien compris que, parmi les prix unitaires à proposer, doit être inclus le per diem (indemnité journalière). Celui-ci correspond à un montant forfaitaire couvrant l’ensemble des frais supplémentaires liés aux prestations réalisées dans le pays d’intervention ou en Belgique (si celle-ci n’est pas le pays de résidence de l’expert). Ces frais englobent notamment : le logement, les repas, les boissons, les </w:t>
            </w:r>
            <w:r w:rsidRPr="005B36B6">
              <w:rPr>
                <w:rFonts w:ascii="Georgia" w:eastAsia="Times New Roman" w:hAnsi="Georgia" w:cs="Calibri"/>
                <w:kern w:val="0"/>
                <w:sz w:val="18"/>
                <w:szCs w:val="18"/>
                <w:u w:val="single"/>
                <w:lang w:eastAsia="fr-FR"/>
                <w14:ligatures w14:val="none"/>
              </w:rPr>
              <w:t>petits trajets locaux</w:t>
            </w:r>
            <w:r w:rsidRPr="005B36B6">
              <w:rPr>
                <w:rFonts w:ascii="Georgia" w:eastAsia="Times New Roman" w:hAnsi="Georgia" w:cs="Calibri"/>
                <w:kern w:val="0"/>
                <w:sz w:val="18"/>
                <w:szCs w:val="18"/>
                <w:lang w:eastAsia="fr-FR"/>
                <w14:ligatures w14:val="none"/>
              </w:rPr>
              <w:t> (le cas échéant), ainsi que diverses menues dépenses (communications téléphoniques, internet, friandises, pourboires, etc.).</w:t>
            </w:r>
          </w:p>
          <w:p w14:paraId="10136644" w14:textId="77777777"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5346E79D" w14:textId="427A94DE"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En revanche, dans la dernière partie de cette section concernant “</w:t>
            </w:r>
            <w:r w:rsidRPr="005B36B6">
              <w:rPr>
                <w:rFonts w:ascii="Georgia" w:eastAsia="Times New Roman" w:hAnsi="Georgia" w:cs="Calibri"/>
                <w:b/>
                <w:bCs/>
                <w:kern w:val="0"/>
                <w:sz w:val="18"/>
                <w:szCs w:val="18"/>
                <w:lang w:eastAsia="fr-FR"/>
                <w14:ligatures w14:val="none"/>
              </w:rPr>
              <w:t>les frais pris en charge par Enabel”</w:t>
            </w:r>
            <w:r w:rsidRPr="005B36B6">
              <w:rPr>
                <w:rFonts w:ascii="Georgia" w:eastAsia="Times New Roman" w:hAnsi="Georgia" w:cs="Calibri"/>
                <w:kern w:val="0"/>
                <w:sz w:val="18"/>
                <w:szCs w:val="18"/>
                <w:lang w:eastAsia="fr-FR"/>
                <w14:ligatures w14:val="none"/>
              </w:rPr>
              <w:t>, il est précisé que, pour chaque marché/lot et le cas échéant, dans le cadre des missions de terrain, </w:t>
            </w:r>
            <w:r w:rsidRPr="005B36B6">
              <w:rPr>
                <w:rFonts w:ascii="Georgia" w:eastAsia="Times New Roman" w:hAnsi="Georgia" w:cs="Calibri"/>
                <w:b/>
                <w:bCs/>
                <w:kern w:val="0"/>
                <w:sz w:val="18"/>
                <w:szCs w:val="18"/>
                <w:lang w:eastAsia="fr-FR"/>
                <w14:ligatures w14:val="none"/>
              </w:rPr>
              <w:t>les frais de déplacement </w:t>
            </w:r>
            <w:r w:rsidRPr="005B36B6">
              <w:rPr>
                <w:rFonts w:ascii="Georgia" w:eastAsia="Times New Roman" w:hAnsi="Georgia" w:cs="Calibri"/>
                <w:b/>
                <w:bCs/>
                <w:kern w:val="0"/>
                <w:sz w:val="18"/>
                <w:szCs w:val="18"/>
                <w:u w:val="single"/>
                <w:lang w:eastAsia="fr-FR"/>
                <w14:ligatures w14:val="none"/>
              </w:rPr>
              <w:t>local </w:t>
            </w:r>
            <w:r w:rsidRPr="005B36B6">
              <w:rPr>
                <w:rFonts w:ascii="Georgia" w:eastAsia="Times New Roman" w:hAnsi="Georgia" w:cs="Calibri"/>
                <w:b/>
                <w:bCs/>
                <w:kern w:val="0"/>
                <w:sz w:val="18"/>
                <w:szCs w:val="18"/>
                <w:lang w:eastAsia="fr-FR"/>
                <w14:ligatures w14:val="none"/>
              </w:rPr>
              <w:t>du consultant</w:t>
            </w:r>
            <w:r w:rsidRPr="005B36B6">
              <w:rPr>
                <w:rFonts w:ascii="Georgia" w:eastAsia="Times New Roman" w:hAnsi="Georgia" w:cs="Calibri"/>
                <w:kern w:val="0"/>
                <w:sz w:val="18"/>
                <w:szCs w:val="18"/>
                <w:lang w:eastAsia="fr-FR"/>
                <w14:ligatures w14:val="none"/>
              </w:rPr>
              <w:t> seront pris en charge par Enabel.</w:t>
            </w:r>
          </w:p>
          <w:p w14:paraId="6230529E" w14:textId="77777777"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7E8B30AE" w14:textId="7ED0C219" w:rsidR="00664F53" w:rsidRPr="005B36B6" w:rsidRDefault="00664F53" w:rsidP="003D0482">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Nous souhaiterions donc obtenir une précision : </w:t>
            </w:r>
            <w:r w:rsidRPr="005B36B6">
              <w:rPr>
                <w:rFonts w:ascii="Georgia" w:eastAsia="Times New Roman" w:hAnsi="Georgia" w:cs="Calibri"/>
                <w:kern w:val="0"/>
                <w:sz w:val="18"/>
                <w:szCs w:val="18"/>
                <w:u w:val="single"/>
                <w:lang w:eastAsia="fr-FR"/>
                <w14:ligatures w14:val="none"/>
              </w:rPr>
              <w:t>s’agit-il des frais de déplacement interurbains (entre différentes villes) </w:t>
            </w:r>
            <w:r w:rsidRPr="005B36B6">
              <w:rPr>
                <w:rFonts w:ascii="Georgia" w:eastAsia="Times New Roman" w:hAnsi="Georgia" w:cs="Calibri"/>
                <w:b/>
                <w:bCs/>
                <w:kern w:val="0"/>
                <w:sz w:val="18"/>
                <w:szCs w:val="18"/>
                <w:u w:val="single"/>
                <w:lang w:eastAsia="fr-FR"/>
                <w14:ligatures w14:val="none"/>
              </w:rPr>
              <w:t>ou bien</w:t>
            </w:r>
            <w:r w:rsidRPr="005B36B6">
              <w:rPr>
                <w:rFonts w:ascii="Georgia" w:eastAsia="Times New Roman" w:hAnsi="Georgia" w:cs="Calibri"/>
                <w:kern w:val="0"/>
                <w:sz w:val="18"/>
                <w:szCs w:val="18"/>
                <w:u w:val="single"/>
                <w:lang w:eastAsia="fr-FR"/>
                <w14:ligatures w14:val="none"/>
              </w:rPr>
              <w:t> des frais limités aux déplacements effectués à l’intérieur de la ville d’intervention </w:t>
            </w:r>
            <w:r w:rsidRPr="005B36B6">
              <w:rPr>
                <w:rFonts w:ascii="Georgia" w:eastAsia="Times New Roman" w:hAnsi="Georgia" w:cs="Calibri"/>
                <w:b/>
                <w:bCs/>
                <w:kern w:val="0"/>
                <w:sz w:val="18"/>
                <w:szCs w:val="18"/>
                <w:u w:val="single"/>
                <w:lang w:eastAsia="fr-FR"/>
                <w14:ligatures w14:val="none"/>
              </w:rPr>
              <w:t>ou</w:t>
            </w:r>
            <w:r w:rsidRPr="005B36B6">
              <w:rPr>
                <w:rFonts w:ascii="Georgia" w:eastAsia="Times New Roman" w:hAnsi="Georgia" w:cs="Calibri"/>
                <w:kern w:val="0"/>
                <w:sz w:val="18"/>
                <w:szCs w:val="18"/>
                <w:u w:val="single"/>
                <w:lang w:eastAsia="fr-FR"/>
                <w14:ligatures w14:val="none"/>
              </w:rPr>
              <w:t> les deux ?</w:t>
            </w:r>
          </w:p>
          <w:p w14:paraId="21507DEF" w14:textId="77777777" w:rsidR="00664F53" w:rsidRPr="005B36B6" w:rsidRDefault="00664F53" w:rsidP="003D0482">
            <w:pPr>
              <w:jc w:val="both"/>
              <w:rPr>
                <w:rFonts w:ascii="Georgia" w:eastAsia="Times New Roman" w:hAnsi="Georgia" w:cs="Calibri"/>
                <w:kern w:val="0"/>
                <w:sz w:val="18"/>
                <w:szCs w:val="18"/>
                <w:lang w:eastAsia="fr-FR"/>
                <w14:ligatures w14:val="none"/>
              </w:rPr>
            </w:pPr>
          </w:p>
        </w:tc>
        <w:tc>
          <w:tcPr>
            <w:tcW w:w="2301" w:type="pct"/>
          </w:tcPr>
          <w:p w14:paraId="27FC007C" w14:textId="3CBD749F" w:rsidR="00664F53" w:rsidRPr="00664F53" w:rsidRDefault="00664F53" w:rsidP="003D0482">
            <w:pPr>
              <w:jc w:val="both"/>
              <w:rPr>
                <w:rFonts w:ascii="Georgia" w:hAnsi="Georgia"/>
                <w:sz w:val="18"/>
                <w:szCs w:val="18"/>
              </w:rPr>
            </w:pPr>
            <w:r w:rsidRPr="00664F53">
              <w:rPr>
                <w:rFonts w:ascii="Georgia" w:hAnsi="Georgia"/>
                <w:sz w:val="18"/>
                <w:szCs w:val="18"/>
              </w:rPr>
              <w:t xml:space="preserve">Les </w:t>
            </w:r>
            <w:r w:rsidRPr="00664F53">
              <w:rPr>
                <w:rStyle w:val="lev"/>
                <w:rFonts w:ascii="Georgia" w:hAnsi="Georgia"/>
                <w:sz w:val="18"/>
                <w:szCs w:val="18"/>
              </w:rPr>
              <w:t>petits trajets locaux ponctuels</w:t>
            </w:r>
            <w:r w:rsidRPr="00664F53">
              <w:rPr>
                <w:rFonts w:ascii="Georgia" w:hAnsi="Georgia"/>
                <w:sz w:val="18"/>
                <w:szCs w:val="18"/>
              </w:rPr>
              <w:t xml:space="preserve"> (ex. taxis intra-ville) sont </w:t>
            </w:r>
            <w:r w:rsidRPr="00664F53">
              <w:rPr>
                <w:rStyle w:val="lev"/>
                <w:rFonts w:ascii="Georgia" w:hAnsi="Georgia"/>
                <w:sz w:val="18"/>
                <w:szCs w:val="18"/>
              </w:rPr>
              <w:t>couverts par le per diem</w:t>
            </w:r>
            <w:r w:rsidRPr="00664F53">
              <w:rPr>
                <w:rFonts w:ascii="Georgia" w:hAnsi="Georgia"/>
                <w:sz w:val="18"/>
                <w:szCs w:val="18"/>
              </w:rPr>
              <w:t xml:space="preserve"> et donc </w:t>
            </w:r>
            <w:r w:rsidRPr="00664F53">
              <w:rPr>
                <w:rStyle w:val="lev"/>
                <w:rFonts w:ascii="Georgia" w:hAnsi="Georgia"/>
                <w:sz w:val="18"/>
                <w:szCs w:val="18"/>
              </w:rPr>
              <w:t>inclus</w:t>
            </w:r>
            <w:r w:rsidRPr="00664F53">
              <w:rPr>
                <w:rFonts w:ascii="Georgia" w:hAnsi="Georgia"/>
                <w:sz w:val="18"/>
                <w:szCs w:val="18"/>
              </w:rPr>
              <w:t xml:space="preserve"> dans les prix unitaires.</w:t>
            </w:r>
            <w:r w:rsidRPr="00664F53">
              <w:rPr>
                <w:rFonts w:ascii="Georgia" w:hAnsi="Georgia"/>
                <w:sz w:val="18"/>
                <w:szCs w:val="18"/>
              </w:rPr>
              <w:br/>
              <w:t xml:space="preserve">En revanche, dans le cadre des </w:t>
            </w:r>
            <w:r w:rsidRPr="00664F53">
              <w:rPr>
                <w:rStyle w:val="lev"/>
                <w:rFonts w:ascii="Georgia" w:hAnsi="Georgia"/>
                <w:sz w:val="18"/>
                <w:szCs w:val="18"/>
              </w:rPr>
              <w:t>missions de terrain</w:t>
            </w:r>
            <w:r w:rsidRPr="00664F53">
              <w:rPr>
                <w:rFonts w:ascii="Georgia" w:hAnsi="Georgia"/>
                <w:b/>
                <w:bCs/>
                <w:sz w:val="18"/>
                <w:szCs w:val="18"/>
              </w:rPr>
              <w:t xml:space="preserve">, </w:t>
            </w:r>
            <w:r w:rsidRPr="00664F53">
              <w:rPr>
                <w:rFonts w:ascii="Georgia" w:hAnsi="Georgia"/>
                <w:sz w:val="18"/>
                <w:szCs w:val="18"/>
              </w:rPr>
              <w:t>les</w:t>
            </w:r>
            <w:r w:rsidRPr="00664F53">
              <w:rPr>
                <w:rFonts w:ascii="Georgia" w:hAnsi="Georgia"/>
                <w:b/>
                <w:bCs/>
                <w:sz w:val="18"/>
                <w:szCs w:val="18"/>
              </w:rPr>
              <w:t xml:space="preserve"> </w:t>
            </w:r>
            <w:r w:rsidRPr="00664F53">
              <w:rPr>
                <w:rStyle w:val="lev"/>
                <w:rFonts w:ascii="Georgia" w:hAnsi="Georgia"/>
                <w:sz w:val="18"/>
                <w:szCs w:val="18"/>
              </w:rPr>
              <w:t>déplacements nécessaires à l’exécution</w:t>
            </w:r>
            <w:r w:rsidRPr="00664F53">
              <w:rPr>
                <w:rFonts w:ascii="Georgia" w:hAnsi="Georgia"/>
                <w:sz w:val="18"/>
                <w:szCs w:val="18"/>
              </w:rPr>
              <w:t xml:space="preserve"> (logistique de mission </w:t>
            </w:r>
            <w:r w:rsidRPr="00664F53">
              <w:rPr>
                <w:rStyle w:val="lev"/>
                <w:rFonts w:ascii="Georgia" w:hAnsi="Georgia"/>
                <w:sz w:val="18"/>
                <w:szCs w:val="18"/>
              </w:rPr>
              <w:t>intra-urbaine et interurbaine</w:t>
            </w:r>
            <w:r w:rsidRPr="00664F53">
              <w:rPr>
                <w:rFonts w:ascii="Georgia" w:hAnsi="Georgia"/>
                <w:sz w:val="18"/>
                <w:szCs w:val="18"/>
              </w:rPr>
              <w:t xml:space="preserve">) sont </w:t>
            </w:r>
            <w:r w:rsidRPr="00664F53">
              <w:rPr>
                <w:rStyle w:val="lev"/>
                <w:rFonts w:ascii="Georgia" w:hAnsi="Georgia"/>
                <w:sz w:val="18"/>
                <w:szCs w:val="18"/>
              </w:rPr>
              <w:t>pris en charge par Enabel</w:t>
            </w:r>
            <w:r w:rsidRPr="00664F53">
              <w:rPr>
                <w:rFonts w:ascii="Georgia" w:hAnsi="Georgia"/>
                <w:b/>
                <w:bCs/>
                <w:sz w:val="18"/>
                <w:szCs w:val="18"/>
              </w:rPr>
              <w:t xml:space="preserve"> </w:t>
            </w:r>
            <w:r w:rsidRPr="00664F53">
              <w:rPr>
                <w:rFonts w:ascii="Georgia" w:hAnsi="Georgia"/>
                <w:sz w:val="18"/>
                <w:szCs w:val="18"/>
              </w:rPr>
              <w:t>et</w:t>
            </w:r>
            <w:r w:rsidRPr="00664F53">
              <w:rPr>
                <w:rFonts w:ascii="Georgia" w:hAnsi="Georgia"/>
                <w:b/>
                <w:bCs/>
                <w:sz w:val="18"/>
                <w:szCs w:val="18"/>
              </w:rPr>
              <w:t xml:space="preserve"> </w:t>
            </w:r>
            <w:r w:rsidRPr="00664F53">
              <w:rPr>
                <w:rStyle w:val="lev"/>
                <w:rFonts w:ascii="Georgia" w:hAnsi="Georgia"/>
                <w:sz w:val="18"/>
                <w:szCs w:val="18"/>
              </w:rPr>
              <w:t>ne doivent pas</w:t>
            </w:r>
            <w:r w:rsidRPr="00664F53">
              <w:rPr>
                <w:rFonts w:ascii="Georgia" w:hAnsi="Georgia"/>
                <w:b/>
                <w:bCs/>
                <w:sz w:val="18"/>
                <w:szCs w:val="18"/>
              </w:rPr>
              <w:t xml:space="preserve"> </w:t>
            </w:r>
            <w:r w:rsidRPr="00664F53">
              <w:rPr>
                <w:rFonts w:ascii="Georgia" w:hAnsi="Georgia"/>
                <w:sz w:val="18"/>
                <w:szCs w:val="18"/>
              </w:rPr>
              <w:t xml:space="preserve">être intégrés dans vos prix unitaires. Les modalités pratiques seront précisées pour </w:t>
            </w:r>
            <w:r w:rsidRPr="00664F53">
              <w:rPr>
                <w:rStyle w:val="lev"/>
                <w:rFonts w:ascii="Georgia" w:hAnsi="Georgia"/>
                <w:sz w:val="18"/>
                <w:szCs w:val="18"/>
              </w:rPr>
              <w:t>chaque marché subséquent</w:t>
            </w:r>
            <w:r w:rsidRPr="00664F53">
              <w:rPr>
                <w:rFonts w:ascii="Georgia" w:hAnsi="Georgia"/>
                <w:sz w:val="18"/>
                <w:szCs w:val="18"/>
              </w:rPr>
              <w:t xml:space="preserve"> (invitation/notification).</w:t>
            </w:r>
          </w:p>
        </w:tc>
      </w:tr>
      <w:tr w:rsidR="00664F53" w:rsidRPr="005B36B6" w14:paraId="7E3D054E" w14:textId="77777777" w:rsidTr="00664F53">
        <w:tc>
          <w:tcPr>
            <w:tcW w:w="156" w:type="pct"/>
          </w:tcPr>
          <w:p w14:paraId="08006EE7" w14:textId="3B2FDB9D" w:rsidR="00664F53" w:rsidRPr="005B36B6" w:rsidRDefault="00664F53">
            <w:pPr>
              <w:rPr>
                <w:rFonts w:ascii="Georgia" w:hAnsi="Georgia"/>
                <w:sz w:val="18"/>
                <w:szCs w:val="18"/>
              </w:rPr>
            </w:pPr>
            <w:r w:rsidRPr="005B36B6">
              <w:rPr>
                <w:rFonts w:ascii="Georgia" w:hAnsi="Georgia"/>
                <w:sz w:val="18"/>
                <w:szCs w:val="18"/>
              </w:rPr>
              <w:t>12</w:t>
            </w:r>
          </w:p>
        </w:tc>
        <w:tc>
          <w:tcPr>
            <w:tcW w:w="2543" w:type="pct"/>
          </w:tcPr>
          <w:p w14:paraId="0013DADC" w14:textId="77777777" w:rsidR="00664F53" w:rsidRPr="005B36B6" w:rsidRDefault="00664F53" w:rsidP="00BB7058">
            <w:pPr>
              <w:jc w:val="both"/>
              <w:rPr>
                <w:rFonts w:ascii="Georgia" w:eastAsia="Times New Roman" w:hAnsi="Georgia" w:cs="Calibri"/>
                <w:b/>
                <w:bCs/>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t>Profils et postes à remplir :</w:t>
            </w:r>
          </w:p>
          <w:p w14:paraId="1C9546A6" w14:textId="77777777" w:rsidR="00664F53" w:rsidRPr="005B36B6" w:rsidRDefault="00664F53" w:rsidP="00BB7058">
            <w:pPr>
              <w:jc w:val="both"/>
              <w:rPr>
                <w:rFonts w:ascii="Georgia" w:eastAsia="Times New Roman" w:hAnsi="Georgia" w:cs="Calibri"/>
                <w:kern w:val="0"/>
                <w:sz w:val="18"/>
                <w:szCs w:val="18"/>
                <w:lang w:eastAsia="fr-FR"/>
                <w14:ligatures w14:val="none"/>
              </w:rPr>
            </w:pPr>
          </w:p>
          <w:p w14:paraId="644F2D7D" w14:textId="789E5664" w:rsidR="00664F53" w:rsidRPr="005B36B6" w:rsidRDefault="00664F53" w:rsidP="00BB7058">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1. Parlons-nous bien de 7 profils de base et 11 en total (4 pour le lot 1 et 3 pour le lot 2) en plus de 3 supplémentaires pour le lot 1 et 1 pour le lot 2 ?</w:t>
            </w:r>
          </w:p>
          <w:p w14:paraId="26D98F61" w14:textId="77777777" w:rsidR="00664F53" w:rsidRPr="005B36B6" w:rsidRDefault="00664F53" w:rsidP="00BB7058">
            <w:pPr>
              <w:jc w:val="both"/>
              <w:rPr>
                <w:rFonts w:ascii="Georgia" w:eastAsia="Times New Roman" w:hAnsi="Georgia" w:cs="Calibri"/>
                <w:kern w:val="0"/>
                <w:sz w:val="18"/>
                <w:szCs w:val="18"/>
                <w:lang w:eastAsia="fr-FR"/>
                <w14:ligatures w14:val="none"/>
              </w:rPr>
            </w:pPr>
          </w:p>
          <w:p w14:paraId="73B85192" w14:textId="77777777" w:rsidR="00664F53" w:rsidRPr="005B36B6" w:rsidRDefault="00664F53" w:rsidP="00BB7058">
            <w:pPr>
              <w:jc w:val="both"/>
              <w:rPr>
                <w:rFonts w:ascii="Georgia" w:eastAsia="Times New Roman" w:hAnsi="Georgia" w:cs="Calibri"/>
                <w:kern w:val="0"/>
                <w:sz w:val="18"/>
                <w:szCs w:val="18"/>
                <w:lang w:eastAsia="fr-FR"/>
                <w14:ligatures w14:val="none"/>
              </w:rPr>
            </w:pPr>
          </w:p>
          <w:p w14:paraId="13AB42C0" w14:textId="5C8EC253" w:rsidR="00664F53" w:rsidRPr="005B36B6" w:rsidRDefault="00664F53" w:rsidP="00261A31">
            <w:pPr>
              <w:jc w:val="both"/>
              <w:rPr>
                <w:rFonts w:ascii="Georgia" w:eastAsia="Times New Roman" w:hAnsi="Georgia" w:cs="Calibri"/>
                <w:kern w:val="0"/>
                <w:sz w:val="18"/>
                <w:szCs w:val="18"/>
                <w:lang w:eastAsia="fr-FR"/>
                <w14:ligatures w14:val="none"/>
              </w:rPr>
            </w:pPr>
          </w:p>
        </w:tc>
        <w:tc>
          <w:tcPr>
            <w:tcW w:w="2301" w:type="pct"/>
          </w:tcPr>
          <w:p w14:paraId="58AF343D" w14:textId="77777777" w:rsidR="00664F53" w:rsidRPr="00664F53" w:rsidRDefault="00664F53" w:rsidP="00261A31">
            <w:pPr>
              <w:jc w:val="both"/>
              <w:rPr>
                <w:rFonts w:ascii="Georgia" w:hAnsi="Georgia"/>
                <w:sz w:val="18"/>
                <w:szCs w:val="18"/>
              </w:rPr>
            </w:pPr>
          </w:p>
          <w:p w14:paraId="63AFE783" w14:textId="77777777" w:rsidR="00664F53" w:rsidRPr="00664F53" w:rsidRDefault="00664F53" w:rsidP="00261A31">
            <w:pPr>
              <w:pStyle w:val="NormalWeb"/>
              <w:jc w:val="both"/>
              <w:rPr>
                <w:rFonts w:ascii="Georgia" w:hAnsi="Georgia" w:cstheme="minorHAnsi"/>
                <w:sz w:val="18"/>
                <w:szCs w:val="18"/>
              </w:rPr>
            </w:pPr>
            <w:r w:rsidRPr="00664F53">
              <w:rPr>
                <w:rFonts w:ascii="Georgia" w:hAnsi="Georgia" w:cstheme="minorHAnsi"/>
                <w:sz w:val="18"/>
                <w:szCs w:val="18"/>
              </w:rPr>
              <w:t>Oui.</w:t>
            </w:r>
          </w:p>
          <w:p w14:paraId="6E516E98" w14:textId="77777777" w:rsidR="00664F53" w:rsidRPr="00664F53" w:rsidRDefault="00664F53" w:rsidP="00261A31">
            <w:pPr>
              <w:pStyle w:val="NormalWeb"/>
              <w:jc w:val="both"/>
              <w:rPr>
                <w:rFonts w:ascii="Georgia" w:hAnsi="Georgia" w:cstheme="minorHAnsi"/>
                <w:sz w:val="18"/>
                <w:szCs w:val="18"/>
              </w:rPr>
            </w:pPr>
            <w:r w:rsidRPr="00664F53">
              <w:rPr>
                <w:rFonts w:ascii="Georgia" w:hAnsi="Georgia" w:cstheme="minorHAnsi"/>
                <w:sz w:val="18"/>
                <w:szCs w:val="18"/>
              </w:rPr>
              <w:lastRenderedPageBreak/>
              <w:t>Profils de base (7)</w:t>
            </w:r>
          </w:p>
          <w:p w14:paraId="450CB900" w14:textId="77777777" w:rsidR="00664F53" w:rsidRPr="00664F53" w:rsidRDefault="00664F53" w:rsidP="00261A3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t>Lot 1 (4 profils)</w:t>
            </w:r>
            <w:r w:rsidRPr="00664F53">
              <w:rPr>
                <w:rFonts w:ascii="Georgia" w:hAnsi="Georgia" w:cstheme="minorHAnsi"/>
                <w:sz w:val="18"/>
                <w:szCs w:val="18"/>
              </w:rPr>
              <w:t xml:space="preserve"> :</w:t>
            </w:r>
          </w:p>
          <w:p w14:paraId="1422118A" w14:textId="77777777" w:rsidR="00664F53" w:rsidRPr="00664F53" w:rsidRDefault="00664F53" w:rsidP="00261A31">
            <w:pPr>
              <w:pStyle w:val="NormalWeb"/>
              <w:numPr>
                <w:ilvl w:val="2"/>
                <w:numId w:val="12"/>
              </w:numPr>
              <w:tabs>
                <w:tab w:val="num" w:pos="230"/>
              </w:tabs>
              <w:ind w:left="230" w:hanging="230"/>
              <w:jc w:val="both"/>
              <w:rPr>
                <w:rFonts w:ascii="Georgia" w:hAnsi="Georgia" w:cstheme="minorHAnsi"/>
                <w:sz w:val="18"/>
                <w:szCs w:val="18"/>
              </w:rPr>
            </w:pPr>
            <w:r w:rsidRPr="00664F53">
              <w:rPr>
                <w:rFonts w:ascii="Georgia" w:hAnsi="Georgia" w:cstheme="minorHAnsi"/>
                <w:sz w:val="18"/>
                <w:szCs w:val="18"/>
              </w:rPr>
              <w:t>Expert senior Gouvernance territoriale &amp; décentralisation ;</w:t>
            </w:r>
          </w:p>
          <w:p w14:paraId="7A079B1E" w14:textId="77777777" w:rsidR="00664F53" w:rsidRPr="00664F53" w:rsidRDefault="00664F53" w:rsidP="00261A31">
            <w:pPr>
              <w:pStyle w:val="NormalWeb"/>
              <w:numPr>
                <w:ilvl w:val="2"/>
                <w:numId w:val="12"/>
              </w:numPr>
              <w:tabs>
                <w:tab w:val="num" w:pos="230"/>
              </w:tabs>
              <w:ind w:left="230" w:hanging="230"/>
              <w:jc w:val="both"/>
              <w:rPr>
                <w:rFonts w:ascii="Georgia" w:hAnsi="Georgia" w:cstheme="minorHAnsi"/>
                <w:sz w:val="18"/>
                <w:szCs w:val="18"/>
              </w:rPr>
            </w:pPr>
            <w:r w:rsidRPr="00664F53">
              <w:rPr>
                <w:rFonts w:ascii="Georgia" w:hAnsi="Georgia" w:cstheme="minorHAnsi"/>
                <w:sz w:val="18"/>
                <w:szCs w:val="18"/>
              </w:rPr>
              <w:t>Expert senior Participation citoyenne &amp; dialogue multi-acteurs ;</w:t>
            </w:r>
          </w:p>
          <w:p w14:paraId="10D6D2C0" w14:textId="77777777" w:rsidR="00664F53" w:rsidRPr="00664F53" w:rsidRDefault="00664F53" w:rsidP="00261A31">
            <w:pPr>
              <w:pStyle w:val="NormalWeb"/>
              <w:numPr>
                <w:ilvl w:val="2"/>
                <w:numId w:val="12"/>
              </w:numPr>
              <w:tabs>
                <w:tab w:val="num" w:pos="230"/>
              </w:tabs>
              <w:ind w:left="230" w:hanging="230"/>
              <w:jc w:val="both"/>
              <w:rPr>
                <w:rFonts w:ascii="Georgia" w:hAnsi="Georgia" w:cstheme="minorHAnsi"/>
                <w:sz w:val="18"/>
                <w:szCs w:val="18"/>
              </w:rPr>
            </w:pPr>
            <w:r w:rsidRPr="00664F53">
              <w:rPr>
                <w:rFonts w:ascii="Georgia" w:hAnsi="Georgia" w:cstheme="minorHAnsi"/>
                <w:sz w:val="18"/>
                <w:szCs w:val="18"/>
              </w:rPr>
              <w:t>Expert senior (</w:t>
            </w:r>
            <w:proofErr w:type="spellStart"/>
            <w:r w:rsidRPr="00664F53">
              <w:rPr>
                <w:rFonts w:ascii="Georgia" w:hAnsi="Georgia" w:cstheme="minorHAnsi"/>
                <w:sz w:val="18"/>
                <w:szCs w:val="18"/>
              </w:rPr>
              <w:t>kirundiphone</w:t>
            </w:r>
            <w:proofErr w:type="spellEnd"/>
            <w:r w:rsidRPr="00664F53">
              <w:rPr>
                <w:rFonts w:ascii="Georgia" w:hAnsi="Georgia" w:cstheme="minorHAnsi"/>
                <w:sz w:val="18"/>
                <w:szCs w:val="18"/>
              </w:rPr>
              <w:t xml:space="preserve">) Planification territoriale ; </w:t>
            </w:r>
          </w:p>
          <w:p w14:paraId="1C5FC52D" w14:textId="77777777" w:rsidR="00664F53" w:rsidRPr="00664F53" w:rsidRDefault="00664F53" w:rsidP="00261A31">
            <w:pPr>
              <w:pStyle w:val="NormalWeb"/>
              <w:numPr>
                <w:ilvl w:val="2"/>
                <w:numId w:val="12"/>
              </w:numPr>
              <w:tabs>
                <w:tab w:val="num" w:pos="230"/>
              </w:tabs>
              <w:ind w:left="230" w:hanging="230"/>
              <w:jc w:val="both"/>
              <w:rPr>
                <w:rFonts w:ascii="Georgia" w:hAnsi="Georgia" w:cstheme="minorHAnsi"/>
                <w:sz w:val="18"/>
                <w:szCs w:val="18"/>
              </w:rPr>
            </w:pPr>
            <w:r w:rsidRPr="00664F53">
              <w:rPr>
                <w:rFonts w:ascii="Georgia" w:hAnsi="Georgia" w:cstheme="minorHAnsi"/>
                <w:sz w:val="18"/>
                <w:szCs w:val="18"/>
              </w:rPr>
              <w:t>Expert senior (</w:t>
            </w:r>
            <w:proofErr w:type="spellStart"/>
            <w:r w:rsidRPr="00664F53">
              <w:rPr>
                <w:rFonts w:ascii="Georgia" w:hAnsi="Georgia" w:cstheme="minorHAnsi"/>
                <w:sz w:val="18"/>
                <w:szCs w:val="18"/>
              </w:rPr>
              <w:t>kirundiphone</w:t>
            </w:r>
            <w:proofErr w:type="spellEnd"/>
            <w:r w:rsidRPr="00664F53">
              <w:rPr>
                <w:rFonts w:ascii="Georgia" w:hAnsi="Georgia" w:cstheme="minorHAnsi"/>
                <w:sz w:val="18"/>
                <w:szCs w:val="18"/>
              </w:rPr>
              <w:t xml:space="preserve">) Participation citoyenne &amp; animation locale. </w:t>
            </w:r>
          </w:p>
          <w:p w14:paraId="211C1662" w14:textId="77777777" w:rsidR="00664F53" w:rsidRPr="00664F53" w:rsidRDefault="00664F53" w:rsidP="00261A3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t>Lot 2 (3 profils)</w:t>
            </w:r>
            <w:r w:rsidRPr="00664F53">
              <w:rPr>
                <w:rFonts w:ascii="Georgia" w:hAnsi="Georgia" w:cstheme="minorHAnsi"/>
                <w:sz w:val="18"/>
                <w:szCs w:val="18"/>
              </w:rPr>
              <w:t xml:space="preserve"> :</w:t>
            </w:r>
          </w:p>
          <w:p w14:paraId="4D936892" w14:textId="77777777" w:rsidR="00664F53" w:rsidRPr="00664F53" w:rsidRDefault="00664F53" w:rsidP="006857BA">
            <w:pPr>
              <w:pStyle w:val="NormalWeb"/>
              <w:numPr>
                <w:ilvl w:val="2"/>
                <w:numId w:val="13"/>
              </w:numPr>
              <w:tabs>
                <w:tab w:val="clear" w:pos="2160"/>
              </w:tabs>
              <w:ind w:left="230" w:hanging="283"/>
              <w:jc w:val="both"/>
              <w:rPr>
                <w:rFonts w:ascii="Georgia" w:hAnsi="Georgia" w:cstheme="minorHAnsi"/>
                <w:sz w:val="18"/>
                <w:szCs w:val="18"/>
              </w:rPr>
            </w:pPr>
            <w:r w:rsidRPr="00664F53">
              <w:rPr>
                <w:rFonts w:ascii="Georgia" w:hAnsi="Georgia" w:cstheme="minorHAnsi"/>
                <w:sz w:val="18"/>
                <w:szCs w:val="18"/>
              </w:rPr>
              <w:t xml:space="preserve">Expert senior Ingénierie pédagogique ; </w:t>
            </w:r>
          </w:p>
          <w:p w14:paraId="2B1F8102" w14:textId="77777777" w:rsidR="00664F53" w:rsidRPr="00664F53" w:rsidRDefault="00664F53" w:rsidP="006857BA">
            <w:pPr>
              <w:pStyle w:val="NormalWeb"/>
              <w:numPr>
                <w:ilvl w:val="2"/>
                <w:numId w:val="13"/>
              </w:numPr>
              <w:tabs>
                <w:tab w:val="clear" w:pos="2160"/>
              </w:tabs>
              <w:ind w:left="230" w:hanging="283"/>
              <w:jc w:val="both"/>
              <w:rPr>
                <w:rFonts w:ascii="Georgia" w:hAnsi="Georgia" w:cstheme="minorHAnsi"/>
                <w:sz w:val="18"/>
                <w:szCs w:val="18"/>
              </w:rPr>
            </w:pPr>
            <w:r w:rsidRPr="00664F53">
              <w:rPr>
                <w:rFonts w:ascii="Georgia" w:hAnsi="Georgia" w:cstheme="minorHAnsi"/>
                <w:sz w:val="18"/>
                <w:szCs w:val="18"/>
              </w:rPr>
              <w:t xml:space="preserve">Expert senior Production pédagogique multimédia ; </w:t>
            </w:r>
          </w:p>
          <w:p w14:paraId="72A4E6A4" w14:textId="77777777" w:rsidR="00664F53" w:rsidRPr="00664F53" w:rsidRDefault="00664F53" w:rsidP="006857BA">
            <w:pPr>
              <w:pStyle w:val="NormalWeb"/>
              <w:numPr>
                <w:ilvl w:val="2"/>
                <w:numId w:val="13"/>
              </w:numPr>
              <w:tabs>
                <w:tab w:val="clear" w:pos="2160"/>
              </w:tabs>
              <w:ind w:left="230" w:hanging="283"/>
              <w:jc w:val="both"/>
              <w:rPr>
                <w:rFonts w:ascii="Georgia" w:hAnsi="Georgia" w:cstheme="minorHAnsi"/>
                <w:sz w:val="18"/>
                <w:szCs w:val="18"/>
              </w:rPr>
            </w:pPr>
            <w:r w:rsidRPr="00664F53">
              <w:rPr>
                <w:rFonts w:ascii="Georgia" w:hAnsi="Georgia" w:cstheme="minorHAnsi"/>
                <w:sz w:val="18"/>
                <w:szCs w:val="18"/>
              </w:rPr>
              <w:t>Expert senior (</w:t>
            </w:r>
            <w:proofErr w:type="spellStart"/>
            <w:r w:rsidRPr="00664F53">
              <w:rPr>
                <w:rFonts w:ascii="Georgia" w:hAnsi="Georgia" w:cstheme="minorHAnsi"/>
                <w:sz w:val="18"/>
                <w:szCs w:val="18"/>
              </w:rPr>
              <w:t>kirundiphone</w:t>
            </w:r>
            <w:proofErr w:type="spellEnd"/>
            <w:r w:rsidRPr="00664F53">
              <w:rPr>
                <w:rFonts w:ascii="Georgia" w:hAnsi="Georgia" w:cstheme="minorHAnsi"/>
                <w:sz w:val="18"/>
                <w:szCs w:val="18"/>
              </w:rPr>
              <w:t xml:space="preserve">) Renforcement des capacités des acteurs publics et locaux. </w:t>
            </w:r>
          </w:p>
          <w:p w14:paraId="3B311545" w14:textId="77777777" w:rsidR="00664F53" w:rsidRPr="00664F53" w:rsidRDefault="00664F53" w:rsidP="00261A31">
            <w:pPr>
              <w:pStyle w:val="Titre1"/>
              <w:jc w:val="both"/>
              <w:rPr>
                <w:rFonts w:ascii="Georgia" w:hAnsi="Georgia" w:cstheme="minorHAnsi"/>
                <w:color w:val="auto"/>
                <w:sz w:val="18"/>
                <w:szCs w:val="18"/>
              </w:rPr>
            </w:pPr>
            <w:r w:rsidRPr="00664F53">
              <w:rPr>
                <w:rFonts w:ascii="Georgia" w:hAnsi="Georgia" w:cstheme="minorHAnsi"/>
                <w:color w:val="auto"/>
                <w:sz w:val="18"/>
                <w:szCs w:val="18"/>
              </w:rPr>
              <w:t>Profils complémentaires</w:t>
            </w:r>
          </w:p>
          <w:p w14:paraId="6509BCEC" w14:textId="77777777" w:rsidR="00664F53" w:rsidRPr="00664F53" w:rsidRDefault="00664F53" w:rsidP="00261A3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t>Lot 1 (3 profils)</w:t>
            </w:r>
            <w:r w:rsidRPr="00664F53">
              <w:rPr>
                <w:rFonts w:ascii="Georgia" w:hAnsi="Georgia" w:cstheme="minorHAnsi"/>
                <w:sz w:val="18"/>
                <w:szCs w:val="18"/>
              </w:rPr>
              <w:t xml:space="preserve"> : </w:t>
            </w:r>
          </w:p>
          <w:p w14:paraId="41A1A72A" w14:textId="77777777" w:rsidR="00664F53" w:rsidRPr="00664F53" w:rsidRDefault="00664F53" w:rsidP="006857BA">
            <w:pPr>
              <w:pStyle w:val="NormalWeb"/>
              <w:numPr>
                <w:ilvl w:val="2"/>
                <w:numId w:val="14"/>
              </w:numPr>
              <w:tabs>
                <w:tab w:val="clear" w:pos="2160"/>
              </w:tabs>
              <w:ind w:left="88" w:hanging="176"/>
              <w:jc w:val="both"/>
              <w:rPr>
                <w:rFonts w:ascii="Georgia" w:hAnsi="Georgia" w:cstheme="minorHAnsi"/>
                <w:sz w:val="18"/>
                <w:szCs w:val="18"/>
              </w:rPr>
            </w:pPr>
            <w:r w:rsidRPr="00664F53">
              <w:rPr>
                <w:rFonts w:ascii="Georgia" w:hAnsi="Georgia" w:cstheme="minorHAnsi"/>
                <w:sz w:val="18"/>
                <w:szCs w:val="18"/>
              </w:rPr>
              <w:t xml:space="preserve">Appui institutionnel &amp; décentralisation ; </w:t>
            </w:r>
          </w:p>
          <w:p w14:paraId="7196D2A4" w14:textId="77777777" w:rsidR="00664F53" w:rsidRPr="00664F53" w:rsidRDefault="00664F53" w:rsidP="006857BA">
            <w:pPr>
              <w:pStyle w:val="NormalWeb"/>
              <w:numPr>
                <w:ilvl w:val="2"/>
                <w:numId w:val="14"/>
              </w:numPr>
              <w:tabs>
                <w:tab w:val="clear" w:pos="2160"/>
              </w:tabs>
              <w:ind w:left="88" w:hanging="176"/>
              <w:jc w:val="both"/>
              <w:rPr>
                <w:rFonts w:ascii="Georgia" w:hAnsi="Georgia" w:cstheme="minorHAnsi"/>
                <w:sz w:val="18"/>
                <w:szCs w:val="18"/>
              </w:rPr>
            </w:pPr>
            <w:r w:rsidRPr="00664F53">
              <w:rPr>
                <w:rFonts w:ascii="Georgia" w:hAnsi="Georgia" w:cstheme="minorHAnsi"/>
                <w:sz w:val="18"/>
                <w:szCs w:val="18"/>
              </w:rPr>
              <w:t xml:space="preserve">Gestion des ressources humaines ; </w:t>
            </w:r>
          </w:p>
          <w:p w14:paraId="421BDC5B" w14:textId="77777777" w:rsidR="00664F53" w:rsidRPr="00664F53" w:rsidRDefault="00664F53" w:rsidP="006857BA">
            <w:pPr>
              <w:pStyle w:val="NormalWeb"/>
              <w:numPr>
                <w:ilvl w:val="2"/>
                <w:numId w:val="14"/>
              </w:numPr>
              <w:tabs>
                <w:tab w:val="clear" w:pos="2160"/>
              </w:tabs>
              <w:ind w:left="88" w:hanging="176"/>
              <w:jc w:val="both"/>
              <w:rPr>
                <w:rFonts w:ascii="Georgia" w:hAnsi="Georgia" w:cstheme="minorHAnsi"/>
                <w:sz w:val="18"/>
                <w:szCs w:val="18"/>
              </w:rPr>
            </w:pPr>
            <w:r w:rsidRPr="00664F53">
              <w:rPr>
                <w:rFonts w:ascii="Georgia" w:hAnsi="Georgia" w:cstheme="minorHAnsi"/>
                <w:sz w:val="18"/>
                <w:szCs w:val="18"/>
              </w:rPr>
              <w:t xml:space="preserve">Finances publiques. </w:t>
            </w:r>
          </w:p>
          <w:p w14:paraId="41E175C9" w14:textId="77777777" w:rsidR="00664F53" w:rsidRPr="00664F53" w:rsidRDefault="00664F53" w:rsidP="00261A3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t>Lot 2 (1 profil)</w:t>
            </w:r>
            <w:r w:rsidRPr="00664F53">
              <w:rPr>
                <w:rFonts w:ascii="Georgia" w:hAnsi="Georgia" w:cstheme="minorHAnsi"/>
                <w:sz w:val="18"/>
                <w:szCs w:val="18"/>
              </w:rPr>
              <w:t xml:space="preserve"> : </w:t>
            </w:r>
          </w:p>
          <w:p w14:paraId="2C2C8762" w14:textId="58735C41" w:rsidR="00664F53" w:rsidRPr="00664F53" w:rsidRDefault="00664F53" w:rsidP="00261A31">
            <w:pPr>
              <w:jc w:val="both"/>
              <w:rPr>
                <w:rFonts w:ascii="Georgia" w:hAnsi="Georgia"/>
                <w:sz w:val="18"/>
                <w:szCs w:val="18"/>
              </w:rPr>
            </w:pPr>
            <w:r w:rsidRPr="00664F53">
              <w:rPr>
                <w:rFonts w:ascii="Georgia" w:hAnsi="Georgia" w:cstheme="minorHAnsi"/>
                <w:sz w:val="18"/>
                <w:szCs w:val="18"/>
              </w:rPr>
              <w:t>Expert en production audiovisuelle / digital Learning (complémentaire).</w:t>
            </w:r>
          </w:p>
        </w:tc>
      </w:tr>
      <w:tr w:rsidR="00664F53" w:rsidRPr="005B36B6" w14:paraId="53B53A0F" w14:textId="77777777" w:rsidTr="00664F53">
        <w:tc>
          <w:tcPr>
            <w:tcW w:w="156" w:type="pct"/>
          </w:tcPr>
          <w:p w14:paraId="012835AA" w14:textId="77777777" w:rsidR="00664F53" w:rsidRPr="005B36B6" w:rsidRDefault="00664F53">
            <w:pPr>
              <w:rPr>
                <w:rFonts w:ascii="Georgia" w:hAnsi="Georgia"/>
                <w:sz w:val="18"/>
                <w:szCs w:val="18"/>
              </w:rPr>
            </w:pPr>
          </w:p>
        </w:tc>
        <w:tc>
          <w:tcPr>
            <w:tcW w:w="2543" w:type="pct"/>
          </w:tcPr>
          <w:p w14:paraId="5AE1FB36" w14:textId="77777777" w:rsidR="00664F53" w:rsidRPr="005B36B6" w:rsidRDefault="00664F53" w:rsidP="00261A3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2. Est-ce que les 4 profils supplémentaires (option) demandés en renfort de deux lots doivent aussi faire</w:t>
            </w:r>
          </w:p>
          <w:p w14:paraId="08BAC673" w14:textId="178D64D2" w:rsidR="00664F53" w:rsidRPr="005B36B6" w:rsidRDefault="00664F53" w:rsidP="00261A31">
            <w:pPr>
              <w:jc w:val="both"/>
              <w:rPr>
                <w:rFonts w:ascii="Georgia" w:eastAsia="Times New Roman" w:hAnsi="Georgia" w:cs="Calibri"/>
                <w:kern w:val="0"/>
                <w:sz w:val="18"/>
                <w:szCs w:val="18"/>
                <w:lang w:eastAsia="fr-FR"/>
                <w14:ligatures w14:val="none"/>
              </w:rPr>
            </w:pPr>
            <w:proofErr w:type="gramStart"/>
            <w:r w:rsidRPr="005B36B6">
              <w:rPr>
                <w:rFonts w:ascii="Georgia" w:eastAsia="Times New Roman" w:hAnsi="Georgia" w:cs="Calibri"/>
                <w:kern w:val="0"/>
                <w:sz w:val="18"/>
                <w:szCs w:val="18"/>
                <w:lang w:eastAsia="fr-FR"/>
                <w14:ligatures w14:val="none"/>
              </w:rPr>
              <w:t>l’objet</w:t>
            </w:r>
            <w:proofErr w:type="gramEnd"/>
            <w:r w:rsidRPr="005B36B6">
              <w:rPr>
                <w:rFonts w:ascii="Georgia" w:eastAsia="Times New Roman" w:hAnsi="Georgia" w:cs="Calibri"/>
                <w:kern w:val="0"/>
                <w:sz w:val="18"/>
                <w:szCs w:val="18"/>
                <w:lang w:eastAsia="fr-FR"/>
                <w14:ligatures w14:val="none"/>
              </w:rPr>
              <w:t xml:space="preserve"> des CV et des attestations des diplômes ou une présentation succincte attestant les compétences suffit</w:t>
            </w:r>
          </w:p>
          <w:p w14:paraId="005BDE02" w14:textId="77777777" w:rsidR="00664F53" w:rsidRPr="005B36B6" w:rsidRDefault="00664F53" w:rsidP="00261A3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w:t>
            </w:r>
          </w:p>
          <w:p w14:paraId="7E9F7AD1" w14:textId="77777777" w:rsidR="00664F53" w:rsidRPr="005B36B6" w:rsidRDefault="00664F53" w:rsidP="00BB7058">
            <w:pPr>
              <w:jc w:val="both"/>
              <w:rPr>
                <w:rFonts w:ascii="Georgia" w:eastAsia="Times New Roman" w:hAnsi="Georgia" w:cs="Calibri"/>
                <w:b/>
                <w:bCs/>
                <w:kern w:val="0"/>
                <w:sz w:val="18"/>
                <w:szCs w:val="18"/>
                <w:lang w:eastAsia="fr-FR"/>
                <w14:ligatures w14:val="none"/>
              </w:rPr>
            </w:pPr>
          </w:p>
        </w:tc>
        <w:tc>
          <w:tcPr>
            <w:tcW w:w="2301" w:type="pct"/>
          </w:tcPr>
          <w:p w14:paraId="14DF8E41" w14:textId="77777777" w:rsidR="00664F53" w:rsidRPr="00664F53" w:rsidRDefault="00664F53" w:rsidP="00261A31">
            <w:pPr>
              <w:pStyle w:val="NormalWeb"/>
              <w:jc w:val="both"/>
              <w:rPr>
                <w:rFonts w:ascii="Georgia" w:hAnsi="Georgia" w:cstheme="minorHAnsi"/>
                <w:sz w:val="18"/>
                <w:szCs w:val="18"/>
              </w:rPr>
            </w:pPr>
            <w:r w:rsidRPr="00664F53">
              <w:rPr>
                <w:rFonts w:ascii="Georgia" w:hAnsi="Georgia" w:cstheme="minorHAnsi"/>
                <w:sz w:val="18"/>
                <w:szCs w:val="18"/>
              </w:rPr>
              <w:t>Oui. Les CV doivent aussi être fournis pour les profils « supplémentaires / optionnels » proposés en renfort.</w:t>
            </w:r>
          </w:p>
          <w:p w14:paraId="4737AFBE" w14:textId="5F611C11" w:rsidR="00664F53" w:rsidRPr="00664F53" w:rsidRDefault="00664F53" w:rsidP="00261A31">
            <w:pPr>
              <w:jc w:val="both"/>
              <w:rPr>
                <w:rFonts w:ascii="Georgia" w:hAnsi="Georgia"/>
                <w:sz w:val="18"/>
                <w:szCs w:val="18"/>
              </w:rPr>
            </w:pPr>
            <w:r w:rsidRPr="00664F53">
              <w:rPr>
                <w:rFonts w:ascii="Georgia" w:hAnsi="Georgia" w:cstheme="minorHAnsi"/>
                <w:sz w:val="18"/>
                <w:szCs w:val="18"/>
              </w:rPr>
              <w:t xml:space="preserve">Le CSC demande explicitement de « présenter les CV des 4 experts et des autres compétences requises (voir sections 5.4.1.2 &amp; 5.4.2) », puis d’annexer, pour chaque profil évalué, le </w:t>
            </w:r>
            <w:r w:rsidRPr="00664F53">
              <w:rPr>
                <w:rStyle w:val="lev"/>
                <w:rFonts w:ascii="Georgia" w:eastAsiaTheme="majorEastAsia" w:hAnsi="Georgia" w:cstheme="minorHAnsi"/>
                <w:b w:val="0"/>
                <w:bCs w:val="0"/>
                <w:sz w:val="18"/>
                <w:szCs w:val="18"/>
              </w:rPr>
              <w:t>tableau “Profil expert”</w:t>
            </w:r>
            <w:r w:rsidRPr="00664F53">
              <w:rPr>
                <w:rFonts w:ascii="Georgia" w:hAnsi="Georgia" w:cstheme="minorHAnsi"/>
                <w:sz w:val="18"/>
                <w:szCs w:val="18"/>
              </w:rPr>
              <w:t xml:space="preserve">, </w:t>
            </w:r>
            <w:r w:rsidRPr="00664F53">
              <w:rPr>
                <w:rStyle w:val="lev"/>
                <w:rFonts w:ascii="Georgia" w:eastAsiaTheme="majorEastAsia" w:hAnsi="Georgia" w:cstheme="minorHAnsi"/>
                <w:b w:val="0"/>
                <w:bCs w:val="0"/>
                <w:sz w:val="18"/>
                <w:szCs w:val="18"/>
              </w:rPr>
              <w:t>le CV de l’expert proposé</w:t>
            </w:r>
            <w:r w:rsidRPr="00664F53">
              <w:rPr>
                <w:rFonts w:ascii="Georgia" w:hAnsi="Georgia" w:cstheme="minorHAnsi"/>
                <w:sz w:val="18"/>
                <w:szCs w:val="18"/>
              </w:rPr>
              <w:t xml:space="preserve">, et </w:t>
            </w:r>
            <w:r w:rsidRPr="00664F53">
              <w:rPr>
                <w:rStyle w:val="lev"/>
                <w:rFonts w:ascii="Georgia" w:eastAsiaTheme="majorEastAsia" w:hAnsi="Georgia" w:cstheme="minorHAnsi"/>
                <w:b w:val="0"/>
                <w:bCs w:val="0"/>
                <w:sz w:val="18"/>
                <w:szCs w:val="18"/>
              </w:rPr>
              <w:t>l’accord signé</w:t>
            </w:r>
            <w:r w:rsidRPr="00664F53">
              <w:rPr>
                <w:rFonts w:ascii="Georgia" w:hAnsi="Georgia" w:cstheme="minorHAnsi"/>
                <w:sz w:val="18"/>
                <w:szCs w:val="18"/>
              </w:rPr>
              <w:t xml:space="preserve">. Cela figure dans les critères d’attribution du </w:t>
            </w:r>
            <w:r w:rsidRPr="00664F53">
              <w:rPr>
                <w:rStyle w:val="lev"/>
                <w:rFonts w:ascii="Georgia" w:eastAsiaTheme="majorEastAsia" w:hAnsi="Georgia" w:cstheme="minorHAnsi"/>
                <w:b w:val="0"/>
                <w:bCs w:val="0"/>
                <w:sz w:val="18"/>
                <w:szCs w:val="18"/>
              </w:rPr>
              <w:t>lot 1</w:t>
            </w:r>
            <w:r w:rsidRPr="00664F53">
              <w:rPr>
                <w:rFonts w:ascii="Georgia" w:hAnsi="Georgia" w:cstheme="minorHAnsi"/>
                <w:sz w:val="18"/>
                <w:szCs w:val="18"/>
              </w:rPr>
              <w:t xml:space="preserve"> et du </w:t>
            </w:r>
            <w:r w:rsidRPr="00664F53">
              <w:rPr>
                <w:rStyle w:val="lev"/>
                <w:rFonts w:ascii="Georgia" w:eastAsiaTheme="majorEastAsia" w:hAnsi="Georgia" w:cstheme="minorHAnsi"/>
                <w:b w:val="0"/>
                <w:bCs w:val="0"/>
                <w:sz w:val="18"/>
                <w:szCs w:val="18"/>
              </w:rPr>
              <w:t>lot 2</w:t>
            </w:r>
            <w:r w:rsidRPr="00664F53">
              <w:rPr>
                <w:rFonts w:ascii="Georgia" w:hAnsi="Georgia" w:cstheme="minorHAnsi"/>
                <w:sz w:val="18"/>
                <w:szCs w:val="18"/>
              </w:rPr>
              <w:t>, ce qui inclut les profils complémentaires visés aux §§ 5.4.2–5.4.3.</w:t>
            </w:r>
          </w:p>
        </w:tc>
      </w:tr>
      <w:tr w:rsidR="00664F53" w:rsidRPr="005B36B6" w14:paraId="6860AC9F" w14:textId="77777777" w:rsidTr="00664F53">
        <w:tc>
          <w:tcPr>
            <w:tcW w:w="156" w:type="pct"/>
          </w:tcPr>
          <w:p w14:paraId="4C597EF3" w14:textId="77777777" w:rsidR="00664F53" w:rsidRPr="005B36B6" w:rsidRDefault="00664F53">
            <w:pPr>
              <w:rPr>
                <w:rFonts w:ascii="Georgia" w:hAnsi="Georgia"/>
                <w:sz w:val="18"/>
                <w:szCs w:val="18"/>
              </w:rPr>
            </w:pPr>
          </w:p>
        </w:tc>
        <w:tc>
          <w:tcPr>
            <w:tcW w:w="2543" w:type="pct"/>
          </w:tcPr>
          <w:p w14:paraId="54260903" w14:textId="77777777" w:rsidR="00664F53" w:rsidRPr="005B36B6" w:rsidRDefault="00664F53" w:rsidP="00261A3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xml:space="preserve">3. Vue la durée du contrat cadre et notre réseau mobilisable, est-ce que présenter plus </w:t>
            </w:r>
            <w:proofErr w:type="gramStart"/>
            <w:r w:rsidRPr="005B36B6">
              <w:rPr>
                <w:rFonts w:ascii="Georgia" w:eastAsia="Times New Roman" w:hAnsi="Georgia" w:cs="Calibri"/>
                <w:kern w:val="0"/>
                <w:sz w:val="18"/>
                <w:szCs w:val="18"/>
                <w:lang w:eastAsia="fr-FR"/>
                <w14:ligatures w14:val="none"/>
              </w:rPr>
              <w:t>d’</w:t>
            </w:r>
            <w:proofErr w:type="spellStart"/>
            <w:r w:rsidRPr="005B36B6">
              <w:rPr>
                <w:rFonts w:ascii="Georgia" w:eastAsia="Times New Roman" w:hAnsi="Georgia" w:cs="Calibri"/>
                <w:kern w:val="0"/>
                <w:sz w:val="18"/>
                <w:szCs w:val="18"/>
                <w:lang w:eastAsia="fr-FR"/>
                <w14:ligatures w14:val="none"/>
              </w:rPr>
              <w:t>un.e</w:t>
            </w:r>
            <w:proofErr w:type="spellEnd"/>
            <w:proofErr w:type="gramEnd"/>
            <w:r w:rsidRPr="005B36B6">
              <w:rPr>
                <w:rFonts w:ascii="Georgia" w:eastAsia="Times New Roman" w:hAnsi="Georgia" w:cs="Calibri"/>
                <w:kern w:val="0"/>
                <w:sz w:val="18"/>
                <w:szCs w:val="18"/>
                <w:lang w:eastAsia="fr-FR"/>
                <w14:ligatures w14:val="none"/>
              </w:rPr>
              <w:t xml:space="preserve"> </w:t>
            </w:r>
            <w:proofErr w:type="spellStart"/>
            <w:proofErr w:type="gramStart"/>
            <w:r w:rsidRPr="005B36B6">
              <w:rPr>
                <w:rFonts w:ascii="Georgia" w:eastAsia="Times New Roman" w:hAnsi="Georgia" w:cs="Calibri"/>
                <w:kern w:val="0"/>
                <w:sz w:val="18"/>
                <w:szCs w:val="18"/>
                <w:lang w:eastAsia="fr-FR"/>
                <w14:ligatures w14:val="none"/>
              </w:rPr>
              <w:t>expert.e</w:t>
            </w:r>
            <w:proofErr w:type="spellEnd"/>
            <w:proofErr w:type="gramEnd"/>
            <w:r w:rsidRPr="005B36B6">
              <w:rPr>
                <w:rFonts w:ascii="Georgia" w:eastAsia="Times New Roman" w:hAnsi="Georgia" w:cs="Calibri"/>
                <w:kern w:val="0"/>
                <w:sz w:val="18"/>
                <w:szCs w:val="18"/>
                <w:lang w:eastAsia="fr-FR"/>
                <w14:ligatures w14:val="none"/>
              </w:rPr>
              <w:t xml:space="preserve"> par poste est envisageable/souhaitable ?</w:t>
            </w:r>
          </w:p>
          <w:p w14:paraId="52348843" w14:textId="77777777" w:rsidR="00664F53" w:rsidRPr="005B36B6" w:rsidRDefault="00664F53" w:rsidP="00261A3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Si oui, une évaluation pour chaque candidat sera effectuée ou pour l’ensemble des profils d’un poste ?</w:t>
            </w:r>
          </w:p>
          <w:p w14:paraId="445C59D1" w14:textId="77777777" w:rsidR="00664F53" w:rsidRPr="005B36B6" w:rsidRDefault="00664F53" w:rsidP="00261A3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lastRenderedPageBreak/>
              <w:t>Si non, quels mécanismes sont possibles pour remplacer/ajouter un/des experts (afin de renforcer une proposition) à un moment donné ?</w:t>
            </w:r>
          </w:p>
          <w:p w14:paraId="2067FF07" w14:textId="77777777" w:rsidR="00664F53" w:rsidRPr="005B36B6" w:rsidRDefault="00664F53" w:rsidP="00BB7058">
            <w:pPr>
              <w:jc w:val="both"/>
              <w:rPr>
                <w:rFonts w:ascii="Georgia" w:eastAsia="Times New Roman" w:hAnsi="Georgia" w:cs="Calibri"/>
                <w:b/>
                <w:bCs/>
                <w:kern w:val="0"/>
                <w:sz w:val="18"/>
                <w:szCs w:val="18"/>
                <w:lang w:eastAsia="fr-FR"/>
                <w14:ligatures w14:val="none"/>
              </w:rPr>
            </w:pPr>
          </w:p>
        </w:tc>
        <w:tc>
          <w:tcPr>
            <w:tcW w:w="2301" w:type="pct"/>
          </w:tcPr>
          <w:p w14:paraId="5E88239E" w14:textId="77777777" w:rsidR="00664F53" w:rsidRPr="00664F53" w:rsidRDefault="00664F53" w:rsidP="00261A3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lastRenderedPageBreak/>
              <w:t>À l’étape de l’offre, non.</w:t>
            </w:r>
            <w:r w:rsidRPr="00664F53">
              <w:rPr>
                <w:rFonts w:ascii="Georgia" w:hAnsi="Georgia" w:cstheme="minorHAnsi"/>
                <w:sz w:val="18"/>
                <w:szCs w:val="18"/>
              </w:rPr>
              <w:t xml:space="preserve"> Le CSC demande d’identifier </w:t>
            </w:r>
            <w:r w:rsidRPr="00664F53">
              <w:rPr>
                <w:rStyle w:val="lev"/>
                <w:rFonts w:ascii="Georgia" w:eastAsiaTheme="majorEastAsia" w:hAnsi="Georgia" w:cstheme="minorHAnsi"/>
                <w:b w:val="0"/>
                <w:bCs w:val="0"/>
                <w:sz w:val="18"/>
                <w:szCs w:val="18"/>
              </w:rPr>
              <w:t>4 experts par lot</w:t>
            </w:r>
            <w:r w:rsidRPr="00664F53">
              <w:rPr>
                <w:rFonts w:ascii="Georgia" w:hAnsi="Georgia" w:cstheme="minorHAnsi"/>
                <w:sz w:val="18"/>
                <w:szCs w:val="18"/>
              </w:rPr>
              <w:t xml:space="preserve"> (base team) et précise que </w:t>
            </w:r>
            <w:r w:rsidRPr="00664F53">
              <w:rPr>
                <w:rStyle w:val="Accentuation"/>
                <w:rFonts w:ascii="Georgia" w:eastAsiaTheme="majorEastAsia" w:hAnsi="Georgia" w:cstheme="minorHAnsi"/>
                <w:sz w:val="18"/>
                <w:szCs w:val="18"/>
              </w:rPr>
              <w:t>« Les 4 experts proposés par le soumissionnaire seront ceux affectés à l’exécution des marchés découlant de l’accord-cadre. »</w:t>
            </w:r>
            <w:r w:rsidRPr="00664F53">
              <w:rPr>
                <w:rFonts w:ascii="Georgia" w:hAnsi="Georgia" w:cstheme="minorHAnsi"/>
                <w:sz w:val="18"/>
                <w:szCs w:val="18"/>
              </w:rPr>
              <w:t xml:space="preserve"> Cela </w:t>
            </w:r>
            <w:r w:rsidRPr="00664F53">
              <w:rPr>
                <w:rFonts w:ascii="Georgia" w:hAnsi="Georgia" w:cstheme="minorHAnsi"/>
                <w:sz w:val="18"/>
                <w:szCs w:val="18"/>
              </w:rPr>
              <w:lastRenderedPageBreak/>
              <w:t xml:space="preserve">implique </w:t>
            </w:r>
            <w:r w:rsidRPr="00664F53">
              <w:rPr>
                <w:rStyle w:val="lev"/>
                <w:rFonts w:ascii="Georgia" w:eastAsiaTheme="majorEastAsia" w:hAnsi="Georgia" w:cstheme="minorHAnsi"/>
                <w:b w:val="0"/>
                <w:bCs w:val="0"/>
                <w:sz w:val="18"/>
                <w:szCs w:val="18"/>
              </w:rPr>
              <w:t>un expert nommé par poste</w:t>
            </w:r>
            <w:r w:rsidRPr="00664F53">
              <w:rPr>
                <w:rFonts w:ascii="Georgia" w:hAnsi="Georgia" w:cstheme="minorHAnsi"/>
                <w:sz w:val="18"/>
                <w:szCs w:val="18"/>
              </w:rPr>
              <w:t xml:space="preserve"> dans l’équipe de base, pas plusieurs candidats alternatifs pour un même poste. </w:t>
            </w:r>
          </w:p>
          <w:p w14:paraId="50AF85B6" w14:textId="27CB47FB" w:rsidR="00664F53" w:rsidRPr="00664F53" w:rsidRDefault="00664F53" w:rsidP="00261A31">
            <w:pPr>
              <w:jc w:val="both"/>
              <w:rPr>
                <w:rFonts w:ascii="Georgia" w:hAnsi="Georgia"/>
                <w:sz w:val="18"/>
                <w:szCs w:val="18"/>
              </w:rPr>
            </w:pPr>
            <w:r w:rsidRPr="00664F53">
              <w:rPr>
                <w:rFonts w:ascii="Georgia" w:hAnsi="Georgia" w:cstheme="minorHAnsi"/>
                <w:sz w:val="18"/>
                <w:szCs w:val="18"/>
              </w:rPr>
              <w:t xml:space="preserve">En revanche, le CSC prévoit des </w:t>
            </w:r>
            <w:r w:rsidRPr="00664F53">
              <w:rPr>
                <w:rStyle w:val="lev"/>
                <w:rFonts w:ascii="Georgia" w:eastAsiaTheme="majorEastAsia" w:hAnsi="Georgia" w:cstheme="minorHAnsi"/>
                <w:b w:val="0"/>
                <w:bCs w:val="0"/>
                <w:sz w:val="18"/>
                <w:szCs w:val="18"/>
              </w:rPr>
              <w:t>« profils complémentaires » / « autres compétences requises »</w:t>
            </w:r>
            <w:r w:rsidRPr="00664F53">
              <w:rPr>
                <w:rFonts w:ascii="Georgia" w:hAnsi="Georgia" w:cstheme="minorHAnsi"/>
                <w:sz w:val="18"/>
                <w:szCs w:val="18"/>
              </w:rPr>
              <w:t xml:space="preserve"> à joindre et </w:t>
            </w:r>
            <w:r w:rsidRPr="00664F53">
              <w:rPr>
                <w:rStyle w:val="lev"/>
                <w:rFonts w:ascii="Georgia" w:eastAsiaTheme="majorEastAsia" w:hAnsi="Georgia" w:cstheme="minorHAnsi"/>
                <w:b w:val="0"/>
                <w:bCs w:val="0"/>
                <w:sz w:val="18"/>
                <w:szCs w:val="18"/>
              </w:rPr>
              <w:t>évalués séparément</w:t>
            </w:r>
            <w:r w:rsidRPr="00664F53">
              <w:rPr>
                <w:rFonts w:ascii="Georgia" w:hAnsi="Georgia" w:cstheme="minorHAnsi"/>
                <w:sz w:val="18"/>
                <w:szCs w:val="18"/>
              </w:rPr>
              <w:t xml:space="preserve"> (10 points). C’est par ce canal que vous pouvez montrer une réserve de renforts au-delà des 4 postes de base.</w:t>
            </w:r>
          </w:p>
        </w:tc>
      </w:tr>
      <w:tr w:rsidR="00664F53" w:rsidRPr="005B36B6" w14:paraId="5C9AE77C" w14:textId="77777777" w:rsidTr="00664F53">
        <w:tc>
          <w:tcPr>
            <w:tcW w:w="156" w:type="pct"/>
          </w:tcPr>
          <w:p w14:paraId="033103F9" w14:textId="77777777" w:rsidR="00664F53" w:rsidRPr="005B36B6" w:rsidRDefault="00664F53" w:rsidP="00466391">
            <w:pPr>
              <w:rPr>
                <w:rFonts w:ascii="Georgia" w:hAnsi="Georgia"/>
                <w:sz w:val="18"/>
                <w:szCs w:val="18"/>
              </w:rPr>
            </w:pPr>
          </w:p>
        </w:tc>
        <w:tc>
          <w:tcPr>
            <w:tcW w:w="2543" w:type="pct"/>
          </w:tcPr>
          <w:p w14:paraId="48EB9B17"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4. Est-ce la logique des binômes demandée (1 expert national + expert international) par thématique concerne bien la combinaison de deux postes identifiés dans les CSC (par exemple : postes 1 et 3 ainsi que postes 2 et 4 du lot 1 ?)</w:t>
            </w:r>
          </w:p>
          <w:p w14:paraId="0A72195D"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p>
        </w:tc>
        <w:tc>
          <w:tcPr>
            <w:tcW w:w="2301" w:type="pct"/>
          </w:tcPr>
          <w:p w14:paraId="48910DE5" w14:textId="3C48A98D" w:rsidR="00664F53" w:rsidRPr="00664F53" w:rsidRDefault="00664F53" w:rsidP="00466391">
            <w:pPr>
              <w:pStyle w:val="NormalWeb"/>
              <w:jc w:val="both"/>
              <w:rPr>
                <w:rFonts w:ascii="Georgia" w:hAnsi="Georgia" w:cstheme="minorHAnsi"/>
                <w:sz w:val="18"/>
                <w:szCs w:val="18"/>
              </w:rPr>
            </w:pPr>
            <w:r w:rsidRPr="00664F53">
              <w:rPr>
                <w:rFonts w:ascii="Georgia" w:hAnsi="Georgia" w:cstheme="minorHAnsi"/>
                <w:sz w:val="18"/>
                <w:szCs w:val="18"/>
              </w:rPr>
              <w:t xml:space="preserve">La </w:t>
            </w:r>
            <w:r w:rsidRPr="00664F53">
              <w:rPr>
                <w:rStyle w:val="lev"/>
                <w:rFonts w:ascii="Georgia" w:eastAsiaTheme="majorEastAsia" w:hAnsi="Georgia" w:cstheme="minorHAnsi"/>
                <w:b w:val="0"/>
                <w:bCs w:val="0"/>
                <w:sz w:val="18"/>
                <w:szCs w:val="18"/>
              </w:rPr>
              <w:t>logique binôme</w:t>
            </w:r>
            <w:r w:rsidRPr="00664F53">
              <w:rPr>
                <w:rFonts w:ascii="Georgia" w:hAnsi="Georgia" w:cstheme="minorHAnsi"/>
                <w:sz w:val="18"/>
                <w:szCs w:val="18"/>
              </w:rPr>
              <w:t xml:space="preserve"> est </w:t>
            </w:r>
            <w:proofErr w:type="gramStart"/>
            <w:r w:rsidRPr="00664F53">
              <w:rPr>
                <w:rStyle w:val="lev"/>
                <w:rFonts w:ascii="Georgia" w:eastAsiaTheme="majorEastAsia" w:hAnsi="Georgia" w:cstheme="minorHAnsi"/>
                <w:b w:val="0"/>
                <w:bCs w:val="0"/>
                <w:sz w:val="18"/>
                <w:szCs w:val="18"/>
              </w:rPr>
              <w:t>encouragée</w:t>
            </w:r>
            <w:proofErr w:type="gramEnd"/>
            <w:r w:rsidRPr="00664F53">
              <w:rPr>
                <w:rFonts w:ascii="Georgia" w:hAnsi="Georgia" w:cstheme="minorHAnsi"/>
                <w:sz w:val="18"/>
                <w:szCs w:val="18"/>
              </w:rPr>
              <w:t xml:space="preserve"> par le CSC pour articuler expertise internationale et </w:t>
            </w:r>
            <w:r w:rsidRPr="00664F53">
              <w:rPr>
                <w:rStyle w:val="lev"/>
                <w:rFonts w:ascii="Georgia" w:eastAsiaTheme="majorEastAsia" w:hAnsi="Georgia" w:cstheme="minorHAnsi"/>
                <w:b w:val="0"/>
                <w:bCs w:val="0"/>
                <w:sz w:val="18"/>
                <w:szCs w:val="18"/>
              </w:rPr>
              <w:t xml:space="preserve">ancrage local </w:t>
            </w:r>
            <w:proofErr w:type="spellStart"/>
            <w:r w:rsidRPr="00664F53">
              <w:rPr>
                <w:rStyle w:val="lev"/>
                <w:rFonts w:ascii="Georgia" w:eastAsiaTheme="majorEastAsia" w:hAnsi="Georgia" w:cstheme="minorHAnsi"/>
                <w:b w:val="0"/>
                <w:bCs w:val="0"/>
                <w:sz w:val="18"/>
                <w:szCs w:val="18"/>
              </w:rPr>
              <w:t>kirundiphone</w:t>
            </w:r>
            <w:proofErr w:type="spellEnd"/>
            <w:r w:rsidRPr="00664F53">
              <w:rPr>
                <w:rFonts w:ascii="Georgia" w:hAnsi="Georgia" w:cstheme="minorHAnsi"/>
                <w:sz w:val="18"/>
                <w:szCs w:val="18"/>
              </w:rPr>
              <w:t xml:space="preserve">, mais le texte </w:t>
            </w:r>
            <w:r w:rsidRPr="00664F53">
              <w:rPr>
                <w:rStyle w:val="lev"/>
                <w:rFonts w:ascii="Georgia" w:eastAsiaTheme="majorEastAsia" w:hAnsi="Georgia" w:cstheme="minorHAnsi"/>
                <w:b w:val="0"/>
                <w:bCs w:val="0"/>
                <w:sz w:val="18"/>
                <w:szCs w:val="18"/>
              </w:rPr>
              <w:t>ne fixe pas</w:t>
            </w:r>
            <w:r w:rsidRPr="00664F53">
              <w:rPr>
                <w:rFonts w:ascii="Georgia" w:hAnsi="Georgia" w:cstheme="minorHAnsi"/>
                <w:sz w:val="18"/>
                <w:szCs w:val="18"/>
              </w:rPr>
              <w:t xml:space="preserve"> une combinaison « obligatoire » entre numéros de postes (du type </w:t>
            </w:r>
            <w:r w:rsidRPr="00664F53">
              <w:rPr>
                <w:rStyle w:val="Accentuation"/>
                <w:rFonts w:ascii="Georgia" w:eastAsiaTheme="majorEastAsia" w:hAnsi="Georgia" w:cstheme="minorHAnsi"/>
                <w:sz w:val="18"/>
                <w:szCs w:val="18"/>
              </w:rPr>
              <w:t>1+3</w:t>
            </w:r>
            <w:r w:rsidRPr="00664F53">
              <w:rPr>
                <w:rFonts w:ascii="Georgia" w:hAnsi="Georgia" w:cstheme="minorHAnsi"/>
                <w:sz w:val="18"/>
                <w:szCs w:val="18"/>
              </w:rPr>
              <w:t xml:space="preserve"> et </w:t>
            </w:r>
            <w:r w:rsidRPr="00664F53">
              <w:rPr>
                <w:rStyle w:val="Accentuation"/>
                <w:rFonts w:ascii="Georgia" w:eastAsiaTheme="majorEastAsia" w:hAnsi="Georgia" w:cstheme="minorHAnsi"/>
                <w:sz w:val="18"/>
                <w:szCs w:val="18"/>
              </w:rPr>
              <w:t>2+4</w:t>
            </w:r>
            <w:r w:rsidRPr="00664F53">
              <w:rPr>
                <w:rFonts w:ascii="Georgia" w:hAnsi="Georgia" w:cstheme="minorHAnsi"/>
                <w:sz w:val="18"/>
                <w:szCs w:val="18"/>
              </w:rPr>
              <w:t xml:space="preserve">). Autrement dit, le binôme se constitue </w:t>
            </w:r>
            <w:r w:rsidRPr="00664F53">
              <w:rPr>
                <w:rStyle w:val="lev"/>
                <w:rFonts w:ascii="Georgia" w:eastAsiaTheme="majorEastAsia" w:hAnsi="Georgia" w:cstheme="minorHAnsi"/>
                <w:b w:val="0"/>
                <w:bCs w:val="0"/>
                <w:sz w:val="18"/>
                <w:szCs w:val="18"/>
              </w:rPr>
              <w:t>par thématique</w:t>
            </w:r>
            <w:r w:rsidRPr="00664F53">
              <w:rPr>
                <w:rFonts w:ascii="Georgia" w:hAnsi="Georgia" w:cstheme="minorHAnsi"/>
                <w:sz w:val="18"/>
                <w:szCs w:val="18"/>
              </w:rPr>
              <w:t xml:space="preserve">, en fonction des tâches, à partir des </w:t>
            </w:r>
            <w:r w:rsidRPr="00664F53">
              <w:rPr>
                <w:rStyle w:val="lev"/>
                <w:rFonts w:ascii="Georgia" w:eastAsiaTheme="majorEastAsia" w:hAnsi="Georgia" w:cstheme="minorHAnsi"/>
                <w:b w:val="0"/>
                <w:bCs w:val="0"/>
                <w:sz w:val="18"/>
                <w:szCs w:val="18"/>
              </w:rPr>
              <w:t>profils de base</w:t>
            </w:r>
            <w:r w:rsidRPr="00664F53">
              <w:rPr>
                <w:rFonts w:ascii="Georgia" w:hAnsi="Georgia" w:cstheme="minorHAnsi"/>
                <w:sz w:val="18"/>
                <w:szCs w:val="18"/>
              </w:rPr>
              <w:t xml:space="preserve"> du lot concerné, sans correspondance numérique imposée. </w:t>
            </w:r>
          </w:p>
          <w:p w14:paraId="7FCEE4B4" w14:textId="77777777" w:rsidR="00664F53" w:rsidRPr="00664F53" w:rsidRDefault="00664F53" w:rsidP="00466391">
            <w:pPr>
              <w:pStyle w:val="NormalWeb"/>
              <w:jc w:val="both"/>
              <w:rPr>
                <w:rFonts w:ascii="Georgia" w:hAnsi="Georgia" w:cstheme="minorHAnsi"/>
                <w:sz w:val="18"/>
                <w:szCs w:val="18"/>
              </w:rPr>
            </w:pPr>
            <w:r w:rsidRPr="00664F53">
              <w:rPr>
                <w:rFonts w:ascii="Georgia" w:hAnsi="Georgia" w:cstheme="minorHAnsi"/>
                <w:sz w:val="18"/>
                <w:szCs w:val="18"/>
              </w:rPr>
              <w:t xml:space="preserve">Lorsque l’expert </w:t>
            </w:r>
            <w:r w:rsidRPr="00664F53">
              <w:rPr>
                <w:rStyle w:val="lev"/>
                <w:rFonts w:ascii="Georgia" w:eastAsiaTheme="majorEastAsia" w:hAnsi="Georgia" w:cstheme="minorHAnsi"/>
                <w:b w:val="0"/>
                <w:bCs w:val="0"/>
                <w:sz w:val="18"/>
                <w:szCs w:val="18"/>
              </w:rPr>
              <w:t>intervient directement sur le terrain</w:t>
            </w:r>
            <w:r w:rsidRPr="00664F53">
              <w:rPr>
                <w:rFonts w:ascii="Georgia" w:hAnsi="Georgia" w:cstheme="minorHAnsi"/>
                <w:sz w:val="18"/>
                <w:szCs w:val="18"/>
              </w:rPr>
              <w:t xml:space="preserve"> auprès des acteurs locaux, la </w:t>
            </w:r>
            <w:r w:rsidRPr="00664F53">
              <w:rPr>
                <w:rStyle w:val="lev"/>
                <w:rFonts w:ascii="Georgia" w:eastAsiaTheme="majorEastAsia" w:hAnsi="Georgia" w:cstheme="minorHAnsi"/>
                <w:b w:val="0"/>
                <w:bCs w:val="0"/>
                <w:sz w:val="18"/>
                <w:szCs w:val="18"/>
              </w:rPr>
              <w:t>maîtrise du kirundi</w:t>
            </w:r>
            <w:r w:rsidRPr="00664F53">
              <w:rPr>
                <w:rFonts w:ascii="Georgia" w:hAnsi="Georgia" w:cstheme="minorHAnsi"/>
                <w:sz w:val="18"/>
                <w:szCs w:val="18"/>
              </w:rPr>
              <w:t xml:space="preserve"> au sein du binôme est </w:t>
            </w:r>
            <w:r w:rsidRPr="00664F53">
              <w:rPr>
                <w:rStyle w:val="lev"/>
                <w:rFonts w:ascii="Georgia" w:eastAsiaTheme="majorEastAsia" w:hAnsi="Georgia" w:cstheme="minorHAnsi"/>
                <w:b w:val="0"/>
                <w:bCs w:val="0"/>
                <w:sz w:val="18"/>
                <w:szCs w:val="18"/>
              </w:rPr>
              <w:t>indispensable</w:t>
            </w:r>
            <w:r w:rsidRPr="00664F53">
              <w:rPr>
                <w:rFonts w:ascii="Georgia" w:hAnsi="Georgia" w:cstheme="minorHAnsi"/>
                <w:sz w:val="18"/>
                <w:szCs w:val="18"/>
              </w:rPr>
              <w:t xml:space="preserve">. </w:t>
            </w:r>
          </w:p>
          <w:p w14:paraId="3F28B76A" w14:textId="77777777" w:rsidR="00664F53" w:rsidRPr="00664F53" w:rsidRDefault="00664F53" w:rsidP="00466391">
            <w:pPr>
              <w:pStyle w:val="NormalWeb"/>
              <w:jc w:val="both"/>
              <w:rPr>
                <w:rFonts w:ascii="Georgia" w:hAnsi="Georgia" w:cstheme="minorHAnsi"/>
                <w:sz w:val="18"/>
                <w:szCs w:val="18"/>
              </w:rPr>
            </w:pPr>
            <w:r w:rsidRPr="00664F53">
              <w:rPr>
                <w:rFonts w:ascii="Georgia" w:hAnsi="Georgia" w:cstheme="minorHAnsi"/>
                <w:sz w:val="18"/>
                <w:szCs w:val="18"/>
              </w:rPr>
              <w:t xml:space="preserve">Pour certains profils plus </w:t>
            </w:r>
            <w:r w:rsidRPr="00664F53">
              <w:rPr>
                <w:rStyle w:val="lev"/>
                <w:rFonts w:ascii="Georgia" w:eastAsiaTheme="majorEastAsia" w:hAnsi="Georgia" w:cstheme="minorHAnsi"/>
                <w:b w:val="0"/>
                <w:bCs w:val="0"/>
                <w:sz w:val="18"/>
                <w:szCs w:val="18"/>
              </w:rPr>
              <w:t>techniques / back-office</w:t>
            </w:r>
            <w:r w:rsidRPr="00664F53">
              <w:rPr>
                <w:rFonts w:ascii="Georgia" w:hAnsi="Georgia" w:cstheme="minorHAnsi"/>
                <w:sz w:val="18"/>
                <w:szCs w:val="18"/>
              </w:rPr>
              <w:t xml:space="preserve"> (p. ex. conception pédagogique, stratégie), la maîtrise du kirundi </w:t>
            </w:r>
            <w:r w:rsidRPr="00664F53">
              <w:rPr>
                <w:rStyle w:val="lev"/>
                <w:rFonts w:ascii="Georgia" w:eastAsiaTheme="majorEastAsia" w:hAnsi="Georgia" w:cstheme="minorHAnsi"/>
                <w:b w:val="0"/>
                <w:bCs w:val="0"/>
                <w:sz w:val="18"/>
                <w:szCs w:val="18"/>
              </w:rPr>
              <w:t>n’est pas exigée</w:t>
            </w:r>
            <w:r w:rsidRPr="00664F53">
              <w:rPr>
                <w:rFonts w:ascii="Georgia" w:hAnsi="Georgia" w:cstheme="minorHAnsi"/>
                <w:sz w:val="18"/>
                <w:szCs w:val="18"/>
              </w:rPr>
              <w:t xml:space="preserve"> </w:t>
            </w:r>
            <w:r w:rsidRPr="00664F53">
              <w:rPr>
                <w:rStyle w:val="lev"/>
                <w:rFonts w:ascii="Georgia" w:eastAsiaTheme="majorEastAsia" w:hAnsi="Georgia" w:cstheme="minorHAnsi"/>
                <w:b w:val="0"/>
                <w:bCs w:val="0"/>
                <w:sz w:val="18"/>
                <w:szCs w:val="18"/>
              </w:rPr>
              <w:t>si</w:t>
            </w:r>
            <w:r w:rsidRPr="00664F53">
              <w:rPr>
                <w:rFonts w:ascii="Georgia" w:hAnsi="Georgia" w:cstheme="minorHAnsi"/>
                <w:sz w:val="18"/>
                <w:szCs w:val="18"/>
              </w:rPr>
              <w:t xml:space="preserve"> la </w:t>
            </w:r>
            <w:r w:rsidRPr="00664F53">
              <w:rPr>
                <w:rStyle w:val="lev"/>
                <w:rFonts w:ascii="Georgia" w:eastAsiaTheme="majorEastAsia" w:hAnsi="Georgia" w:cstheme="minorHAnsi"/>
                <w:b w:val="0"/>
                <w:bCs w:val="0"/>
                <w:sz w:val="18"/>
                <w:szCs w:val="18"/>
              </w:rPr>
              <w:t>complémentarité</w:t>
            </w:r>
            <w:r w:rsidRPr="00664F53">
              <w:rPr>
                <w:rFonts w:ascii="Georgia" w:hAnsi="Georgia" w:cstheme="minorHAnsi"/>
                <w:sz w:val="18"/>
                <w:szCs w:val="18"/>
              </w:rPr>
              <w:t xml:space="preserve"> avec un </w:t>
            </w:r>
            <w:r w:rsidRPr="00664F53">
              <w:rPr>
                <w:rStyle w:val="lev"/>
                <w:rFonts w:ascii="Georgia" w:eastAsiaTheme="majorEastAsia" w:hAnsi="Georgia" w:cstheme="minorHAnsi"/>
                <w:b w:val="0"/>
                <w:bCs w:val="0"/>
                <w:sz w:val="18"/>
                <w:szCs w:val="18"/>
              </w:rPr>
              <w:t xml:space="preserve">binôme </w:t>
            </w:r>
            <w:proofErr w:type="spellStart"/>
            <w:r w:rsidRPr="00664F53">
              <w:rPr>
                <w:rStyle w:val="lev"/>
                <w:rFonts w:ascii="Georgia" w:eastAsiaTheme="majorEastAsia" w:hAnsi="Georgia" w:cstheme="minorHAnsi"/>
                <w:b w:val="0"/>
                <w:bCs w:val="0"/>
                <w:sz w:val="18"/>
                <w:szCs w:val="18"/>
              </w:rPr>
              <w:t>kirundophone</w:t>
            </w:r>
            <w:proofErr w:type="spellEnd"/>
            <w:r w:rsidRPr="00664F53">
              <w:rPr>
                <w:rFonts w:ascii="Georgia" w:hAnsi="Georgia" w:cstheme="minorHAnsi"/>
                <w:sz w:val="18"/>
                <w:szCs w:val="18"/>
              </w:rPr>
              <w:t xml:space="preserve"> est clairement démontrée. </w:t>
            </w:r>
          </w:p>
          <w:p w14:paraId="5643B737" w14:textId="18113840" w:rsidR="00664F53" w:rsidRPr="00664F53" w:rsidRDefault="00664F53" w:rsidP="00466391">
            <w:pPr>
              <w:jc w:val="both"/>
              <w:rPr>
                <w:rFonts w:ascii="Georgia" w:hAnsi="Georgia"/>
                <w:sz w:val="18"/>
                <w:szCs w:val="18"/>
              </w:rPr>
            </w:pPr>
            <w:r w:rsidRPr="00664F53">
              <w:rPr>
                <w:rFonts w:ascii="Georgia" w:hAnsi="Georgia" w:cstheme="minorHAnsi"/>
                <w:sz w:val="18"/>
                <w:szCs w:val="18"/>
              </w:rPr>
              <w:t xml:space="preserve">Votre </w:t>
            </w:r>
            <w:r w:rsidRPr="00664F53">
              <w:rPr>
                <w:rStyle w:val="lev"/>
                <w:rFonts w:ascii="Georgia" w:eastAsiaTheme="majorEastAsia" w:hAnsi="Georgia" w:cstheme="minorHAnsi"/>
                <w:b w:val="0"/>
                <w:bCs w:val="0"/>
                <w:sz w:val="18"/>
                <w:szCs w:val="18"/>
              </w:rPr>
              <w:t>note méthodologique</w:t>
            </w:r>
            <w:r w:rsidRPr="00664F53">
              <w:rPr>
                <w:rFonts w:ascii="Georgia" w:hAnsi="Georgia" w:cstheme="minorHAnsi"/>
                <w:sz w:val="18"/>
                <w:szCs w:val="18"/>
              </w:rPr>
              <w:t xml:space="preserve"> doit expliquer </w:t>
            </w:r>
            <w:r w:rsidRPr="00664F53">
              <w:rPr>
                <w:rStyle w:val="lev"/>
                <w:rFonts w:ascii="Georgia" w:eastAsiaTheme="majorEastAsia" w:hAnsi="Georgia" w:cstheme="minorHAnsi"/>
                <w:b w:val="0"/>
                <w:bCs w:val="0"/>
                <w:sz w:val="18"/>
                <w:szCs w:val="18"/>
              </w:rPr>
              <w:t>comment</w:t>
            </w:r>
            <w:r w:rsidRPr="00664F53">
              <w:rPr>
                <w:rFonts w:ascii="Georgia" w:hAnsi="Georgia" w:cstheme="minorHAnsi"/>
                <w:sz w:val="18"/>
                <w:szCs w:val="18"/>
              </w:rPr>
              <w:t xml:space="preserve"> vous organisez cette articulation et la complémentarité au service des résultats. </w:t>
            </w:r>
          </w:p>
        </w:tc>
      </w:tr>
      <w:tr w:rsidR="00664F53" w:rsidRPr="005B36B6" w14:paraId="414B1520" w14:textId="77777777" w:rsidTr="00664F53">
        <w:tc>
          <w:tcPr>
            <w:tcW w:w="156" w:type="pct"/>
          </w:tcPr>
          <w:p w14:paraId="60A3B8F9" w14:textId="77777777" w:rsidR="00664F53" w:rsidRPr="005B36B6" w:rsidRDefault="00664F53" w:rsidP="00466391">
            <w:pPr>
              <w:rPr>
                <w:rFonts w:ascii="Georgia" w:hAnsi="Georgia"/>
                <w:sz w:val="18"/>
                <w:szCs w:val="18"/>
              </w:rPr>
            </w:pPr>
          </w:p>
        </w:tc>
        <w:tc>
          <w:tcPr>
            <w:tcW w:w="2543" w:type="pct"/>
          </w:tcPr>
          <w:p w14:paraId="6B850D9C"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t>Aspects administratifs</w:t>
            </w:r>
          </w:p>
          <w:p w14:paraId="171F91B5" w14:textId="67EF8A30"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5. Faut-il présenter des références, diplômes et attestations de bonne exécution pour chaque expert proposé ou avec les 3 références au minimum du soumissionnaire (bureau/institution) par lot suffit ?</w:t>
            </w:r>
          </w:p>
          <w:p w14:paraId="03FC00CD" w14:textId="42CDC82C"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07DA3B07" w14:textId="77777777" w:rsidR="00664F53" w:rsidRPr="00664F53" w:rsidRDefault="00664F53" w:rsidP="00466391">
            <w:pPr>
              <w:pStyle w:val="NormalWeb"/>
              <w:jc w:val="both"/>
              <w:rPr>
                <w:rFonts w:ascii="Georgia" w:hAnsi="Georgia" w:cstheme="minorHAnsi"/>
                <w:sz w:val="18"/>
                <w:szCs w:val="18"/>
              </w:rPr>
            </w:pPr>
            <w:r w:rsidRPr="00664F53">
              <w:rPr>
                <w:rStyle w:val="lev"/>
                <w:rFonts w:ascii="Georgia" w:eastAsiaTheme="majorEastAsia" w:hAnsi="Georgia" w:cstheme="minorHAnsi"/>
                <w:b w:val="0"/>
                <w:bCs w:val="0"/>
                <w:sz w:val="18"/>
                <w:szCs w:val="18"/>
              </w:rPr>
              <w:t>Oui</w:t>
            </w:r>
            <w:r w:rsidRPr="00664F53">
              <w:rPr>
                <w:rFonts w:ascii="Georgia" w:hAnsi="Georgia" w:cstheme="minorHAnsi"/>
                <w:sz w:val="18"/>
                <w:szCs w:val="18"/>
              </w:rPr>
              <w:t xml:space="preserve">, il faut un </w:t>
            </w:r>
            <w:r w:rsidRPr="00664F53">
              <w:rPr>
                <w:rStyle w:val="lev"/>
                <w:rFonts w:ascii="Georgia" w:eastAsiaTheme="majorEastAsia" w:hAnsi="Georgia" w:cstheme="minorHAnsi"/>
                <w:b w:val="0"/>
                <w:bCs w:val="0"/>
                <w:sz w:val="18"/>
                <w:szCs w:val="18"/>
              </w:rPr>
              <w:t>CV + attestation d’exclusivité</w:t>
            </w:r>
            <w:r w:rsidRPr="00664F53">
              <w:rPr>
                <w:rFonts w:ascii="Georgia" w:hAnsi="Georgia" w:cstheme="minorHAnsi"/>
                <w:sz w:val="18"/>
                <w:szCs w:val="18"/>
              </w:rPr>
              <w:t xml:space="preserve"> pour </w:t>
            </w:r>
            <w:r w:rsidRPr="00664F53">
              <w:rPr>
                <w:rStyle w:val="lev"/>
                <w:rFonts w:ascii="Georgia" w:eastAsiaTheme="majorEastAsia" w:hAnsi="Georgia" w:cstheme="minorHAnsi"/>
                <w:b w:val="0"/>
                <w:bCs w:val="0"/>
                <w:sz w:val="18"/>
                <w:szCs w:val="18"/>
              </w:rPr>
              <w:t>chaque expert</w:t>
            </w:r>
            <w:r w:rsidRPr="00664F53">
              <w:rPr>
                <w:rFonts w:ascii="Georgia" w:hAnsi="Georgia" w:cstheme="minorHAnsi"/>
                <w:sz w:val="18"/>
                <w:szCs w:val="18"/>
              </w:rPr>
              <w:t>.</w:t>
            </w:r>
          </w:p>
          <w:p w14:paraId="5A172C05" w14:textId="77777777" w:rsidR="00664F53" w:rsidRPr="00664F53" w:rsidRDefault="00664F53" w:rsidP="00466391">
            <w:pPr>
              <w:pStyle w:val="NormalWeb"/>
              <w:jc w:val="both"/>
              <w:rPr>
                <w:rFonts w:ascii="Georgia" w:hAnsi="Georgia" w:cstheme="minorHAnsi"/>
                <w:sz w:val="18"/>
                <w:szCs w:val="18"/>
              </w:rPr>
            </w:pPr>
            <w:r w:rsidRPr="00664F53">
              <w:rPr>
                <w:rFonts w:ascii="Georgia" w:hAnsi="Georgia" w:cstheme="minorHAnsi"/>
                <w:sz w:val="18"/>
                <w:szCs w:val="18"/>
              </w:rPr>
              <w:t xml:space="preserve">Les </w:t>
            </w:r>
            <w:r w:rsidRPr="00664F53">
              <w:rPr>
                <w:rStyle w:val="lev"/>
                <w:rFonts w:ascii="Georgia" w:eastAsiaTheme="majorEastAsia" w:hAnsi="Georgia" w:cstheme="minorHAnsi"/>
                <w:b w:val="0"/>
                <w:bCs w:val="0"/>
                <w:sz w:val="18"/>
                <w:szCs w:val="18"/>
              </w:rPr>
              <w:t>attestations de bonne exécution</w:t>
            </w:r>
            <w:r w:rsidRPr="00664F53">
              <w:rPr>
                <w:rFonts w:ascii="Georgia" w:hAnsi="Georgia" w:cstheme="minorHAnsi"/>
                <w:sz w:val="18"/>
                <w:szCs w:val="18"/>
              </w:rPr>
              <w:t xml:space="preserve"> se rattachent aux </w:t>
            </w:r>
            <w:r w:rsidRPr="00664F53">
              <w:rPr>
                <w:rStyle w:val="lev"/>
                <w:rFonts w:ascii="Georgia" w:eastAsiaTheme="majorEastAsia" w:hAnsi="Georgia" w:cstheme="minorHAnsi"/>
                <w:b w:val="0"/>
                <w:bCs w:val="0"/>
                <w:sz w:val="18"/>
                <w:szCs w:val="18"/>
              </w:rPr>
              <w:t>références du soumissionnaire</w:t>
            </w:r>
            <w:r w:rsidRPr="00664F53">
              <w:rPr>
                <w:rFonts w:ascii="Georgia" w:hAnsi="Georgia" w:cstheme="minorHAnsi"/>
                <w:sz w:val="18"/>
                <w:szCs w:val="18"/>
              </w:rPr>
              <w:t xml:space="preserve"> (pas à chaque expert).</w:t>
            </w:r>
          </w:p>
          <w:p w14:paraId="75B771DD" w14:textId="4600A9A9" w:rsidR="00664F53" w:rsidRPr="00664F53" w:rsidRDefault="00664F53" w:rsidP="00466391">
            <w:pPr>
              <w:jc w:val="both"/>
              <w:rPr>
                <w:rFonts w:ascii="Georgia" w:hAnsi="Georgia"/>
                <w:sz w:val="18"/>
                <w:szCs w:val="18"/>
              </w:rPr>
            </w:pPr>
            <w:r w:rsidRPr="00664F53">
              <w:rPr>
                <w:rFonts w:ascii="Georgia" w:hAnsi="Georgia" w:cstheme="minorHAnsi"/>
                <w:sz w:val="18"/>
                <w:szCs w:val="18"/>
              </w:rPr>
              <w:t xml:space="preserve">Les </w:t>
            </w:r>
            <w:r w:rsidRPr="00664F53">
              <w:rPr>
                <w:rStyle w:val="lev"/>
                <w:rFonts w:ascii="Georgia" w:eastAsiaTheme="majorEastAsia" w:hAnsi="Georgia" w:cstheme="minorHAnsi"/>
                <w:b w:val="0"/>
                <w:bCs w:val="0"/>
                <w:sz w:val="18"/>
                <w:szCs w:val="18"/>
              </w:rPr>
              <w:t>3 références minimales par lot</w:t>
            </w:r>
            <w:r w:rsidRPr="00664F53">
              <w:rPr>
                <w:rFonts w:ascii="Georgia" w:hAnsi="Georgia" w:cstheme="minorHAnsi"/>
                <w:sz w:val="18"/>
                <w:szCs w:val="18"/>
              </w:rPr>
              <w:t xml:space="preserve"> du soumissionnaire </w:t>
            </w:r>
            <w:r w:rsidRPr="00664F53">
              <w:rPr>
                <w:rStyle w:val="lev"/>
                <w:rFonts w:ascii="Georgia" w:eastAsiaTheme="majorEastAsia" w:hAnsi="Georgia" w:cstheme="minorHAnsi"/>
                <w:b w:val="0"/>
                <w:bCs w:val="0"/>
                <w:sz w:val="18"/>
                <w:szCs w:val="18"/>
              </w:rPr>
              <w:t>ne remplacent pas</w:t>
            </w:r>
            <w:r w:rsidRPr="00664F53">
              <w:rPr>
                <w:rFonts w:ascii="Georgia" w:hAnsi="Georgia" w:cstheme="minorHAnsi"/>
                <w:sz w:val="18"/>
                <w:szCs w:val="18"/>
              </w:rPr>
              <w:t xml:space="preserve"> les CV des experts ; ce sont </w:t>
            </w:r>
            <w:r w:rsidRPr="00664F53">
              <w:rPr>
                <w:rStyle w:val="lev"/>
                <w:rFonts w:ascii="Georgia" w:eastAsiaTheme="majorEastAsia" w:hAnsi="Georgia" w:cstheme="minorHAnsi"/>
                <w:b w:val="0"/>
                <w:bCs w:val="0"/>
                <w:sz w:val="18"/>
                <w:szCs w:val="18"/>
              </w:rPr>
              <w:t>deux exigences distinctes</w:t>
            </w:r>
            <w:r w:rsidRPr="00664F53">
              <w:rPr>
                <w:rFonts w:ascii="Georgia" w:hAnsi="Georgia" w:cstheme="minorHAnsi"/>
                <w:sz w:val="18"/>
                <w:szCs w:val="18"/>
              </w:rPr>
              <w:t xml:space="preserve"> du dossier.</w:t>
            </w:r>
          </w:p>
        </w:tc>
      </w:tr>
      <w:tr w:rsidR="00664F53" w:rsidRPr="005B36B6" w14:paraId="03CA51A5" w14:textId="77777777" w:rsidTr="00664F53">
        <w:tc>
          <w:tcPr>
            <w:tcW w:w="156" w:type="pct"/>
          </w:tcPr>
          <w:p w14:paraId="36577440" w14:textId="77777777" w:rsidR="00664F53" w:rsidRPr="005B36B6" w:rsidRDefault="00664F53" w:rsidP="00466391">
            <w:pPr>
              <w:rPr>
                <w:rFonts w:ascii="Georgia" w:hAnsi="Georgia"/>
                <w:sz w:val="18"/>
                <w:szCs w:val="18"/>
              </w:rPr>
            </w:pPr>
          </w:p>
        </w:tc>
        <w:tc>
          <w:tcPr>
            <w:tcW w:w="2543" w:type="pct"/>
          </w:tcPr>
          <w:p w14:paraId="6C0AD659"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6. A-t-il des cautionnements à considérer pour les entités/operateurs retenus ou cela dépendra des montants engagés dans les contrats spécifiques ?</w:t>
            </w:r>
          </w:p>
          <w:p w14:paraId="54137BFD"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p>
        </w:tc>
        <w:tc>
          <w:tcPr>
            <w:tcW w:w="2301" w:type="pct"/>
          </w:tcPr>
          <w:p w14:paraId="0A88705B" w14:textId="60E9DC47" w:rsidR="00664F53" w:rsidRPr="00664F53" w:rsidRDefault="00664F53" w:rsidP="00466391">
            <w:pPr>
              <w:jc w:val="both"/>
              <w:rPr>
                <w:rFonts w:ascii="Georgia" w:hAnsi="Georgia"/>
                <w:sz w:val="18"/>
                <w:szCs w:val="18"/>
              </w:rPr>
            </w:pPr>
            <w:r w:rsidRPr="00664F53">
              <w:rPr>
                <w:rStyle w:val="lev"/>
                <w:rFonts w:ascii="Georgia" w:hAnsi="Georgia" w:cstheme="minorHAnsi"/>
                <w:b w:val="0"/>
                <w:bCs w:val="0"/>
                <w:sz w:val="18"/>
                <w:szCs w:val="18"/>
                <w:lang w:val="fr-BE"/>
              </w:rPr>
              <w:t>Oui, un cautionnement est exigé pour chaque marché spécifique</w:t>
            </w:r>
            <w:r w:rsidRPr="00664F53">
              <w:rPr>
                <w:rFonts w:ascii="Georgia" w:hAnsi="Georgia" w:cstheme="minorHAnsi"/>
                <w:sz w:val="18"/>
                <w:szCs w:val="18"/>
                <w:lang w:val="fr-BE"/>
              </w:rPr>
              <w:t xml:space="preserve"> passé sur base de l’accord-cadre. Son </w:t>
            </w:r>
            <w:r w:rsidRPr="00664F53">
              <w:rPr>
                <w:rStyle w:val="lev"/>
                <w:rFonts w:ascii="Georgia" w:hAnsi="Georgia" w:cstheme="minorHAnsi"/>
                <w:b w:val="0"/>
                <w:bCs w:val="0"/>
                <w:sz w:val="18"/>
                <w:szCs w:val="18"/>
                <w:lang w:val="fr-BE"/>
              </w:rPr>
              <w:t>montant est de 5 %</w:t>
            </w:r>
            <w:r w:rsidRPr="00664F53">
              <w:rPr>
                <w:rFonts w:ascii="Georgia" w:hAnsi="Georgia" w:cstheme="minorHAnsi"/>
                <w:sz w:val="18"/>
                <w:szCs w:val="18"/>
                <w:lang w:val="fr-BE"/>
              </w:rPr>
              <w:t xml:space="preserve"> du montant total </w:t>
            </w:r>
            <w:r w:rsidRPr="00664F53">
              <w:rPr>
                <w:rStyle w:val="lev"/>
                <w:rFonts w:ascii="Georgia" w:hAnsi="Georgia" w:cstheme="minorHAnsi"/>
                <w:b w:val="0"/>
                <w:bCs w:val="0"/>
                <w:sz w:val="18"/>
                <w:szCs w:val="18"/>
                <w:lang w:val="fr-BE"/>
              </w:rPr>
              <w:t>HTVA</w:t>
            </w:r>
            <w:r w:rsidRPr="00664F53">
              <w:rPr>
                <w:rFonts w:ascii="Georgia" w:hAnsi="Georgia" w:cstheme="minorHAnsi"/>
                <w:sz w:val="18"/>
                <w:szCs w:val="18"/>
                <w:lang w:val="fr-BE"/>
              </w:rPr>
              <w:t xml:space="preserve"> du marché subséquent, </w:t>
            </w:r>
            <w:r w:rsidRPr="00664F53">
              <w:rPr>
                <w:rStyle w:val="lev"/>
                <w:rFonts w:ascii="Georgia" w:hAnsi="Georgia" w:cstheme="minorHAnsi"/>
                <w:b w:val="0"/>
                <w:bCs w:val="0"/>
                <w:sz w:val="18"/>
                <w:szCs w:val="18"/>
                <w:lang w:val="fr-BE"/>
              </w:rPr>
              <w:t>sauf si le montant du marché est &lt; 50 000 € HTVA</w:t>
            </w:r>
            <w:r w:rsidRPr="00664F53">
              <w:rPr>
                <w:rFonts w:ascii="Georgia" w:hAnsi="Georgia" w:cstheme="minorHAnsi"/>
                <w:sz w:val="18"/>
                <w:szCs w:val="18"/>
                <w:lang w:val="fr-BE"/>
              </w:rPr>
              <w:t xml:space="preserve"> ou si le délai d’exécution est de moins de 45 jours calendriers (dans ce cas, pas de cautionnement).</w:t>
            </w:r>
          </w:p>
        </w:tc>
      </w:tr>
      <w:tr w:rsidR="00664F53" w:rsidRPr="005B36B6" w14:paraId="61E3B3F3" w14:textId="77777777" w:rsidTr="00664F53">
        <w:tc>
          <w:tcPr>
            <w:tcW w:w="156" w:type="pct"/>
          </w:tcPr>
          <w:p w14:paraId="7A629D93" w14:textId="77777777" w:rsidR="00664F53" w:rsidRPr="005B36B6" w:rsidRDefault="00664F53" w:rsidP="00466391">
            <w:pPr>
              <w:rPr>
                <w:rFonts w:ascii="Georgia" w:hAnsi="Georgia"/>
                <w:sz w:val="18"/>
                <w:szCs w:val="18"/>
              </w:rPr>
            </w:pPr>
          </w:p>
        </w:tc>
        <w:tc>
          <w:tcPr>
            <w:tcW w:w="2543" w:type="pct"/>
          </w:tcPr>
          <w:p w14:paraId="04FC44B9"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7. Le résultat du short listing (fin de l’étape 1 de sélection) concernera 2 ou 3 operateurs par lot ?</w:t>
            </w:r>
          </w:p>
          <w:p w14:paraId="5CE517EA"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Il y a les des informations contradictoires sur le nombre des opérateurs que se mettrons en concurrence à l’intérieur du contrat cadre dans les CSC.</w:t>
            </w:r>
          </w:p>
          <w:p w14:paraId="3444188C"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p>
        </w:tc>
        <w:tc>
          <w:tcPr>
            <w:tcW w:w="2301" w:type="pct"/>
          </w:tcPr>
          <w:p w14:paraId="336E8E59" w14:textId="748FF2FD" w:rsidR="00664F53" w:rsidRPr="00664F53" w:rsidRDefault="00664F53" w:rsidP="00466391">
            <w:pPr>
              <w:jc w:val="both"/>
              <w:rPr>
                <w:rFonts w:ascii="Georgia" w:hAnsi="Georgia"/>
                <w:sz w:val="18"/>
                <w:szCs w:val="18"/>
              </w:rPr>
            </w:pPr>
            <w:r w:rsidRPr="00664F53">
              <w:rPr>
                <w:rFonts w:ascii="Georgia" w:hAnsi="Georgia" w:cstheme="minorHAnsi"/>
                <w:sz w:val="18"/>
                <w:szCs w:val="18"/>
                <w:lang w:val="fr-BE"/>
              </w:rPr>
              <w:t xml:space="preserve">Nous confirmons qu’une </w:t>
            </w:r>
            <w:r w:rsidRPr="00664F53">
              <w:rPr>
                <w:rStyle w:val="lev"/>
                <w:rFonts w:ascii="Georgia" w:hAnsi="Georgia" w:cstheme="minorHAnsi"/>
                <w:b w:val="0"/>
                <w:bCs w:val="0"/>
                <w:sz w:val="18"/>
                <w:szCs w:val="18"/>
                <w:lang w:val="fr-BE"/>
              </w:rPr>
              <w:t>incohérence de rédaction</w:t>
            </w:r>
            <w:r w:rsidRPr="00664F53">
              <w:rPr>
                <w:rFonts w:ascii="Georgia" w:hAnsi="Georgia" w:cstheme="minorHAnsi"/>
                <w:sz w:val="18"/>
                <w:szCs w:val="18"/>
                <w:lang w:val="fr-BE"/>
              </w:rPr>
              <w:t xml:space="preserve"> figure dans le dossier : le §2.2 mentionne </w:t>
            </w:r>
            <w:r w:rsidRPr="00664F53">
              <w:rPr>
                <w:rStyle w:val="lev"/>
                <w:rFonts w:ascii="Georgia" w:hAnsi="Georgia" w:cstheme="minorHAnsi"/>
                <w:b w:val="0"/>
                <w:bCs w:val="0"/>
                <w:sz w:val="18"/>
                <w:szCs w:val="18"/>
                <w:lang w:val="fr-BE"/>
              </w:rPr>
              <w:t>deux (2)</w:t>
            </w:r>
            <w:r w:rsidRPr="00664F53">
              <w:rPr>
                <w:rFonts w:ascii="Georgia" w:hAnsi="Georgia" w:cstheme="minorHAnsi"/>
                <w:sz w:val="18"/>
                <w:szCs w:val="18"/>
                <w:lang w:val="fr-BE"/>
              </w:rPr>
              <w:t xml:space="preserve"> participants par lot, tandis que le §3.5 fait référence à </w:t>
            </w:r>
            <w:r w:rsidRPr="00664F53">
              <w:rPr>
                <w:rStyle w:val="lev"/>
                <w:rFonts w:ascii="Georgia" w:hAnsi="Georgia" w:cstheme="minorHAnsi"/>
                <w:b w:val="0"/>
                <w:bCs w:val="0"/>
                <w:sz w:val="18"/>
                <w:szCs w:val="18"/>
                <w:lang w:val="fr-BE"/>
              </w:rPr>
              <w:t>trois (3)</w:t>
            </w:r>
            <w:r w:rsidRPr="00664F53">
              <w:rPr>
                <w:rFonts w:ascii="Georgia" w:hAnsi="Georgia" w:cstheme="minorHAnsi"/>
                <w:sz w:val="18"/>
                <w:szCs w:val="18"/>
                <w:lang w:val="fr-BE"/>
              </w:rPr>
              <w:t>.</w:t>
            </w:r>
            <w:r w:rsidRPr="00664F53">
              <w:rPr>
                <w:rFonts w:ascii="Georgia" w:hAnsi="Georgia" w:cstheme="minorHAnsi"/>
                <w:sz w:val="18"/>
                <w:szCs w:val="18"/>
                <w:lang w:val="fr-BE"/>
              </w:rPr>
              <w:br/>
            </w:r>
            <w:r w:rsidRPr="00664F53">
              <w:rPr>
                <w:rStyle w:val="lev"/>
                <w:rFonts w:ascii="Georgia" w:hAnsi="Georgia" w:cstheme="minorHAnsi"/>
                <w:b w:val="0"/>
                <w:bCs w:val="0"/>
                <w:sz w:val="18"/>
                <w:szCs w:val="18"/>
                <w:lang w:val="fr-BE"/>
              </w:rPr>
              <w:t>Position appliquée</w:t>
            </w:r>
            <w:r w:rsidRPr="00664F53">
              <w:rPr>
                <w:rFonts w:ascii="Georgia" w:hAnsi="Georgia" w:cstheme="minorHAnsi"/>
                <w:sz w:val="18"/>
                <w:szCs w:val="18"/>
                <w:lang w:val="fr-BE"/>
              </w:rPr>
              <w:t xml:space="preserve"> : le nombre de participants à l’accord-cadre sera de </w:t>
            </w:r>
            <w:r w:rsidRPr="00664F53">
              <w:rPr>
                <w:rStyle w:val="lev"/>
                <w:rFonts w:ascii="Georgia" w:hAnsi="Georgia" w:cstheme="minorHAnsi"/>
                <w:b w:val="0"/>
                <w:bCs w:val="0"/>
                <w:sz w:val="18"/>
                <w:szCs w:val="18"/>
                <w:lang w:val="fr-BE"/>
              </w:rPr>
              <w:t>deux (2) par lot</w:t>
            </w:r>
            <w:r w:rsidRPr="00664F53">
              <w:rPr>
                <w:rFonts w:ascii="Georgia" w:hAnsi="Georgia" w:cstheme="minorHAnsi"/>
                <w:sz w:val="18"/>
                <w:szCs w:val="18"/>
                <w:lang w:val="fr-BE"/>
              </w:rPr>
              <w:t xml:space="preserve"> comme indiqué au §2.2. Les occurrences de « trois participants » au §3.5 </w:t>
            </w:r>
            <w:r w:rsidRPr="00664F53">
              <w:rPr>
                <w:rFonts w:ascii="Georgia" w:hAnsi="Georgia" w:cstheme="minorHAnsi"/>
                <w:sz w:val="18"/>
                <w:szCs w:val="18"/>
                <w:lang w:val="fr-BE"/>
              </w:rPr>
              <w:lastRenderedPageBreak/>
              <w:t xml:space="preserve">seront </w:t>
            </w:r>
            <w:r w:rsidRPr="00664F53">
              <w:rPr>
                <w:rStyle w:val="lev"/>
                <w:rFonts w:ascii="Georgia" w:hAnsi="Georgia" w:cstheme="minorHAnsi"/>
                <w:b w:val="0"/>
                <w:bCs w:val="0"/>
                <w:sz w:val="18"/>
                <w:szCs w:val="18"/>
                <w:lang w:val="fr-BE"/>
              </w:rPr>
              <w:t>corrigées</w:t>
            </w:r>
            <w:r w:rsidRPr="00664F53">
              <w:rPr>
                <w:rFonts w:ascii="Georgia" w:hAnsi="Georgia" w:cstheme="minorHAnsi"/>
                <w:sz w:val="18"/>
                <w:szCs w:val="18"/>
                <w:lang w:val="fr-BE"/>
              </w:rPr>
              <w:t xml:space="preserve"> par une communication de clarification/erratum.</w:t>
            </w:r>
            <w:r w:rsidRPr="00664F53">
              <w:rPr>
                <w:rFonts w:ascii="Georgia" w:hAnsi="Georgia" w:cstheme="minorHAnsi"/>
                <w:sz w:val="18"/>
                <w:szCs w:val="18"/>
                <w:lang w:val="fr-BE"/>
              </w:rPr>
              <w:br/>
              <w:t>Cela n’affecte pas la suite de la procédure : les participants retenus seront invités à remettre des offres pour les marchés spécifiques conformément au §3.5 ajusté.</w:t>
            </w:r>
          </w:p>
        </w:tc>
      </w:tr>
      <w:tr w:rsidR="00664F53" w:rsidRPr="005B36B6" w14:paraId="2E3F21E9" w14:textId="77777777" w:rsidTr="00664F53">
        <w:tc>
          <w:tcPr>
            <w:tcW w:w="156" w:type="pct"/>
          </w:tcPr>
          <w:p w14:paraId="623C9692" w14:textId="77777777" w:rsidR="00664F53" w:rsidRPr="005B36B6" w:rsidRDefault="00664F53" w:rsidP="00466391">
            <w:pPr>
              <w:rPr>
                <w:rFonts w:ascii="Georgia" w:hAnsi="Georgia"/>
                <w:sz w:val="18"/>
                <w:szCs w:val="18"/>
              </w:rPr>
            </w:pPr>
          </w:p>
        </w:tc>
        <w:tc>
          <w:tcPr>
            <w:tcW w:w="2543" w:type="pct"/>
          </w:tcPr>
          <w:p w14:paraId="75BEDA14"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8. Au stade de propositions spécifiques, doit-on se limiter aux profils déjà identifiés maintenant, ou peut-on proposer une équipe élargie/adaptée ?</w:t>
            </w:r>
          </w:p>
          <w:p w14:paraId="49693C66"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p>
        </w:tc>
        <w:tc>
          <w:tcPr>
            <w:tcW w:w="2301" w:type="pct"/>
          </w:tcPr>
          <w:p w14:paraId="653EFB54" w14:textId="4D8DD7DA" w:rsidR="00664F53" w:rsidRPr="00664F53" w:rsidRDefault="00664F53" w:rsidP="00466391">
            <w:pPr>
              <w:jc w:val="both"/>
              <w:rPr>
                <w:rFonts w:ascii="Georgia" w:hAnsi="Georgia"/>
                <w:sz w:val="18"/>
                <w:szCs w:val="18"/>
              </w:rPr>
            </w:pPr>
            <w:r w:rsidRPr="00664F53">
              <w:rPr>
                <w:rFonts w:ascii="Georgia" w:hAnsi="Georgia" w:cstheme="minorHAnsi"/>
                <w:sz w:val="18"/>
                <w:szCs w:val="18"/>
                <w:lang w:val="fr-BE"/>
              </w:rPr>
              <w:t xml:space="preserve">Vous </w:t>
            </w:r>
            <w:r w:rsidRPr="00664F53">
              <w:rPr>
                <w:rStyle w:val="lev"/>
                <w:rFonts w:ascii="Georgia" w:hAnsi="Georgia" w:cstheme="minorHAnsi"/>
                <w:b w:val="0"/>
                <w:bCs w:val="0"/>
                <w:sz w:val="18"/>
                <w:szCs w:val="18"/>
                <w:lang w:val="fr-BE"/>
              </w:rPr>
              <w:t>ne vous limitez pas</w:t>
            </w:r>
            <w:r w:rsidRPr="00664F53">
              <w:rPr>
                <w:rFonts w:ascii="Georgia" w:hAnsi="Georgia" w:cstheme="minorHAnsi"/>
                <w:sz w:val="18"/>
                <w:szCs w:val="18"/>
                <w:lang w:val="fr-BE"/>
              </w:rPr>
              <w:t xml:space="preserve"> strictement aux 4 profils de base : ceux-ci restent </w:t>
            </w:r>
            <w:r w:rsidRPr="00664F53">
              <w:rPr>
                <w:rStyle w:val="lev"/>
                <w:rFonts w:ascii="Georgia" w:hAnsi="Georgia" w:cstheme="minorHAnsi"/>
                <w:b w:val="0"/>
                <w:bCs w:val="0"/>
                <w:sz w:val="18"/>
                <w:szCs w:val="18"/>
                <w:lang w:val="fr-BE"/>
              </w:rPr>
              <w:t>référents et affectés</w:t>
            </w:r>
            <w:r w:rsidRPr="00664F53">
              <w:rPr>
                <w:rFonts w:ascii="Georgia" w:hAnsi="Georgia" w:cstheme="minorHAnsi"/>
                <w:sz w:val="18"/>
                <w:szCs w:val="18"/>
                <w:lang w:val="fr-BE"/>
              </w:rPr>
              <w:t xml:space="preserve">, mais vous pouvez </w:t>
            </w:r>
            <w:r w:rsidRPr="00664F53">
              <w:rPr>
                <w:rStyle w:val="lev"/>
                <w:rFonts w:ascii="Georgia" w:hAnsi="Georgia" w:cstheme="minorHAnsi"/>
                <w:b w:val="0"/>
                <w:bCs w:val="0"/>
                <w:sz w:val="18"/>
                <w:szCs w:val="18"/>
                <w:lang w:val="fr-BE"/>
              </w:rPr>
              <w:t>élargir/adapter</w:t>
            </w:r>
            <w:r w:rsidRPr="00664F53">
              <w:rPr>
                <w:rFonts w:ascii="Georgia" w:hAnsi="Georgia" w:cstheme="minorHAnsi"/>
                <w:sz w:val="18"/>
                <w:szCs w:val="18"/>
                <w:lang w:val="fr-BE"/>
              </w:rPr>
              <w:t xml:space="preserve"> l’équipe via des </w:t>
            </w:r>
            <w:r w:rsidRPr="00664F53">
              <w:rPr>
                <w:rStyle w:val="lev"/>
                <w:rFonts w:ascii="Georgia" w:hAnsi="Georgia" w:cstheme="minorHAnsi"/>
                <w:b w:val="0"/>
                <w:bCs w:val="0"/>
                <w:sz w:val="18"/>
                <w:szCs w:val="18"/>
                <w:lang w:val="fr-BE"/>
              </w:rPr>
              <w:t>profils complémentaires</w:t>
            </w:r>
            <w:r w:rsidRPr="00664F53">
              <w:rPr>
                <w:rFonts w:ascii="Georgia" w:hAnsi="Georgia" w:cstheme="minorHAnsi"/>
                <w:sz w:val="18"/>
                <w:szCs w:val="18"/>
                <w:lang w:val="fr-BE"/>
              </w:rPr>
              <w:t xml:space="preserve"> (déjà présentés) et, si besoin, </w:t>
            </w:r>
            <w:r w:rsidRPr="00664F53">
              <w:rPr>
                <w:rStyle w:val="lev"/>
                <w:rFonts w:ascii="Georgia" w:hAnsi="Georgia" w:cstheme="minorHAnsi"/>
                <w:b w:val="0"/>
                <w:bCs w:val="0"/>
                <w:sz w:val="18"/>
                <w:szCs w:val="18"/>
                <w:lang w:val="fr-BE"/>
              </w:rPr>
              <w:t>activer de nouvelles expertises</w:t>
            </w:r>
            <w:r w:rsidRPr="00664F53">
              <w:rPr>
                <w:rFonts w:ascii="Georgia" w:hAnsi="Georgia" w:cstheme="minorHAnsi"/>
                <w:sz w:val="18"/>
                <w:szCs w:val="18"/>
                <w:lang w:val="fr-BE"/>
              </w:rPr>
              <w:t xml:space="preserve"> sur demande d’Enabel et </w:t>
            </w:r>
            <w:r w:rsidRPr="00664F53">
              <w:rPr>
                <w:rStyle w:val="lev"/>
                <w:rFonts w:ascii="Georgia" w:hAnsi="Georgia" w:cstheme="minorHAnsi"/>
                <w:b w:val="0"/>
                <w:bCs w:val="0"/>
                <w:sz w:val="18"/>
                <w:szCs w:val="18"/>
                <w:lang w:val="fr-BE"/>
              </w:rPr>
              <w:t>avec validation</w:t>
            </w:r>
            <w:r w:rsidRPr="00664F53">
              <w:rPr>
                <w:rFonts w:ascii="Georgia" w:hAnsi="Georgia" w:cstheme="minorHAnsi"/>
                <w:sz w:val="18"/>
                <w:szCs w:val="18"/>
                <w:lang w:val="fr-BE"/>
              </w:rPr>
              <w:t xml:space="preserve"> préalable. Toute </w:t>
            </w:r>
            <w:r w:rsidRPr="00664F53">
              <w:rPr>
                <w:rStyle w:val="lev"/>
                <w:rFonts w:ascii="Georgia" w:hAnsi="Georgia" w:cstheme="minorHAnsi"/>
                <w:b w:val="0"/>
                <w:bCs w:val="0"/>
                <w:sz w:val="18"/>
                <w:szCs w:val="18"/>
                <w:lang w:val="fr-BE"/>
              </w:rPr>
              <w:t>substitution</w:t>
            </w:r>
            <w:r w:rsidRPr="00664F53">
              <w:rPr>
                <w:rFonts w:ascii="Georgia" w:hAnsi="Georgia" w:cstheme="minorHAnsi"/>
                <w:sz w:val="18"/>
                <w:szCs w:val="18"/>
                <w:lang w:val="fr-BE"/>
              </w:rPr>
              <w:t xml:space="preserve"> d’un profil de base suit la </w:t>
            </w:r>
            <w:r w:rsidRPr="00664F53">
              <w:rPr>
                <w:rStyle w:val="lev"/>
                <w:rFonts w:ascii="Georgia" w:hAnsi="Georgia" w:cstheme="minorHAnsi"/>
                <w:b w:val="0"/>
                <w:bCs w:val="0"/>
                <w:sz w:val="18"/>
                <w:szCs w:val="18"/>
                <w:lang w:val="fr-BE"/>
              </w:rPr>
              <w:t>procédure de remplacement</w:t>
            </w:r>
            <w:r w:rsidRPr="00664F53">
              <w:rPr>
                <w:rFonts w:ascii="Georgia" w:hAnsi="Georgia" w:cstheme="minorHAnsi"/>
                <w:sz w:val="18"/>
                <w:szCs w:val="18"/>
                <w:lang w:val="fr-BE"/>
              </w:rPr>
              <w:t xml:space="preserve"> prévue au CSC.</w:t>
            </w:r>
          </w:p>
        </w:tc>
      </w:tr>
      <w:tr w:rsidR="00664F53" w:rsidRPr="005B36B6" w14:paraId="0928B389" w14:textId="77777777" w:rsidTr="00664F53">
        <w:tc>
          <w:tcPr>
            <w:tcW w:w="156" w:type="pct"/>
          </w:tcPr>
          <w:p w14:paraId="4704C47B" w14:textId="77777777" w:rsidR="00664F53" w:rsidRPr="005B36B6" w:rsidRDefault="00664F53" w:rsidP="00BF4FED">
            <w:pPr>
              <w:rPr>
                <w:rFonts w:ascii="Georgia" w:hAnsi="Georgia"/>
                <w:sz w:val="18"/>
                <w:szCs w:val="18"/>
              </w:rPr>
            </w:pPr>
          </w:p>
        </w:tc>
        <w:tc>
          <w:tcPr>
            <w:tcW w:w="2543" w:type="pct"/>
          </w:tcPr>
          <w:p w14:paraId="50AA6DB8" w14:textId="77777777" w:rsidR="00664F53" w:rsidRPr="005B36B6" w:rsidRDefault="00664F53" w:rsidP="00BF4FED">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9. Compte tenu des conditions administratives qui encadrent la mobilisation des anciens experts d’Enabel (retraités, anciens consultants aujourd’hui indépendants, etc.), sera-t-il possible de proposer des profils qui ne seront mobilisés qu’à partir de mi-2026 ?</w:t>
            </w:r>
          </w:p>
          <w:p w14:paraId="1CF27E8C" w14:textId="77777777" w:rsidR="00664F53" w:rsidRPr="005B36B6" w:rsidRDefault="00664F53" w:rsidP="00BF4FED">
            <w:pPr>
              <w:jc w:val="both"/>
              <w:rPr>
                <w:rFonts w:ascii="Georgia" w:eastAsia="Times New Roman" w:hAnsi="Georgia" w:cs="Calibri"/>
                <w:b/>
                <w:bCs/>
                <w:kern w:val="0"/>
                <w:sz w:val="18"/>
                <w:szCs w:val="18"/>
                <w:lang w:eastAsia="fr-FR"/>
                <w14:ligatures w14:val="none"/>
              </w:rPr>
            </w:pPr>
          </w:p>
        </w:tc>
        <w:tc>
          <w:tcPr>
            <w:tcW w:w="2301" w:type="pct"/>
          </w:tcPr>
          <w:p w14:paraId="692762CB" w14:textId="77777777" w:rsidR="00664F53" w:rsidRPr="00664F53" w:rsidRDefault="00664F53" w:rsidP="00BF4FED">
            <w:pPr>
              <w:pStyle w:val="NormalWeb"/>
              <w:rPr>
                <w:rFonts w:ascii="Georgia" w:hAnsi="Georgia" w:cstheme="minorHAnsi"/>
                <w:sz w:val="18"/>
                <w:szCs w:val="18"/>
              </w:rPr>
            </w:pPr>
            <w:r w:rsidRPr="00664F53">
              <w:rPr>
                <w:rFonts w:ascii="Georgia" w:hAnsi="Georgia" w:cstheme="minorHAnsi"/>
                <w:sz w:val="18"/>
                <w:szCs w:val="18"/>
              </w:rPr>
              <w:t>Oui, c’est possible, sous conditions.</w:t>
            </w:r>
          </w:p>
          <w:p w14:paraId="27060041" w14:textId="77777777" w:rsidR="00664F53" w:rsidRPr="00664F53" w:rsidRDefault="00664F53" w:rsidP="00BF4FED">
            <w:pPr>
              <w:pStyle w:val="NormalWeb"/>
              <w:numPr>
                <w:ilvl w:val="0"/>
                <w:numId w:val="15"/>
              </w:numPr>
              <w:tabs>
                <w:tab w:val="clear" w:pos="720"/>
                <w:tab w:val="num" w:pos="88"/>
              </w:tabs>
              <w:ind w:left="88" w:hanging="141"/>
              <w:jc w:val="both"/>
              <w:rPr>
                <w:rFonts w:ascii="Georgia" w:hAnsi="Georgia" w:cstheme="minorHAnsi"/>
                <w:sz w:val="18"/>
                <w:szCs w:val="18"/>
              </w:rPr>
            </w:pPr>
            <w:r w:rsidRPr="00664F53">
              <w:rPr>
                <w:rFonts w:ascii="Georgia" w:hAnsi="Georgia" w:cstheme="minorHAnsi"/>
                <w:sz w:val="18"/>
                <w:szCs w:val="18"/>
              </w:rPr>
              <w:t xml:space="preserve">L’accord-cadre dure 3 ans (prolongeable jusqu’à 12 mois pour l’exécution des marchés subséquents), donc une disponibilité à partir de mi-2026 reste dans la fenêtre d’exécution prévue. </w:t>
            </w:r>
          </w:p>
          <w:p w14:paraId="2C4496C8" w14:textId="77777777" w:rsidR="00664F53" w:rsidRPr="00664F53" w:rsidRDefault="00664F53" w:rsidP="00BF4FED">
            <w:pPr>
              <w:pStyle w:val="NormalWeb"/>
              <w:numPr>
                <w:ilvl w:val="0"/>
                <w:numId w:val="15"/>
              </w:numPr>
              <w:tabs>
                <w:tab w:val="clear" w:pos="720"/>
                <w:tab w:val="num" w:pos="88"/>
              </w:tabs>
              <w:ind w:left="88" w:hanging="141"/>
              <w:jc w:val="both"/>
              <w:rPr>
                <w:rFonts w:ascii="Georgia" w:hAnsi="Georgia" w:cstheme="minorHAnsi"/>
                <w:sz w:val="18"/>
                <w:szCs w:val="18"/>
              </w:rPr>
            </w:pPr>
            <w:r w:rsidRPr="00664F53">
              <w:rPr>
                <w:rFonts w:ascii="Georgia" w:hAnsi="Georgia" w:cstheme="minorHAnsi"/>
                <w:sz w:val="18"/>
                <w:szCs w:val="18"/>
              </w:rPr>
              <w:t xml:space="preserve">Chaque expert nommément proposé doit néanmoins signer une </w:t>
            </w:r>
            <w:r w:rsidRPr="00664F53">
              <w:rPr>
                <w:rStyle w:val="lev"/>
                <w:rFonts w:ascii="Georgia" w:eastAsiaTheme="majorEastAsia" w:hAnsi="Georgia" w:cstheme="minorHAnsi"/>
                <w:b w:val="0"/>
                <w:bCs w:val="0"/>
                <w:sz w:val="18"/>
                <w:szCs w:val="18"/>
              </w:rPr>
              <w:t>attestation d’exclusivité</w:t>
            </w:r>
            <w:r w:rsidRPr="00664F53">
              <w:rPr>
                <w:rFonts w:ascii="Georgia" w:hAnsi="Georgia" w:cstheme="minorHAnsi"/>
                <w:sz w:val="18"/>
                <w:szCs w:val="18"/>
              </w:rPr>
              <w:t xml:space="preserve"> pour votre offre/lot, et votre offre doit inclure un </w:t>
            </w:r>
            <w:r w:rsidRPr="00664F53">
              <w:rPr>
                <w:rStyle w:val="lev"/>
                <w:rFonts w:ascii="Georgia" w:eastAsiaTheme="majorEastAsia" w:hAnsi="Georgia" w:cstheme="minorHAnsi"/>
                <w:b w:val="0"/>
                <w:bCs w:val="0"/>
                <w:sz w:val="18"/>
                <w:szCs w:val="18"/>
              </w:rPr>
              <w:t>plan de mobilisation</w:t>
            </w:r>
            <w:r w:rsidRPr="00664F53">
              <w:rPr>
                <w:rFonts w:ascii="Georgia" w:hAnsi="Georgia" w:cstheme="minorHAnsi"/>
                <w:sz w:val="18"/>
                <w:szCs w:val="18"/>
              </w:rPr>
              <w:t xml:space="preserve"> montrant comment vous couvrez les besoins (y compris avant mi-2026). </w:t>
            </w:r>
          </w:p>
          <w:p w14:paraId="5E592FFA" w14:textId="77777777" w:rsidR="00664F53" w:rsidRPr="00664F53" w:rsidRDefault="00664F53" w:rsidP="00BF4FED">
            <w:pPr>
              <w:pStyle w:val="NormalWeb"/>
              <w:numPr>
                <w:ilvl w:val="0"/>
                <w:numId w:val="15"/>
              </w:numPr>
              <w:tabs>
                <w:tab w:val="clear" w:pos="720"/>
                <w:tab w:val="num" w:pos="88"/>
              </w:tabs>
              <w:ind w:left="88" w:hanging="141"/>
              <w:jc w:val="both"/>
              <w:rPr>
                <w:rFonts w:ascii="Georgia" w:hAnsi="Georgia" w:cstheme="minorHAnsi"/>
                <w:sz w:val="18"/>
                <w:szCs w:val="18"/>
              </w:rPr>
            </w:pPr>
            <w:r w:rsidRPr="00664F53">
              <w:rPr>
                <w:rFonts w:ascii="Georgia" w:hAnsi="Georgia" w:cstheme="minorHAnsi"/>
                <w:sz w:val="18"/>
                <w:szCs w:val="18"/>
              </w:rPr>
              <w:t xml:space="preserve">Si, au moment d’un marché spécifique, un expert annoncé n’est pas disponible, </w:t>
            </w:r>
            <w:r w:rsidRPr="00664F53">
              <w:rPr>
                <w:rStyle w:val="lev"/>
                <w:rFonts w:ascii="Georgia" w:eastAsiaTheme="majorEastAsia" w:hAnsi="Georgia" w:cstheme="minorHAnsi"/>
                <w:b w:val="0"/>
                <w:bCs w:val="0"/>
                <w:sz w:val="18"/>
                <w:szCs w:val="18"/>
              </w:rPr>
              <w:t>le remplacement est autorisé</w:t>
            </w:r>
            <w:r w:rsidRPr="00664F53">
              <w:rPr>
                <w:rFonts w:ascii="Georgia" w:hAnsi="Georgia" w:cstheme="minorHAnsi"/>
                <w:sz w:val="18"/>
                <w:szCs w:val="18"/>
              </w:rPr>
              <w:t xml:space="preserve"> (expert équivalent, CV à soumettre, acceptation par le PA, période probatoire possible). </w:t>
            </w:r>
          </w:p>
          <w:p w14:paraId="1E9261F0" w14:textId="77777777" w:rsidR="00664F53" w:rsidRPr="00664F53" w:rsidRDefault="00664F53" w:rsidP="00BF4FED">
            <w:pPr>
              <w:pStyle w:val="NormalWeb"/>
              <w:numPr>
                <w:ilvl w:val="0"/>
                <w:numId w:val="15"/>
              </w:numPr>
              <w:tabs>
                <w:tab w:val="clear" w:pos="720"/>
                <w:tab w:val="num" w:pos="88"/>
              </w:tabs>
              <w:ind w:left="88" w:hanging="141"/>
              <w:jc w:val="both"/>
              <w:rPr>
                <w:rFonts w:ascii="Georgia" w:hAnsi="Georgia" w:cstheme="minorHAnsi"/>
                <w:sz w:val="18"/>
                <w:szCs w:val="18"/>
              </w:rPr>
            </w:pPr>
            <w:r w:rsidRPr="00664F53">
              <w:rPr>
                <w:rFonts w:ascii="Georgia" w:hAnsi="Georgia" w:cstheme="minorHAnsi"/>
                <w:sz w:val="18"/>
                <w:szCs w:val="18"/>
              </w:rPr>
              <w:t xml:space="preserve">Attention à la clause « </w:t>
            </w:r>
            <w:r w:rsidRPr="00664F53">
              <w:rPr>
                <w:rStyle w:val="lev"/>
                <w:rFonts w:ascii="Georgia" w:eastAsiaTheme="majorEastAsia" w:hAnsi="Georgia" w:cstheme="minorHAnsi"/>
                <w:b w:val="0"/>
                <w:bCs w:val="0"/>
                <w:sz w:val="18"/>
                <w:szCs w:val="18"/>
              </w:rPr>
              <w:t>tourniquet</w:t>
            </w:r>
            <w:r w:rsidRPr="00664F53">
              <w:rPr>
                <w:rFonts w:ascii="Georgia" w:hAnsi="Georgia" w:cstheme="minorHAnsi"/>
                <w:sz w:val="18"/>
                <w:szCs w:val="18"/>
              </w:rPr>
              <w:t xml:space="preserve"> » (conflit d’intérêts) : il est </w:t>
            </w:r>
            <w:r w:rsidRPr="00664F53">
              <w:rPr>
                <w:rStyle w:val="lev"/>
                <w:rFonts w:ascii="Georgia" w:eastAsiaTheme="majorEastAsia" w:hAnsi="Georgia" w:cstheme="minorHAnsi"/>
                <w:b w:val="0"/>
                <w:bCs w:val="0"/>
                <w:sz w:val="18"/>
                <w:szCs w:val="18"/>
              </w:rPr>
              <w:t>interdit d’impliquer d’anciens collaborateurs d’Enabel (internes ou externes) dans les 2 ans suivant leur départ</w:t>
            </w:r>
            <w:r w:rsidRPr="00664F53">
              <w:rPr>
                <w:rFonts w:ascii="Georgia" w:hAnsi="Georgia" w:cstheme="minorHAnsi"/>
                <w:sz w:val="18"/>
                <w:szCs w:val="18"/>
              </w:rPr>
              <w:t xml:space="preserve"> pour l’élaboration/dépôt de l’offre et </w:t>
            </w:r>
            <w:r w:rsidRPr="00664F53">
              <w:rPr>
                <w:rStyle w:val="lev"/>
                <w:rFonts w:ascii="Georgia" w:eastAsiaTheme="majorEastAsia" w:hAnsi="Georgia" w:cstheme="minorHAnsi"/>
                <w:b w:val="0"/>
                <w:bCs w:val="0"/>
                <w:sz w:val="18"/>
                <w:szCs w:val="18"/>
              </w:rPr>
              <w:t>pour certaines tâches d’exécution</w:t>
            </w:r>
            <w:r w:rsidRPr="00664F53">
              <w:rPr>
                <w:rFonts w:ascii="Georgia" w:hAnsi="Georgia" w:cstheme="minorHAnsi"/>
                <w:sz w:val="18"/>
                <w:szCs w:val="18"/>
              </w:rPr>
              <w:t xml:space="preserve"> du marché. Vérifiez donc la date de départ de tout « ancien d’Enabel » que vous souhaiteriez mobiliser en 2026. </w:t>
            </w:r>
          </w:p>
          <w:p w14:paraId="70C3FF0A" w14:textId="77777777" w:rsidR="00664F53" w:rsidRPr="00664F53" w:rsidRDefault="00664F53" w:rsidP="00BF4FED">
            <w:pPr>
              <w:pStyle w:val="Titre3"/>
              <w:rPr>
                <w:rFonts w:ascii="Georgia" w:hAnsi="Georgia" w:cstheme="minorHAnsi"/>
                <w:color w:val="auto"/>
                <w:sz w:val="18"/>
                <w:szCs w:val="18"/>
              </w:rPr>
            </w:pPr>
            <w:r w:rsidRPr="00664F53">
              <w:rPr>
                <w:rFonts w:ascii="Georgia" w:hAnsi="Georgia" w:cstheme="minorHAnsi"/>
                <w:color w:val="auto"/>
                <w:sz w:val="18"/>
                <w:szCs w:val="18"/>
              </w:rPr>
              <w:t>En pratique</w:t>
            </w:r>
          </w:p>
          <w:p w14:paraId="2A1C0E15" w14:textId="77777777" w:rsidR="00664F53" w:rsidRPr="00664F53" w:rsidRDefault="00664F53" w:rsidP="00BF4FED">
            <w:pPr>
              <w:pStyle w:val="NormalWeb"/>
              <w:rPr>
                <w:rFonts w:ascii="Georgia" w:hAnsi="Georgia" w:cstheme="minorHAnsi"/>
                <w:sz w:val="18"/>
                <w:szCs w:val="18"/>
              </w:rPr>
            </w:pPr>
            <w:r w:rsidRPr="00664F53">
              <w:rPr>
                <w:rFonts w:ascii="Georgia" w:hAnsi="Georgia" w:cstheme="minorHAnsi"/>
                <w:sz w:val="18"/>
                <w:szCs w:val="18"/>
              </w:rPr>
              <w:t xml:space="preserve">Vous pouvez donc lister des profils mobilisables seulement à partir de mi-2026 </w:t>
            </w:r>
            <w:r w:rsidRPr="00664F53">
              <w:rPr>
                <w:rStyle w:val="lev"/>
                <w:rFonts w:ascii="Georgia" w:eastAsiaTheme="majorEastAsia" w:hAnsi="Georgia" w:cstheme="minorHAnsi"/>
                <w:b w:val="0"/>
                <w:bCs w:val="0"/>
                <w:sz w:val="18"/>
                <w:szCs w:val="18"/>
              </w:rPr>
              <w:t>si</w:t>
            </w:r>
            <w:r w:rsidRPr="00664F53">
              <w:rPr>
                <w:rFonts w:ascii="Georgia" w:hAnsi="Georgia" w:cstheme="minorHAnsi"/>
                <w:sz w:val="18"/>
                <w:szCs w:val="18"/>
              </w:rPr>
              <w:t xml:space="preserve"> :</w:t>
            </w:r>
          </w:p>
          <w:p w14:paraId="11550164" w14:textId="77777777" w:rsidR="00664F53" w:rsidRPr="00664F53" w:rsidRDefault="00664F53" w:rsidP="00BF4FED">
            <w:pPr>
              <w:pStyle w:val="NormalWeb"/>
              <w:numPr>
                <w:ilvl w:val="0"/>
                <w:numId w:val="16"/>
              </w:numPr>
              <w:tabs>
                <w:tab w:val="clear" w:pos="720"/>
                <w:tab w:val="num" w:pos="230"/>
              </w:tabs>
              <w:ind w:left="230" w:hanging="230"/>
              <w:jc w:val="both"/>
              <w:rPr>
                <w:rFonts w:ascii="Georgia" w:hAnsi="Georgia" w:cstheme="minorHAnsi"/>
                <w:sz w:val="18"/>
                <w:szCs w:val="18"/>
              </w:rPr>
            </w:pPr>
            <w:r w:rsidRPr="00664F53">
              <w:rPr>
                <w:rFonts w:ascii="Georgia" w:hAnsi="Georgia" w:cstheme="minorHAnsi"/>
                <w:sz w:val="18"/>
                <w:szCs w:val="18"/>
              </w:rPr>
              <w:t>Vous fournissez leur attestation d’exclusivité,</w:t>
            </w:r>
          </w:p>
          <w:p w14:paraId="052310EE" w14:textId="77777777" w:rsidR="00664F53" w:rsidRPr="00664F53" w:rsidRDefault="00664F53" w:rsidP="00BF4FED">
            <w:pPr>
              <w:pStyle w:val="NormalWeb"/>
              <w:numPr>
                <w:ilvl w:val="0"/>
                <w:numId w:val="16"/>
              </w:numPr>
              <w:tabs>
                <w:tab w:val="clear" w:pos="720"/>
                <w:tab w:val="num" w:pos="230"/>
              </w:tabs>
              <w:ind w:left="230" w:hanging="230"/>
              <w:jc w:val="both"/>
              <w:rPr>
                <w:rFonts w:ascii="Georgia" w:hAnsi="Georgia" w:cstheme="minorHAnsi"/>
                <w:sz w:val="18"/>
                <w:szCs w:val="18"/>
              </w:rPr>
            </w:pPr>
            <w:r w:rsidRPr="00664F53">
              <w:rPr>
                <w:rFonts w:ascii="Georgia" w:hAnsi="Georgia" w:cstheme="minorHAnsi"/>
                <w:sz w:val="18"/>
                <w:szCs w:val="18"/>
              </w:rPr>
              <w:t>Votre plan de mobilisation démontre la couverture opérationnelle avant mi-2026 avec d’autres experts,</w:t>
            </w:r>
          </w:p>
          <w:p w14:paraId="1DED8EDD" w14:textId="2D4D2565" w:rsidR="00664F53" w:rsidRPr="00664F53" w:rsidRDefault="00664F53" w:rsidP="00BF4FED">
            <w:pPr>
              <w:jc w:val="both"/>
              <w:rPr>
                <w:rFonts w:ascii="Georgia" w:hAnsi="Georgia"/>
                <w:sz w:val="18"/>
                <w:szCs w:val="18"/>
              </w:rPr>
            </w:pPr>
            <w:r w:rsidRPr="00664F53">
              <w:rPr>
                <w:rFonts w:ascii="Georgia" w:hAnsi="Georgia" w:cstheme="minorHAnsi"/>
                <w:sz w:val="18"/>
                <w:szCs w:val="18"/>
              </w:rPr>
              <w:t>Et vous respectez la règle des 2 ans pour les anciens d’Enabel.</w:t>
            </w:r>
          </w:p>
        </w:tc>
      </w:tr>
      <w:tr w:rsidR="00664F53" w:rsidRPr="005B36B6" w14:paraId="10EED513" w14:textId="77777777" w:rsidTr="00664F53">
        <w:tc>
          <w:tcPr>
            <w:tcW w:w="156" w:type="pct"/>
          </w:tcPr>
          <w:p w14:paraId="5CD6AEC7" w14:textId="643C9E85" w:rsidR="00664F53" w:rsidRPr="005B36B6" w:rsidRDefault="00664F53" w:rsidP="00311051">
            <w:pPr>
              <w:rPr>
                <w:rFonts w:ascii="Georgia" w:hAnsi="Georgia"/>
                <w:sz w:val="18"/>
                <w:szCs w:val="18"/>
              </w:rPr>
            </w:pPr>
            <w:r w:rsidRPr="005B36B6">
              <w:rPr>
                <w:rFonts w:ascii="Georgia" w:hAnsi="Georgia"/>
                <w:sz w:val="18"/>
                <w:szCs w:val="18"/>
              </w:rPr>
              <w:t>13</w:t>
            </w:r>
          </w:p>
        </w:tc>
        <w:tc>
          <w:tcPr>
            <w:tcW w:w="2543" w:type="pct"/>
          </w:tcPr>
          <w:p w14:paraId="0AEA9E86" w14:textId="77777777" w:rsidR="00664F53" w:rsidRPr="005B36B6" w:rsidRDefault="00664F53" w:rsidP="0031105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En parcourant le Dossier d’Appel d’Offres BDI23009-10077, nous avons relevé plusieurs points nécessitant clarification :</w:t>
            </w:r>
          </w:p>
          <w:p w14:paraId="65D02BC1" w14:textId="77777777" w:rsidR="00664F53" w:rsidRPr="005B36B6" w:rsidRDefault="00664F53" w:rsidP="00311051">
            <w:pPr>
              <w:numPr>
                <w:ilvl w:val="0"/>
                <w:numId w:val="9"/>
              </w:numPr>
              <w:tabs>
                <w:tab w:val="clear" w:pos="720"/>
                <w:tab w:val="num" w:pos="301"/>
              </w:tabs>
              <w:ind w:hanging="720"/>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Concernant les critères d’évaluation :</w:t>
            </w:r>
          </w:p>
          <w:p w14:paraId="7E2B8A57" w14:textId="77777777" w:rsidR="00664F53" w:rsidRPr="005B36B6" w:rsidRDefault="00664F53" w:rsidP="00311051">
            <w:pPr>
              <w:numPr>
                <w:ilvl w:val="1"/>
                <w:numId w:val="9"/>
              </w:numPr>
              <w:tabs>
                <w:tab w:val="clear" w:pos="1440"/>
                <w:tab w:val="num" w:pos="584"/>
              </w:tabs>
              <w:ind w:left="584" w:hanging="141"/>
              <w:jc w:val="both"/>
              <w:rPr>
                <w:rFonts w:ascii="Georgia" w:eastAsia="Times New Roman" w:hAnsi="Georgia" w:cs="Calibri"/>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t>Page 25</w:t>
            </w:r>
            <w:r w:rsidRPr="005B36B6">
              <w:rPr>
                <w:rFonts w:ascii="Georgia" w:eastAsia="Times New Roman" w:hAnsi="Georgia" w:cs="Calibri"/>
                <w:kern w:val="0"/>
                <w:sz w:val="18"/>
                <w:szCs w:val="18"/>
                <w:lang w:eastAsia="fr-FR"/>
                <w14:ligatures w14:val="none"/>
              </w:rPr>
              <w:t> : Experts – 50 %, Méthodologie – 20 %, Offre financière – 30 %</w:t>
            </w:r>
          </w:p>
          <w:p w14:paraId="32FBE0DC" w14:textId="1DF38881" w:rsidR="00664F53" w:rsidRPr="005B36B6" w:rsidRDefault="00664F53" w:rsidP="00311051">
            <w:pPr>
              <w:numPr>
                <w:ilvl w:val="1"/>
                <w:numId w:val="9"/>
              </w:numPr>
              <w:tabs>
                <w:tab w:val="clear" w:pos="1440"/>
                <w:tab w:val="num" w:pos="584"/>
              </w:tabs>
              <w:ind w:left="584" w:hanging="141"/>
              <w:jc w:val="both"/>
              <w:rPr>
                <w:rFonts w:ascii="Georgia" w:eastAsia="Times New Roman" w:hAnsi="Georgia" w:cs="Calibri"/>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lastRenderedPageBreak/>
              <w:t>Page 28</w:t>
            </w:r>
            <w:r w:rsidRPr="005B36B6">
              <w:rPr>
                <w:rFonts w:ascii="Georgia" w:eastAsia="Times New Roman" w:hAnsi="Georgia" w:cs="Calibri"/>
                <w:kern w:val="0"/>
                <w:sz w:val="18"/>
                <w:szCs w:val="18"/>
                <w:lang w:eastAsia="fr-FR"/>
                <w14:ligatures w14:val="none"/>
              </w:rPr>
              <w:t> : Experts – 30 %, Méthodologie – 40 %, Offre financière – 30 %</w:t>
            </w:r>
            <w:r w:rsidRPr="005B36B6">
              <w:rPr>
                <w:rFonts w:ascii="Georgia" w:eastAsia="Times New Roman" w:hAnsi="Georgia" w:cs="Calibri"/>
                <w:kern w:val="0"/>
                <w:sz w:val="18"/>
                <w:szCs w:val="18"/>
                <w:lang w:eastAsia="fr-FR"/>
                <w14:ligatures w14:val="none"/>
              </w:rPr>
              <w:br/>
              <w:t>Pourriez-vous préciser quelle pondération doit être retenue ?</w:t>
            </w:r>
          </w:p>
        </w:tc>
        <w:tc>
          <w:tcPr>
            <w:tcW w:w="2301" w:type="pct"/>
          </w:tcPr>
          <w:p w14:paraId="07510230" w14:textId="77777777" w:rsidR="00664F53" w:rsidRPr="00664F53" w:rsidRDefault="00664F53" w:rsidP="00311051">
            <w:pPr>
              <w:pStyle w:val="NormalWeb"/>
              <w:rPr>
                <w:rFonts w:ascii="Georgia" w:hAnsi="Georgia"/>
                <w:sz w:val="18"/>
                <w:szCs w:val="18"/>
              </w:rPr>
            </w:pPr>
            <w:r w:rsidRPr="00664F53">
              <w:rPr>
                <w:rFonts w:ascii="Georgia" w:hAnsi="Georgia"/>
                <w:sz w:val="18"/>
                <w:szCs w:val="18"/>
              </w:rPr>
              <w:lastRenderedPageBreak/>
              <w:t xml:space="preserve">Les deux pondérations correspondent à </w:t>
            </w:r>
            <w:r w:rsidRPr="00664F53">
              <w:rPr>
                <w:rStyle w:val="lev"/>
                <w:rFonts w:ascii="Georgia" w:eastAsiaTheme="majorEastAsia" w:hAnsi="Georgia"/>
                <w:sz w:val="18"/>
                <w:szCs w:val="18"/>
              </w:rPr>
              <w:t>deux stades différents</w:t>
            </w:r>
            <w:r w:rsidRPr="00664F53">
              <w:rPr>
                <w:rFonts w:ascii="Georgia" w:hAnsi="Georgia"/>
                <w:sz w:val="18"/>
                <w:szCs w:val="18"/>
              </w:rPr>
              <w:t xml:space="preserve"> :</w:t>
            </w:r>
          </w:p>
          <w:p w14:paraId="49CDADF9" w14:textId="77777777" w:rsidR="00664F53" w:rsidRPr="00664F53" w:rsidRDefault="00664F53" w:rsidP="00311051">
            <w:pPr>
              <w:pStyle w:val="NormalWeb"/>
              <w:rPr>
                <w:rFonts w:ascii="Georgia" w:hAnsi="Georgia"/>
                <w:sz w:val="18"/>
                <w:szCs w:val="18"/>
              </w:rPr>
            </w:pPr>
            <w:r w:rsidRPr="00664F53">
              <w:rPr>
                <w:rStyle w:val="lev"/>
                <w:rFonts w:ascii="Georgia" w:eastAsiaTheme="majorEastAsia" w:hAnsi="Georgia"/>
                <w:sz w:val="18"/>
                <w:szCs w:val="18"/>
              </w:rPr>
              <w:lastRenderedPageBreak/>
              <w:t>Phase 1 – Conclusion de l’accord-cadre (offre initiale)</w:t>
            </w:r>
            <w:r w:rsidRPr="00664F53">
              <w:rPr>
                <w:rFonts w:ascii="Georgia" w:hAnsi="Georgia"/>
                <w:b/>
                <w:bCs/>
                <w:sz w:val="18"/>
                <w:szCs w:val="18"/>
              </w:rPr>
              <w:t xml:space="preserve"> :</w:t>
            </w:r>
            <w:r w:rsidRPr="00664F53">
              <w:rPr>
                <w:rFonts w:ascii="Georgia" w:hAnsi="Georgia"/>
                <w:b/>
                <w:bCs/>
                <w:sz w:val="18"/>
                <w:szCs w:val="18"/>
              </w:rPr>
              <w:br/>
            </w:r>
            <w:r w:rsidRPr="00664F53">
              <w:rPr>
                <w:rStyle w:val="lev"/>
                <w:rFonts w:ascii="Georgia" w:eastAsiaTheme="majorEastAsia" w:hAnsi="Georgia"/>
                <w:sz w:val="18"/>
                <w:szCs w:val="18"/>
              </w:rPr>
              <w:t>Experts 50 %</w:t>
            </w:r>
            <w:r w:rsidRPr="00664F53">
              <w:rPr>
                <w:rFonts w:ascii="Georgia" w:hAnsi="Georgia"/>
                <w:sz w:val="18"/>
                <w:szCs w:val="18"/>
              </w:rPr>
              <w:t xml:space="preserve"> + </w:t>
            </w:r>
            <w:r w:rsidRPr="00664F53">
              <w:rPr>
                <w:rStyle w:val="lev"/>
                <w:rFonts w:ascii="Georgia" w:eastAsiaTheme="majorEastAsia" w:hAnsi="Georgia"/>
                <w:sz w:val="18"/>
                <w:szCs w:val="18"/>
              </w:rPr>
              <w:t>Méthodologie 20 %</w:t>
            </w:r>
            <w:r w:rsidRPr="00664F53">
              <w:rPr>
                <w:rFonts w:ascii="Georgia" w:hAnsi="Georgia"/>
                <w:sz w:val="18"/>
                <w:szCs w:val="18"/>
              </w:rPr>
              <w:t xml:space="preserve"> + </w:t>
            </w:r>
            <w:r w:rsidRPr="00664F53">
              <w:rPr>
                <w:rStyle w:val="lev"/>
                <w:rFonts w:ascii="Georgia" w:eastAsiaTheme="majorEastAsia" w:hAnsi="Georgia"/>
                <w:sz w:val="18"/>
                <w:szCs w:val="18"/>
              </w:rPr>
              <w:t>Prix 30 %</w:t>
            </w:r>
            <w:r w:rsidRPr="00664F53">
              <w:rPr>
                <w:rFonts w:ascii="Georgia" w:hAnsi="Georgia"/>
                <w:sz w:val="18"/>
                <w:szCs w:val="18"/>
              </w:rPr>
              <w:t xml:space="preserve"> (valable pour les 2 lots). </w:t>
            </w:r>
          </w:p>
          <w:p w14:paraId="03EE263A" w14:textId="17A020A7" w:rsidR="00664F53" w:rsidRPr="00664F53" w:rsidRDefault="00664F53" w:rsidP="005B36B6">
            <w:pPr>
              <w:pStyle w:val="NormalWeb"/>
              <w:rPr>
                <w:rFonts w:ascii="Georgia" w:hAnsi="Georgia"/>
                <w:sz w:val="18"/>
                <w:szCs w:val="18"/>
              </w:rPr>
            </w:pPr>
            <w:r w:rsidRPr="00664F53">
              <w:rPr>
                <w:rStyle w:val="lev"/>
                <w:rFonts w:ascii="Georgia" w:eastAsiaTheme="majorEastAsia" w:hAnsi="Georgia"/>
                <w:sz w:val="18"/>
                <w:szCs w:val="18"/>
              </w:rPr>
              <w:t>Phase 2 – Marchés fondés sur l’accord-cadre (mini-compétitions)</w:t>
            </w:r>
            <w:r w:rsidRPr="00664F53">
              <w:rPr>
                <w:rFonts w:ascii="Georgia" w:hAnsi="Georgia"/>
                <w:b/>
                <w:bCs/>
                <w:sz w:val="18"/>
                <w:szCs w:val="18"/>
              </w:rPr>
              <w:t xml:space="preserve"> :</w:t>
            </w:r>
            <w:r w:rsidRPr="00664F53">
              <w:rPr>
                <w:rFonts w:ascii="Georgia" w:hAnsi="Georgia"/>
                <w:b/>
                <w:bCs/>
                <w:sz w:val="18"/>
                <w:szCs w:val="18"/>
              </w:rPr>
              <w:br/>
            </w:r>
            <w:r w:rsidRPr="00664F53">
              <w:rPr>
                <w:rStyle w:val="lev"/>
                <w:rFonts w:ascii="Georgia" w:eastAsiaTheme="majorEastAsia" w:hAnsi="Georgia"/>
                <w:sz w:val="18"/>
                <w:szCs w:val="18"/>
              </w:rPr>
              <w:t>Prix 30 %</w:t>
            </w:r>
            <w:r w:rsidRPr="00664F53">
              <w:rPr>
                <w:rFonts w:ascii="Georgia" w:hAnsi="Georgia"/>
                <w:b/>
                <w:bCs/>
                <w:sz w:val="18"/>
                <w:szCs w:val="18"/>
              </w:rPr>
              <w:t xml:space="preserve"> + </w:t>
            </w:r>
            <w:r w:rsidRPr="00664F53">
              <w:rPr>
                <w:rStyle w:val="lev"/>
                <w:rFonts w:ascii="Georgia" w:eastAsiaTheme="majorEastAsia" w:hAnsi="Georgia"/>
                <w:sz w:val="18"/>
                <w:szCs w:val="18"/>
              </w:rPr>
              <w:t>Approche méthodologique 70 %</w:t>
            </w:r>
            <w:r w:rsidRPr="00664F53">
              <w:rPr>
                <w:rFonts w:ascii="Georgia" w:hAnsi="Georgia"/>
                <w:b/>
                <w:bCs/>
                <w:sz w:val="18"/>
                <w:szCs w:val="18"/>
              </w:rPr>
              <w:t>,</w:t>
            </w:r>
            <w:r w:rsidRPr="00664F53">
              <w:rPr>
                <w:rFonts w:ascii="Georgia" w:hAnsi="Georgia"/>
                <w:sz w:val="18"/>
                <w:szCs w:val="18"/>
              </w:rPr>
              <w:t xml:space="preserve"> décomposée en : compréhension 5, méthodologie 20, </w:t>
            </w:r>
            <w:r w:rsidRPr="00664F53">
              <w:rPr>
                <w:rStyle w:val="lev"/>
                <w:rFonts w:ascii="Georgia" w:eastAsiaTheme="majorEastAsia" w:hAnsi="Georgia"/>
                <w:sz w:val="18"/>
                <w:szCs w:val="18"/>
              </w:rPr>
              <w:t>calendrier 15</w:t>
            </w:r>
            <w:r w:rsidRPr="00664F53">
              <w:rPr>
                <w:rFonts w:ascii="Georgia" w:hAnsi="Georgia"/>
                <w:b/>
                <w:bCs/>
                <w:sz w:val="18"/>
                <w:szCs w:val="18"/>
              </w:rPr>
              <w:t xml:space="preserve">, </w:t>
            </w:r>
            <w:r w:rsidRPr="00664F53">
              <w:rPr>
                <w:rStyle w:val="lev"/>
                <w:rFonts w:ascii="Georgia" w:eastAsiaTheme="majorEastAsia" w:hAnsi="Georgia"/>
                <w:sz w:val="18"/>
                <w:szCs w:val="18"/>
              </w:rPr>
              <w:t>experts mobilisés 30</w:t>
            </w:r>
            <w:r w:rsidRPr="00664F53">
              <w:rPr>
                <w:rFonts w:ascii="Georgia" w:hAnsi="Georgia"/>
                <w:sz w:val="18"/>
                <w:szCs w:val="18"/>
              </w:rPr>
              <w:t>. Si vous regroupez « experts mobilisés » (30) et « méthodologie » 40), vous obtenez le « 30/40/30 »</w:t>
            </w:r>
          </w:p>
        </w:tc>
      </w:tr>
      <w:tr w:rsidR="00664F53" w:rsidRPr="005B36B6" w14:paraId="1C92381C" w14:textId="77777777" w:rsidTr="00664F53">
        <w:tc>
          <w:tcPr>
            <w:tcW w:w="156" w:type="pct"/>
          </w:tcPr>
          <w:p w14:paraId="33F434C4" w14:textId="77777777" w:rsidR="00664F53" w:rsidRPr="005B36B6" w:rsidRDefault="00664F53" w:rsidP="00311051">
            <w:pPr>
              <w:rPr>
                <w:rFonts w:ascii="Georgia" w:hAnsi="Georgia"/>
                <w:sz w:val="18"/>
                <w:szCs w:val="18"/>
              </w:rPr>
            </w:pPr>
          </w:p>
        </w:tc>
        <w:tc>
          <w:tcPr>
            <w:tcW w:w="2543" w:type="pct"/>
          </w:tcPr>
          <w:p w14:paraId="6F76F6FC" w14:textId="77777777" w:rsidR="00664F53" w:rsidRPr="005B36B6" w:rsidRDefault="00664F53" w:rsidP="00311051">
            <w:pPr>
              <w:ind w:left="584"/>
              <w:jc w:val="both"/>
              <w:rPr>
                <w:rFonts w:ascii="Georgia" w:eastAsia="Times New Roman" w:hAnsi="Georgia" w:cs="Calibri"/>
                <w:kern w:val="0"/>
                <w:sz w:val="18"/>
                <w:szCs w:val="18"/>
                <w:lang w:eastAsia="fr-FR"/>
                <w14:ligatures w14:val="none"/>
              </w:rPr>
            </w:pPr>
          </w:p>
          <w:p w14:paraId="41EE26B2" w14:textId="77777777" w:rsidR="00664F53" w:rsidRPr="005B36B6" w:rsidRDefault="00664F53" w:rsidP="00311051">
            <w:pPr>
              <w:numPr>
                <w:ilvl w:val="0"/>
                <w:numId w:val="9"/>
              </w:numPr>
              <w:tabs>
                <w:tab w:val="clear" w:pos="720"/>
                <w:tab w:val="num" w:pos="301"/>
              </w:tabs>
              <w:ind w:left="301" w:hanging="301"/>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Concernant la </w:t>
            </w:r>
            <w:r w:rsidRPr="005B36B6">
              <w:rPr>
                <w:rFonts w:ascii="Georgia" w:eastAsia="Times New Roman" w:hAnsi="Georgia" w:cs="Calibri"/>
                <w:b/>
                <w:bCs/>
                <w:kern w:val="0"/>
                <w:sz w:val="18"/>
                <w:szCs w:val="18"/>
                <w:lang w:eastAsia="fr-FR"/>
                <w14:ligatures w14:val="none"/>
              </w:rPr>
              <w:t>note méthodologique de 4 pages</w:t>
            </w:r>
            <w:r w:rsidRPr="005B36B6">
              <w:rPr>
                <w:rFonts w:ascii="Georgia" w:eastAsia="Times New Roman" w:hAnsi="Georgia" w:cs="Calibri"/>
                <w:kern w:val="0"/>
                <w:sz w:val="18"/>
                <w:szCs w:val="18"/>
                <w:lang w:eastAsia="fr-FR"/>
                <w14:ligatures w14:val="none"/>
              </w:rPr>
              <w:t> :</w:t>
            </w:r>
            <w:r w:rsidRPr="005B36B6">
              <w:rPr>
                <w:rFonts w:ascii="Georgia" w:eastAsia="Times New Roman" w:hAnsi="Georgia" w:cs="Calibri"/>
                <w:kern w:val="0"/>
                <w:sz w:val="18"/>
                <w:szCs w:val="18"/>
                <w:lang w:eastAsia="fr-FR"/>
                <w14:ligatures w14:val="none"/>
              </w:rPr>
              <w:br/>
              <w:t>Pouvez-vous confirmer si ce document doit constituer un résumé de l’offre technique ?</w:t>
            </w:r>
          </w:p>
          <w:p w14:paraId="3A99151A" w14:textId="77777777" w:rsidR="00664F53" w:rsidRPr="005B36B6" w:rsidRDefault="00664F53" w:rsidP="00311051">
            <w:pPr>
              <w:jc w:val="both"/>
              <w:rPr>
                <w:rFonts w:ascii="Georgia" w:eastAsia="Times New Roman" w:hAnsi="Georgia" w:cs="Calibri"/>
                <w:kern w:val="0"/>
                <w:sz w:val="18"/>
                <w:szCs w:val="18"/>
                <w:lang w:eastAsia="fr-FR"/>
                <w14:ligatures w14:val="none"/>
              </w:rPr>
            </w:pPr>
          </w:p>
        </w:tc>
        <w:tc>
          <w:tcPr>
            <w:tcW w:w="2301" w:type="pct"/>
          </w:tcPr>
          <w:p w14:paraId="1DCB4E61" w14:textId="36E39F65" w:rsidR="00664F53" w:rsidRPr="00664F53" w:rsidRDefault="00664F53" w:rsidP="00311051">
            <w:pPr>
              <w:jc w:val="both"/>
              <w:rPr>
                <w:rFonts w:ascii="Georgia" w:hAnsi="Georgia"/>
                <w:sz w:val="18"/>
                <w:szCs w:val="18"/>
              </w:rPr>
            </w:pPr>
            <w:r w:rsidRPr="00664F53">
              <w:rPr>
                <w:rFonts w:ascii="Georgia" w:hAnsi="Georgia"/>
                <w:sz w:val="18"/>
                <w:szCs w:val="18"/>
              </w:rPr>
              <w:t xml:space="preserve">Il ne s’agit pas d’un « résumé » de l’offre technique. La note méthodologique est la </w:t>
            </w:r>
            <w:r w:rsidRPr="00664F53">
              <w:rPr>
                <w:rStyle w:val="lev"/>
                <w:rFonts w:ascii="Georgia" w:hAnsi="Georgia"/>
                <w:sz w:val="18"/>
                <w:szCs w:val="18"/>
              </w:rPr>
              <w:t>présentation concise de l’approche et des modalités de mise en œuvre</w:t>
            </w:r>
            <w:r w:rsidRPr="00664F53">
              <w:rPr>
                <w:rFonts w:ascii="Georgia" w:hAnsi="Georgia"/>
                <w:sz w:val="18"/>
                <w:szCs w:val="18"/>
              </w:rPr>
              <w:t>, utilisée pour mener à bien les tâches décrites.</w:t>
            </w:r>
          </w:p>
        </w:tc>
      </w:tr>
      <w:tr w:rsidR="00664F53" w:rsidRPr="005B36B6" w14:paraId="6338DF16" w14:textId="77777777" w:rsidTr="00664F53">
        <w:tc>
          <w:tcPr>
            <w:tcW w:w="156" w:type="pct"/>
          </w:tcPr>
          <w:p w14:paraId="588A2A5A" w14:textId="77777777" w:rsidR="00664F53" w:rsidRPr="005B36B6" w:rsidRDefault="00664F53" w:rsidP="00311051">
            <w:pPr>
              <w:rPr>
                <w:rFonts w:ascii="Georgia" w:hAnsi="Georgia"/>
                <w:sz w:val="18"/>
                <w:szCs w:val="18"/>
              </w:rPr>
            </w:pPr>
          </w:p>
        </w:tc>
        <w:tc>
          <w:tcPr>
            <w:tcW w:w="2543" w:type="pct"/>
          </w:tcPr>
          <w:p w14:paraId="4A5417F9" w14:textId="77777777" w:rsidR="00664F53" w:rsidRPr="005B36B6" w:rsidRDefault="00664F53" w:rsidP="00311051">
            <w:pPr>
              <w:numPr>
                <w:ilvl w:val="0"/>
                <w:numId w:val="9"/>
              </w:numPr>
              <w:tabs>
                <w:tab w:val="clear" w:pos="720"/>
                <w:tab w:val="num" w:pos="301"/>
              </w:tabs>
              <w:ind w:left="301" w:hanging="301"/>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Concernant le </w:t>
            </w:r>
            <w:r w:rsidRPr="005B36B6">
              <w:rPr>
                <w:rFonts w:ascii="Georgia" w:eastAsia="Times New Roman" w:hAnsi="Georgia" w:cs="Calibri"/>
                <w:b/>
                <w:bCs/>
                <w:kern w:val="0"/>
                <w:sz w:val="18"/>
                <w:szCs w:val="18"/>
                <w:lang w:eastAsia="fr-FR"/>
                <w14:ligatures w14:val="none"/>
              </w:rPr>
              <w:t>tableau 6.5</w:t>
            </w:r>
            <w:r w:rsidRPr="005B36B6">
              <w:rPr>
                <w:rFonts w:ascii="Georgia" w:eastAsia="Times New Roman" w:hAnsi="Georgia" w:cs="Calibri"/>
                <w:kern w:val="0"/>
                <w:sz w:val="18"/>
                <w:szCs w:val="18"/>
                <w:lang w:eastAsia="fr-FR"/>
                <w14:ligatures w14:val="none"/>
              </w:rPr>
              <w:t> :</w:t>
            </w:r>
            <w:r w:rsidRPr="005B36B6">
              <w:rPr>
                <w:rFonts w:ascii="Georgia" w:eastAsia="Times New Roman" w:hAnsi="Georgia" w:cs="Calibri"/>
                <w:kern w:val="0"/>
                <w:sz w:val="18"/>
                <w:szCs w:val="18"/>
                <w:lang w:eastAsia="fr-FR"/>
                <w14:ligatures w14:val="none"/>
              </w:rPr>
              <w:br/>
              <w:t>Celui-ci contient des quantités de prestations. Pouvez-vous confirmer s’il s’agit bien du nombre de jours qui doivent être prestés par les experts, ou s’il s’agit d’un exemple ?</w:t>
            </w:r>
          </w:p>
          <w:p w14:paraId="47879922" w14:textId="77777777" w:rsidR="00664F53" w:rsidRPr="005B36B6" w:rsidRDefault="00664F53" w:rsidP="00311051">
            <w:pPr>
              <w:jc w:val="both"/>
              <w:rPr>
                <w:rFonts w:ascii="Georgia" w:eastAsia="Times New Roman" w:hAnsi="Georgia" w:cs="Calibri"/>
                <w:kern w:val="0"/>
                <w:sz w:val="18"/>
                <w:szCs w:val="18"/>
                <w:lang w:eastAsia="fr-FR"/>
                <w14:ligatures w14:val="none"/>
              </w:rPr>
            </w:pPr>
          </w:p>
        </w:tc>
        <w:tc>
          <w:tcPr>
            <w:tcW w:w="2301" w:type="pct"/>
          </w:tcPr>
          <w:p w14:paraId="380A9068" w14:textId="7D416EED" w:rsidR="00664F53" w:rsidRPr="00664F53" w:rsidRDefault="00664F53" w:rsidP="00311051">
            <w:pPr>
              <w:jc w:val="both"/>
              <w:rPr>
                <w:rFonts w:ascii="Georgia" w:hAnsi="Georgia"/>
                <w:sz w:val="18"/>
                <w:szCs w:val="18"/>
              </w:rPr>
            </w:pPr>
            <w:r w:rsidRPr="00664F53">
              <w:rPr>
                <w:rFonts w:ascii="Georgia" w:hAnsi="Georgia"/>
                <w:sz w:val="18"/>
                <w:szCs w:val="18"/>
              </w:rPr>
              <w:t xml:space="preserve">Les quantités figurant au tableau 6.5 sont </w:t>
            </w:r>
            <w:r w:rsidRPr="00664F53">
              <w:rPr>
                <w:rStyle w:val="lev"/>
                <w:rFonts w:ascii="Georgia" w:hAnsi="Georgia"/>
                <w:sz w:val="18"/>
                <w:szCs w:val="18"/>
              </w:rPr>
              <w:t>estimatives</w:t>
            </w:r>
            <w:r w:rsidRPr="00664F53">
              <w:rPr>
                <w:rFonts w:ascii="Georgia" w:hAnsi="Georgia"/>
                <w:sz w:val="18"/>
                <w:szCs w:val="18"/>
              </w:rPr>
              <w:t xml:space="preserve"> et servent uniquement au </w:t>
            </w:r>
            <w:r w:rsidRPr="00664F53">
              <w:rPr>
                <w:rStyle w:val="lev"/>
                <w:rFonts w:ascii="Georgia" w:hAnsi="Georgia"/>
                <w:sz w:val="18"/>
                <w:szCs w:val="18"/>
              </w:rPr>
              <w:t>calcul des totaux</w:t>
            </w:r>
            <w:r w:rsidRPr="00664F53">
              <w:rPr>
                <w:rFonts w:ascii="Georgia" w:hAnsi="Georgia"/>
                <w:sz w:val="18"/>
                <w:szCs w:val="18"/>
              </w:rPr>
              <w:t xml:space="preserve"> pour l’évaluation. Le présent accord-cadre</w:t>
            </w:r>
            <w:r w:rsidRPr="00664F53">
              <w:rPr>
                <w:rFonts w:ascii="Georgia" w:hAnsi="Georgia"/>
                <w:b/>
                <w:bCs/>
                <w:sz w:val="18"/>
                <w:szCs w:val="18"/>
              </w:rPr>
              <w:t xml:space="preserve"> </w:t>
            </w:r>
            <w:r w:rsidRPr="00664F53">
              <w:rPr>
                <w:rStyle w:val="lev"/>
                <w:rFonts w:ascii="Georgia" w:hAnsi="Georgia"/>
                <w:sz w:val="18"/>
                <w:szCs w:val="18"/>
              </w:rPr>
              <w:t>ne prévoit pas de quantités minimales</w:t>
            </w:r>
            <w:r w:rsidRPr="00664F53">
              <w:rPr>
                <w:rFonts w:ascii="Georgia" w:hAnsi="Georgia"/>
                <w:sz w:val="18"/>
                <w:szCs w:val="18"/>
              </w:rPr>
              <w:t xml:space="preserve"> ; les </w:t>
            </w:r>
            <w:r w:rsidRPr="00664F53">
              <w:rPr>
                <w:rStyle w:val="lev"/>
                <w:rFonts w:ascii="Georgia" w:hAnsi="Georgia"/>
                <w:sz w:val="18"/>
                <w:szCs w:val="18"/>
              </w:rPr>
              <w:t>quantités réellement exécutées</w:t>
            </w:r>
            <w:r w:rsidRPr="00664F53">
              <w:rPr>
                <w:rFonts w:ascii="Georgia" w:hAnsi="Georgia"/>
                <w:sz w:val="18"/>
                <w:szCs w:val="18"/>
              </w:rPr>
              <w:t xml:space="preserve"> seront précisées et rémunérées dans les </w:t>
            </w:r>
            <w:r w:rsidRPr="00664F53">
              <w:rPr>
                <w:rStyle w:val="lev"/>
                <w:rFonts w:ascii="Georgia" w:hAnsi="Georgia"/>
                <w:sz w:val="18"/>
                <w:szCs w:val="18"/>
              </w:rPr>
              <w:t>marchés subséquents</w:t>
            </w:r>
            <w:r w:rsidRPr="00664F53">
              <w:rPr>
                <w:rFonts w:ascii="Georgia" w:hAnsi="Georgia"/>
                <w:sz w:val="18"/>
                <w:szCs w:val="18"/>
              </w:rPr>
              <w:t>.</w:t>
            </w:r>
          </w:p>
        </w:tc>
      </w:tr>
      <w:tr w:rsidR="00664F53" w:rsidRPr="005B36B6" w14:paraId="4FEC67E3" w14:textId="77777777" w:rsidTr="00664F53">
        <w:tc>
          <w:tcPr>
            <w:tcW w:w="156" w:type="pct"/>
          </w:tcPr>
          <w:p w14:paraId="70A1B106" w14:textId="2E0B569D" w:rsidR="00664F53" w:rsidRPr="005B36B6" w:rsidRDefault="00664F53" w:rsidP="00466391">
            <w:pPr>
              <w:rPr>
                <w:rFonts w:ascii="Georgia" w:hAnsi="Georgia"/>
                <w:sz w:val="18"/>
                <w:szCs w:val="18"/>
              </w:rPr>
            </w:pPr>
            <w:r w:rsidRPr="005B36B6">
              <w:rPr>
                <w:rFonts w:ascii="Georgia" w:hAnsi="Georgia"/>
                <w:sz w:val="18"/>
                <w:szCs w:val="18"/>
              </w:rPr>
              <w:t>14</w:t>
            </w:r>
          </w:p>
        </w:tc>
        <w:tc>
          <w:tcPr>
            <w:tcW w:w="2543" w:type="pct"/>
          </w:tcPr>
          <w:p w14:paraId="4B17D5B8"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A la lecture du Cahier spécial des charges n° BDI23009-10077 relatif au </w:t>
            </w:r>
            <w:r w:rsidRPr="005B36B6">
              <w:rPr>
                <w:rFonts w:ascii="Georgia" w:eastAsia="Times New Roman" w:hAnsi="Georgia" w:cs="Calibri"/>
                <w:i/>
                <w:iCs/>
                <w:kern w:val="0"/>
                <w:sz w:val="18"/>
                <w:szCs w:val="18"/>
                <w:lang w:eastAsia="fr-FR"/>
                <w14:ligatures w14:val="none"/>
              </w:rPr>
              <w:t>Marché de services de consultance pour le renforcement des capacités des acteurs locaux de la gouvernance participative</w:t>
            </w:r>
            <w:r w:rsidRPr="005B36B6">
              <w:rPr>
                <w:rFonts w:ascii="Georgia" w:eastAsia="Times New Roman" w:hAnsi="Georgia" w:cs="Calibri"/>
                <w:kern w:val="0"/>
                <w:sz w:val="18"/>
                <w:szCs w:val="18"/>
                <w:lang w:eastAsia="fr-FR"/>
                <w14:ligatures w14:val="none"/>
              </w:rPr>
              <w:t> au Burundi nous avons les questions suivantes :</w:t>
            </w:r>
          </w:p>
          <w:p w14:paraId="6C6EC4D7"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70825381" w14:textId="77777777" w:rsidR="00664F53" w:rsidRPr="005B36B6" w:rsidRDefault="00664F53" w:rsidP="00466391">
            <w:pPr>
              <w:numPr>
                <w:ilvl w:val="0"/>
                <w:numId w:val="10"/>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Etant donné l’expertise exigée pour certains postes, serait-il envisageable qu’un poste soit couvert par l’expertise et l’expérience combinée et complémentaire de 2 experts qui couvriraient ce poste en binôme ?</w:t>
            </w:r>
          </w:p>
          <w:p w14:paraId="48B0374D" w14:textId="77777777" w:rsidR="00664F53" w:rsidRPr="005B36B6" w:rsidRDefault="00664F53" w:rsidP="00466391">
            <w:pPr>
              <w:jc w:val="both"/>
              <w:rPr>
                <w:rFonts w:ascii="Georgia" w:eastAsia="Times New Roman" w:hAnsi="Georgia" w:cs="Calibri"/>
                <w:kern w:val="0"/>
                <w:sz w:val="18"/>
                <w:szCs w:val="18"/>
                <w:lang w:eastAsia="fr-FR"/>
                <w14:ligatures w14:val="none"/>
              </w:rPr>
            </w:pPr>
          </w:p>
          <w:p w14:paraId="4873436C" w14:textId="77777777" w:rsidR="00664F53" w:rsidRPr="005B36B6" w:rsidRDefault="00664F53" w:rsidP="00466391">
            <w:pPr>
              <w:jc w:val="both"/>
              <w:rPr>
                <w:rFonts w:ascii="Georgia" w:eastAsia="Times New Roman" w:hAnsi="Georgia" w:cs="Calibri"/>
                <w:kern w:val="0"/>
                <w:sz w:val="18"/>
                <w:szCs w:val="18"/>
                <w:lang w:eastAsia="fr-FR"/>
                <w14:ligatures w14:val="none"/>
              </w:rPr>
            </w:pPr>
          </w:p>
          <w:p w14:paraId="3964A78B" w14:textId="77777777" w:rsidR="00664F53" w:rsidRPr="005B36B6" w:rsidRDefault="00664F53" w:rsidP="00466391">
            <w:pPr>
              <w:jc w:val="both"/>
              <w:rPr>
                <w:rFonts w:ascii="Georgia" w:eastAsia="Times New Roman" w:hAnsi="Georgia" w:cs="Calibri"/>
                <w:kern w:val="0"/>
                <w:sz w:val="18"/>
                <w:szCs w:val="18"/>
                <w:lang w:eastAsia="fr-FR"/>
                <w14:ligatures w14:val="none"/>
              </w:rPr>
            </w:pPr>
          </w:p>
          <w:p w14:paraId="3C673034" w14:textId="5D59CD0D" w:rsidR="00664F53" w:rsidRPr="005B36B6" w:rsidRDefault="00664F53" w:rsidP="00466391">
            <w:pPr>
              <w:jc w:val="both"/>
              <w:rPr>
                <w:rFonts w:ascii="Georgia" w:eastAsia="Times New Roman" w:hAnsi="Georgia" w:cs="Calibri"/>
                <w:kern w:val="0"/>
                <w:sz w:val="18"/>
                <w:szCs w:val="18"/>
                <w:lang w:eastAsia="fr-FR"/>
                <w14:ligatures w14:val="none"/>
              </w:rPr>
            </w:pPr>
          </w:p>
          <w:p w14:paraId="061129F2"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5B82D8A4" w14:textId="2503D6F0" w:rsidR="00664F53" w:rsidRPr="00664F53" w:rsidRDefault="00664F53" w:rsidP="00AE03B4">
            <w:pPr>
              <w:jc w:val="both"/>
              <w:rPr>
                <w:rFonts w:ascii="Georgia" w:hAnsi="Georgia"/>
                <w:sz w:val="18"/>
                <w:szCs w:val="18"/>
              </w:rPr>
            </w:pPr>
            <w:r w:rsidRPr="00664F53">
              <w:rPr>
                <w:rFonts w:ascii="Georgia" w:hAnsi="Georgia"/>
                <w:sz w:val="18"/>
                <w:szCs w:val="18"/>
              </w:rPr>
              <w:t>Non. Conformément au CSC, chaque profil requis doit être couvert dans l’offre par un expert unique répondant individuellement aux exigences minimales, avec CV, tableau “Profil expert” et attestation d’exclusivité. L’évaluation se fait par expert et un profil sous 50 % entraîne l’écartement de l’offre. La complémentarité en binôme est possible en exécution (et via expertises complémentaires), mais ne se substitue pas aux minima d’un poste dans l’offre.</w:t>
            </w:r>
          </w:p>
        </w:tc>
      </w:tr>
      <w:tr w:rsidR="00664F53" w:rsidRPr="005B36B6" w14:paraId="03A4D921" w14:textId="77777777" w:rsidTr="00664F53">
        <w:tc>
          <w:tcPr>
            <w:tcW w:w="156" w:type="pct"/>
          </w:tcPr>
          <w:p w14:paraId="57307B43" w14:textId="77777777" w:rsidR="00664F53" w:rsidRPr="005B36B6" w:rsidRDefault="00664F53" w:rsidP="00466391">
            <w:pPr>
              <w:rPr>
                <w:rFonts w:ascii="Georgia" w:hAnsi="Georgia"/>
                <w:sz w:val="18"/>
                <w:szCs w:val="18"/>
              </w:rPr>
            </w:pPr>
          </w:p>
        </w:tc>
        <w:tc>
          <w:tcPr>
            <w:tcW w:w="2543" w:type="pct"/>
          </w:tcPr>
          <w:p w14:paraId="51500454" w14:textId="77777777" w:rsidR="00664F53" w:rsidRPr="005B36B6" w:rsidRDefault="00664F53" w:rsidP="00311051">
            <w:pPr>
              <w:numPr>
                <w:ilvl w:val="0"/>
                <w:numId w:val="10"/>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xml:space="preserve">De même un expert ayant l’expérience requise pourrait-il être proposé sur plusieurs postes à pourvoir au sein d’un même lot, tout en s’assurant de sa disponibilité pour mener à bien les tâches et activités qui lui incombent sur les postes pour lesquels il/elle serait </w:t>
            </w:r>
            <w:proofErr w:type="spellStart"/>
            <w:proofErr w:type="gramStart"/>
            <w:r w:rsidRPr="005B36B6">
              <w:rPr>
                <w:rFonts w:ascii="Georgia" w:eastAsia="Times New Roman" w:hAnsi="Georgia" w:cs="Calibri"/>
                <w:kern w:val="0"/>
                <w:sz w:val="18"/>
                <w:szCs w:val="18"/>
                <w:lang w:eastAsia="fr-FR"/>
                <w14:ligatures w14:val="none"/>
              </w:rPr>
              <w:t>proposé.e</w:t>
            </w:r>
            <w:proofErr w:type="spellEnd"/>
            <w:proofErr w:type="gramEnd"/>
            <w:r w:rsidRPr="005B36B6">
              <w:rPr>
                <w:rFonts w:ascii="Georgia" w:eastAsia="Times New Roman" w:hAnsi="Georgia" w:cs="Calibri"/>
                <w:kern w:val="0"/>
                <w:sz w:val="18"/>
                <w:szCs w:val="18"/>
                <w:lang w:eastAsia="fr-FR"/>
                <w14:ligatures w14:val="none"/>
              </w:rPr>
              <w:t xml:space="preserve"> ?</w:t>
            </w:r>
          </w:p>
          <w:p w14:paraId="79F594AD"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5D559ACB" w14:textId="1F5986C9" w:rsidR="00664F53" w:rsidRPr="00664F53" w:rsidRDefault="00664F53" w:rsidP="00AE03B4">
            <w:pPr>
              <w:jc w:val="both"/>
              <w:rPr>
                <w:rFonts w:ascii="Georgia" w:hAnsi="Georgia"/>
                <w:sz w:val="18"/>
                <w:szCs w:val="18"/>
              </w:rPr>
            </w:pPr>
            <w:r w:rsidRPr="00664F53">
              <w:rPr>
                <w:rFonts w:ascii="Georgia" w:hAnsi="Georgia"/>
                <w:sz w:val="18"/>
                <w:szCs w:val="18"/>
              </w:rPr>
              <w:t>Non, le CSC n’envisage pas qu’un même expert couvre plusieurs postes au sein d’un lot. Il exige la présentation des 4 experts (un par profil) avec CV et tableau “Profil expert”, chaque profil étant évalué individuellement (écartement &lt; 50 %). Les experts doivent en outre être mobilisables et signer une attestation d’exclusivité pour le lot.</w:t>
            </w:r>
          </w:p>
        </w:tc>
      </w:tr>
      <w:tr w:rsidR="00664F53" w:rsidRPr="005B36B6" w14:paraId="22FC6303" w14:textId="77777777" w:rsidTr="00664F53">
        <w:tc>
          <w:tcPr>
            <w:tcW w:w="156" w:type="pct"/>
          </w:tcPr>
          <w:p w14:paraId="5853AC04" w14:textId="77777777" w:rsidR="00664F53" w:rsidRPr="005B36B6" w:rsidRDefault="00664F53" w:rsidP="00466391">
            <w:pPr>
              <w:rPr>
                <w:rFonts w:ascii="Georgia" w:hAnsi="Georgia"/>
                <w:sz w:val="18"/>
                <w:szCs w:val="18"/>
              </w:rPr>
            </w:pPr>
          </w:p>
        </w:tc>
        <w:tc>
          <w:tcPr>
            <w:tcW w:w="2543" w:type="pct"/>
          </w:tcPr>
          <w:p w14:paraId="03ECD59A" w14:textId="77777777" w:rsidR="00664F53" w:rsidRPr="005B36B6" w:rsidRDefault="00664F53" w:rsidP="00311051">
            <w:pPr>
              <w:numPr>
                <w:ilvl w:val="0"/>
                <w:numId w:val="10"/>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Nous constatons que l’évaluation des diplômes est assez stricte.  Or, il arrive souvent que l’expertise professionnelle diffère du diplôme obtenu et à l’inverse. Dans le cas où un expert n’aurait pas le diplôme d’études supérieures requis pour le poste en question, mais peut justifier d’une expérience professionnelle équivalente et pertinente dans le domaine concerné d’au moins 5 ans en plus des années d’expérience requises pour le poste en question, pourrions-nous considérer que l’expert est éligible ?</w:t>
            </w:r>
          </w:p>
          <w:p w14:paraId="1CFAEE19"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618CE3FC" w14:textId="373B2743" w:rsidR="00664F53" w:rsidRPr="00664F53" w:rsidRDefault="00664F53" w:rsidP="00466391">
            <w:pPr>
              <w:jc w:val="both"/>
              <w:rPr>
                <w:rFonts w:ascii="Georgia" w:hAnsi="Georgia"/>
                <w:sz w:val="18"/>
                <w:szCs w:val="18"/>
              </w:rPr>
            </w:pPr>
            <w:r w:rsidRPr="00664F53">
              <w:rPr>
                <w:rFonts w:ascii="Georgia" w:hAnsi="Georgia"/>
                <w:sz w:val="18"/>
                <w:szCs w:val="18"/>
              </w:rPr>
              <w:t>Non. Le CSC ne permet pas de remplacer le diplôme minimal requis par de l’expérience. Le diplôme figure parmi les exigences minimales des profils et le non-respect d’une exigence minimale constitue une irrégularité substantielle entraînant l’exclusion. Seule exception ciblée : lorsque le profil mentionne explicitement “ou équivalent”, ce qui renvoie à un diplôme/grade équivalent, pas à une substitution par années d’expérience</w:t>
            </w:r>
          </w:p>
        </w:tc>
      </w:tr>
      <w:tr w:rsidR="00664F53" w:rsidRPr="005B36B6" w14:paraId="6530E5A9" w14:textId="77777777" w:rsidTr="00664F53">
        <w:tc>
          <w:tcPr>
            <w:tcW w:w="156" w:type="pct"/>
          </w:tcPr>
          <w:p w14:paraId="3FA05B19" w14:textId="77777777" w:rsidR="00664F53" w:rsidRPr="005B36B6" w:rsidRDefault="00664F53" w:rsidP="00466391">
            <w:pPr>
              <w:rPr>
                <w:rFonts w:ascii="Georgia" w:hAnsi="Georgia"/>
                <w:sz w:val="18"/>
                <w:szCs w:val="18"/>
              </w:rPr>
            </w:pPr>
          </w:p>
        </w:tc>
        <w:tc>
          <w:tcPr>
            <w:tcW w:w="2543" w:type="pct"/>
          </w:tcPr>
          <w:p w14:paraId="4D149C08" w14:textId="77777777" w:rsidR="00664F53" w:rsidRPr="005B36B6" w:rsidRDefault="00664F53" w:rsidP="00AE03B4">
            <w:pPr>
              <w:pStyle w:val="Paragraphedeliste"/>
              <w:numPr>
                <w:ilvl w:val="0"/>
                <w:numId w:val="7"/>
              </w:numPr>
              <w:ind w:left="159" w:hanging="159"/>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Par ailleurs, serait-il également possible de nous transmettre les autres réponses à des clarifications qui seraient déjà disponibles (cf. ci-dessous) ? :</w:t>
            </w:r>
          </w:p>
          <w:p w14:paraId="2AB2C39D" w14:textId="77777777" w:rsidR="00664F53" w:rsidRPr="005B36B6" w:rsidRDefault="00664F53" w:rsidP="0031105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2707164F" w14:textId="77777777" w:rsidR="00664F53" w:rsidRPr="005B36B6" w:rsidRDefault="00664F53" w:rsidP="0031105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b/>
                <w:bCs/>
                <w:i/>
                <w:iCs/>
                <w:kern w:val="0"/>
                <w:sz w:val="18"/>
                <w:szCs w:val="18"/>
                <w:lang w:eastAsia="fr-FR"/>
                <w14:ligatures w14:val="none"/>
              </w:rPr>
              <w:t>Jusqu’à 10 jours </w:t>
            </w:r>
            <w:r w:rsidRPr="005B36B6">
              <w:rPr>
                <w:rFonts w:ascii="Georgia" w:eastAsia="Times New Roman" w:hAnsi="Georgia" w:cs="Calibri"/>
                <w:i/>
                <w:iCs/>
                <w:kern w:val="0"/>
                <w:sz w:val="18"/>
                <w:szCs w:val="18"/>
                <w:lang w:eastAsia="fr-FR"/>
                <w14:ligatures w14:val="none"/>
              </w:rPr>
              <w:t>avant la date limite de dépôt des offres, les candidats-soumissionnaires peuvent poser des questions concernant le CSC et le marché. Les questions seront posées par écrit à </w:t>
            </w:r>
            <w:r w:rsidRPr="005B36B6">
              <w:rPr>
                <w:rFonts w:ascii="Georgia" w:eastAsia="Times New Roman" w:hAnsi="Georgia" w:cs="Calibri"/>
                <w:b/>
                <w:bCs/>
                <w:i/>
                <w:iCs/>
                <w:kern w:val="0"/>
                <w:sz w:val="18"/>
                <w:szCs w:val="18"/>
                <w:lang w:eastAsia="fr-FR"/>
                <w14:ligatures w14:val="none"/>
              </w:rPr>
              <w:t>(</w:t>
            </w:r>
            <w:hyperlink r:id="rId7" w:tooltip="mailto:mp.bdi@enabel.be" w:history="1">
              <w:r w:rsidRPr="005B36B6">
                <w:rPr>
                  <w:rStyle w:val="Lienhypertexte"/>
                  <w:rFonts w:ascii="Georgia" w:eastAsia="Times New Roman" w:hAnsi="Georgia" w:cs="Calibri"/>
                  <w:b/>
                  <w:bCs/>
                  <w:i/>
                  <w:iCs/>
                  <w:kern w:val="0"/>
                  <w:sz w:val="18"/>
                  <w:szCs w:val="18"/>
                  <w:lang w:eastAsia="fr-FR"/>
                  <w14:ligatures w14:val="none"/>
                </w:rPr>
                <w:t>mp.bdi@enabel.be</w:t>
              </w:r>
            </w:hyperlink>
            <w:r w:rsidRPr="005B36B6">
              <w:rPr>
                <w:rFonts w:ascii="Georgia" w:eastAsia="Times New Roman" w:hAnsi="Georgia" w:cs="Calibri"/>
                <w:b/>
                <w:bCs/>
                <w:i/>
                <w:iCs/>
                <w:kern w:val="0"/>
                <w:sz w:val="18"/>
                <w:szCs w:val="18"/>
                <w:lang w:eastAsia="fr-FR"/>
                <w14:ligatures w14:val="none"/>
              </w:rPr>
              <w:t>) </w:t>
            </w:r>
            <w:r w:rsidRPr="005B36B6">
              <w:rPr>
                <w:rFonts w:ascii="Georgia" w:eastAsia="Times New Roman" w:hAnsi="Georgia" w:cs="Calibri"/>
                <w:i/>
                <w:iCs/>
                <w:kern w:val="0"/>
                <w:sz w:val="18"/>
                <w:szCs w:val="18"/>
                <w:lang w:eastAsia="fr-FR"/>
                <w14:ligatures w14:val="none"/>
              </w:rPr>
              <w:t>et il y sera répondu au fur et à mesure de leur réception. L’aperçu complet des questions posées sera disponible sur demande à l’adresse ci-dessus</w:t>
            </w:r>
          </w:p>
          <w:p w14:paraId="05D3AD65"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24AFB0F8" w14:textId="621511D4" w:rsidR="00664F53" w:rsidRPr="00664F53" w:rsidRDefault="00664F53" w:rsidP="00466391">
            <w:pPr>
              <w:jc w:val="both"/>
              <w:rPr>
                <w:rFonts w:ascii="Georgia" w:hAnsi="Georgia"/>
                <w:sz w:val="18"/>
                <w:szCs w:val="18"/>
              </w:rPr>
            </w:pPr>
            <w:r w:rsidRPr="00664F53">
              <w:rPr>
                <w:rFonts w:ascii="Georgia" w:hAnsi="Georgia"/>
                <w:sz w:val="18"/>
                <w:szCs w:val="18"/>
              </w:rPr>
              <w:t>Oui. Conformément au §3.3 du CSC, nous transmettons sur demande l’aperçu complet des questions-réponses déjà disponibles. Les nouvelles clarifications seront diffusées à tous les soumissionnaires au fur et à mesure, via la Cellule Contractualisation (</w:t>
            </w:r>
            <w:hyperlink r:id="rId8" w:history="1">
              <w:r w:rsidRPr="00664F53">
                <w:rPr>
                  <w:rFonts w:ascii="Georgia" w:hAnsi="Georgia"/>
                  <w:sz w:val="18"/>
                  <w:szCs w:val="18"/>
                </w:rPr>
                <w:t>mp.bdi@enabel.be</w:t>
              </w:r>
            </w:hyperlink>
            <w:r w:rsidRPr="00664F53">
              <w:rPr>
                <w:rFonts w:ascii="Georgia" w:hAnsi="Georgia"/>
                <w:sz w:val="18"/>
                <w:szCs w:val="18"/>
              </w:rPr>
              <w:t>). Pour garantir l’égalité de traitement, merci d’adresser toute demande par ce canal unique.</w:t>
            </w:r>
          </w:p>
        </w:tc>
      </w:tr>
      <w:tr w:rsidR="00664F53" w:rsidRPr="005B36B6" w14:paraId="4F947029" w14:textId="77777777" w:rsidTr="00664F53">
        <w:tc>
          <w:tcPr>
            <w:tcW w:w="156" w:type="pct"/>
          </w:tcPr>
          <w:p w14:paraId="343B77F1" w14:textId="09EAAD01" w:rsidR="00664F53" w:rsidRPr="005B36B6" w:rsidRDefault="00664F53" w:rsidP="00466391">
            <w:pPr>
              <w:rPr>
                <w:rFonts w:ascii="Georgia" w:hAnsi="Georgia"/>
                <w:sz w:val="18"/>
                <w:szCs w:val="18"/>
              </w:rPr>
            </w:pPr>
            <w:r w:rsidRPr="005B36B6">
              <w:rPr>
                <w:rFonts w:ascii="Georgia" w:hAnsi="Georgia"/>
                <w:sz w:val="18"/>
                <w:szCs w:val="18"/>
              </w:rPr>
              <w:t>15</w:t>
            </w:r>
          </w:p>
        </w:tc>
        <w:tc>
          <w:tcPr>
            <w:tcW w:w="2543" w:type="pct"/>
          </w:tcPr>
          <w:p w14:paraId="0BE505C1"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Pourriez-vous préciser si nous devons également fournir le CV et une déclaration d’exclusivité pour les expertises complémentaires non prévues initialement pour les 2 lots et décrites aux points 5.4.2 et 5.4.3 du cahier des charges ?</w:t>
            </w:r>
          </w:p>
          <w:p w14:paraId="6C1A84F8"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68752859"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7199C954" w14:textId="446195E2" w:rsidR="00664F53" w:rsidRPr="00664F53" w:rsidRDefault="00664F53" w:rsidP="00466391">
            <w:pPr>
              <w:jc w:val="both"/>
              <w:rPr>
                <w:rFonts w:ascii="Georgia" w:hAnsi="Georgia"/>
                <w:sz w:val="18"/>
                <w:szCs w:val="18"/>
              </w:rPr>
            </w:pPr>
            <w:r w:rsidRPr="00664F53">
              <w:rPr>
                <w:rFonts w:ascii="Georgia" w:hAnsi="Georgia"/>
                <w:sz w:val="18"/>
                <w:szCs w:val="18"/>
              </w:rPr>
              <w:t>CV : oui, recommandé. Le CSC invite à joindre les CV des profils complémentaires (5.4.2–5.4.3) et les évalue (10 pts). Exclusivité : non à ce stade. L’attestation d’exclusivité est requise pour les 4 experts obligatoires ; les expertises complémentaires seront mobilisées ultérieurement, sur validation écrite d’Enabel. Les prix “option exigée” doivent être complétés.</w:t>
            </w:r>
          </w:p>
        </w:tc>
      </w:tr>
      <w:tr w:rsidR="00664F53" w:rsidRPr="005B36B6" w14:paraId="51DD253F" w14:textId="77777777" w:rsidTr="00664F53">
        <w:tc>
          <w:tcPr>
            <w:tcW w:w="156" w:type="pct"/>
          </w:tcPr>
          <w:p w14:paraId="15B5D9D8" w14:textId="2255C59F" w:rsidR="00664F53" w:rsidRPr="005B36B6" w:rsidRDefault="00664F53" w:rsidP="00AE03B4">
            <w:pPr>
              <w:rPr>
                <w:rFonts w:ascii="Georgia" w:hAnsi="Georgia"/>
                <w:sz w:val="18"/>
                <w:szCs w:val="18"/>
              </w:rPr>
            </w:pPr>
            <w:r w:rsidRPr="005B36B6">
              <w:rPr>
                <w:rFonts w:ascii="Georgia" w:hAnsi="Georgia"/>
                <w:sz w:val="18"/>
                <w:szCs w:val="18"/>
              </w:rPr>
              <w:t>16</w:t>
            </w:r>
          </w:p>
        </w:tc>
        <w:tc>
          <w:tcPr>
            <w:tcW w:w="2543" w:type="pct"/>
          </w:tcPr>
          <w:p w14:paraId="23293E39" w14:textId="2C3E98C6" w:rsidR="00664F53" w:rsidRPr="005B36B6" w:rsidRDefault="00664F53" w:rsidP="00AE03B4">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A ce titre, nous souhaiterions obtenir une précision concernant le point suivant :</w:t>
            </w:r>
          </w:p>
          <w:p w14:paraId="0044D7E5" w14:textId="77777777" w:rsidR="00664F53" w:rsidRPr="005B36B6" w:rsidRDefault="00664F53" w:rsidP="00AE03B4">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br/>
              <w:t>« CV des experts, ainsi que son plan de mobilisation des autres compétences requises (voir sections 5.4.1 &amp; 5.4.1.2) dans une note succincte (max. 1 page A4 recto-verso). »</w:t>
            </w:r>
          </w:p>
          <w:p w14:paraId="6C1B0EBB" w14:textId="77777777" w:rsidR="00664F53" w:rsidRPr="005B36B6" w:rsidRDefault="00664F53" w:rsidP="00AE03B4">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65111205" w14:textId="77777777" w:rsidR="00664F53" w:rsidRPr="005B36B6" w:rsidRDefault="00664F53" w:rsidP="00AE03B4">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Cette exigence signifie-t-elle qu’il faut présenter un tableau uniquement pour les experts non clés, ou bien pour l’ensemble des experts, principaux et non clés ?</w:t>
            </w:r>
          </w:p>
          <w:p w14:paraId="7C72EE36" w14:textId="77777777" w:rsidR="00664F53" w:rsidRPr="005B36B6" w:rsidRDefault="00664F53" w:rsidP="00AE03B4">
            <w:pPr>
              <w:jc w:val="both"/>
              <w:rPr>
                <w:rFonts w:ascii="Georgia" w:eastAsia="Times New Roman" w:hAnsi="Georgia" w:cs="Calibri"/>
                <w:kern w:val="0"/>
                <w:sz w:val="18"/>
                <w:szCs w:val="18"/>
                <w:lang w:eastAsia="fr-FR"/>
                <w14:ligatures w14:val="none"/>
              </w:rPr>
            </w:pPr>
          </w:p>
        </w:tc>
        <w:tc>
          <w:tcPr>
            <w:tcW w:w="2301" w:type="pct"/>
          </w:tcPr>
          <w:p w14:paraId="6029770A" w14:textId="4F39AC23" w:rsidR="00664F53" w:rsidRPr="00664F53" w:rsidRDefault="00664F53" w:rsidP="00AE03B4">
            <w:pPr>
              <w:jc w:val="both"/>
              <w:rPr>
                <w:rFonts w:ascii="Georgia" w:hAnsi="Georgia"/>
                <w:sz w:val="18"/>
                <w:szCs w:val="18"/>
              </w:rPr>
            </w:pPr>
            <w:r w:rsidRPr="00664F53">
              <w:rPr>
                <w:rFonts w:ascii="Georgia" w:hAnsi="Georgia"/>
                <w:sz w:val="18"/>
                <w:szCs w:val="18"/>
              </w:rPr>
              <w:t>Les CV (modèle 6.10) sont requis pour les 4 experts clés. Pour les experts complémentaires, les CV ne sont pas exigés pour l’évaluation ; néanmoins, nous vous invitons vivement à les joindre en annexe (format libre ou 6.10, idéalement ≤ 2 pages par CV). Ces CV restent facultatifs, ne se substituent pas à la note succincte (1 feuille A4 recto-verso) et n’altèrent pas les critères de notation, mais facilitent l’appréciation de votre capacité de mobilisation.</w:t>
            </w:r>
          </w:p>
        </w:tc>
      </w:tr>
      <w:tr w:rsidR="00664F53" w:rsidRPr="005B36B6" w14:paraId="5064FE56" w14:textId="77777777" w:rsidTr="00664F53">
        <w:tc>
          <w:tcPr>
            <w:tcW w:w="156" w:type="pct"/>
          </w:tcPr>
          <w:p w14:paraId="2BEABC2D" w14:textId="0BA10850" w:rsidR="00664F53" w:rsidRPr="005B36B6" w:rsidRDefault="00664F53" w:rsidP="00466391">
            <w:pPr>
              <w:rPr>
                <w:rFonts w:ascii="Georgia" w:hAnsi="Georgia"/>
                <w:sz w:val="18"/>
                <w:szCs w:val="18"/>
              </w:rPr>
            </w:pPr>
            <w:r w:rsidRPr="005B36B6">
              <w:rPr>
                <w:rFonts w:ascii="Georgia" w:hAnsi="Georgia"/>
                <w:sz w:val="18"/>
                <w:szCs w:val="18"/>
              </w:rPr>
              <w:t>17</w:t>
            </w:r>
          </w:p>
        </w:tc>
        <w:tc>
          <w:tcPr>
            <w:tcW w:w="2543" w:type="pct"/>
          </w:tcPr>
          <w:p w14:paraId="4C2FA725"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Nous nous demandons s’il n’y a pas une discordance dans le cahier des charges.</w:t>
            </w:r>
          </w:p>
          <w:p w14:paraId="5B2C2376"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47594AB8"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Sous le point</w:t>
            </w:r>
            <w:r w:rsidRPr="005B36B6">
              <w:rPr>
                <w:rFonts w:ascii="Georgia" w:eastAsia="Times New Roman" w:hAnsi="Georgia" w:cs="Calibri"/>
                <w:b/>
                <w:bCs/>
                <w:kern w:val="0"/>
                <w:sz w:val="18"/>
                <w:szCs w:val="18"/>
                <w:lang w:eastAsia="fr-FR"/>
                <w14:ligatures w14:val="none"/>
              </w:rPr>
              <w:t> 3.4.9 Conclusion de l’accord cadre</w:t>
            </w:r>
            <w:r w:rsidRPr="005B36B6">
              <w:rPr>
                <w:rFonts w:ascii="Georgia" w:eastAsia="Times New Roman" w:hAnsi="Georgia" w:cs="Calibri"/>
                <w:kern w:val="0"/>
                <w:sz w:val="18"/>
                <w:szCs w:val="18"/>
                <w:lang w:eastAsia="fr-FR"/>
                <w14:ligatures w14:val="none"/>
              </w:rPr>
              <w:t> il est mentionné</w:t>
            </w:r>
          </w:p>
          <w:p w14:paraId="4794616A" w14:textId="1C718EF9"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noProof/>
                <w:kern w:val="0"/>
                <w:sz w:val="18"/>
                <w:szCs w:val="18"/>
                <w:lang w:eastAsia="fr-FR"/>
                <w14:ligatures w14:val="none"/>
              </w:rPr>
              <w:drawing>
                <wp:inline distT="0" distB="0" distL="0" distR="0" wp14:anchorId="631D236F" wp14:editId="1EC4CAEF">
                  <wp:extent cx="2695492" cy="533366"/>
                  <wp:effectExtent l="0" t="0" r="0" b="635"/>
                  <wp:docPr id="163142170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559" cy="549407"/>
                          </a:xfrm>
                          <a:prstGeom prst="rect">
                            <a:avLst/>
                          </a:prstGeom>
                          <a:noFill/>
                          <a:ln>
                            <a:noFill/>
                          </a:ln>
                        </pic:spPr>
                      </pic:pic>
                    </a:graphicData>
                  </a:graphic>
                </wp:inline>
              </w:drawing>
            </w:r>
          </w:p>
          <w:p w14:paraId="57B1EFF1" w14:textId="0B49FC9E"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Plus loin sous le point</w:t>
            </w:r>
            <w:r w:rsidRPr="005B36B6">
              <w:rPr>
                <w:rFonts w:ascii="Georgia" w:eastAsia="Times New Roman" w:hAnsi="Georgia" w:cs="Calibri"/>
                <w:b/>
                <w:bCs/>
                <w:kern w:val="0"/>
                <w:sz w:val="18"/>
                <w:szCs w:val="18"/>
                <w:lang w:eastAsia="fr-FR"/>
                <w14:ligatures w14:val="none"/>
              </w:rPr>
              <w:t> 3.5 Procédures visant la conclusion des marchés fondés sur l’accord-cadre Lot1 et 2</w:t>
            </w:r>
            <w:r w:rsidRPr="005B36B6">
              <w:rPr>
                <w:rFonts w:ascii="Georgia" w:eastAsia="Times New Roman" w:hAnsi="Georgia" w:cs="Calibri"/>
                <w:kern w:val="0"/>
                <w:sz w:val="18"/>
                <w:szCs w:val="18"/>
                <w:lang w:eastAsia="fr-FR"/>
                <w14:ligatures w14:val="none"/>
              </w:rPr>
              <w:t>, le processus d’exécution du marché prévoit :</w:t>
            </w:r>
          </w:p>
          <w:p w14:paraId="604ECFB5"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w:t>
            </w:r>
          </w:p>
          <w:p w14:paraId="4A8346D1" w14:textId="77777777"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i/>
                <w:iCs/>
                <w:kern w:val="0"/>
                <w:sz w:val="18"/>
                <w:szCs w:val="18"/>
                <w:lang w:eastAsia="fr-FR"/>
                <w14:ligatures w14:val="none"/>
              </w:rPr>
              <w:t>Après la conclusion de l’accord-cadre et la désignation de </w:t>
            </w:r>
            <w:r w:rsidRPr="005B36B6">
              <w:rPr>
                <w:rFonts w:ascii="Georgia" w:eastAsia="Times New Roman" w:hAnsi="Georgia" w:cs="Calibri"/>
                <w:i/>
                <w:iCs/>
                <w:kern w:val="0"/>
                <w:sz w:val="18"/>
                <w:szCs w:val="18"/>
                <w:u w:val="single"/>
                <w:lang w:eastAsia="fr-FR"/>
                <w14:ligatures w14:val="none"/>
              </w:rPr>
              <w:t>trois participants</w:t>
            </w:r>
            <w:r w:rsidRPr="005B36B6">
              <w:rPr>
                <w:rFonts w:ascii="Georgia" w:eastAsia="Times New Roman" w:hAnsi="Georgia" w:cs="Calibri"/>
                <w:i/>
                <w:iCs/>
                <w:kern w:val="0"/>
                <w:sz w:val="18"/>
                <w:szCs w:val="18"/>
                <w:lang w:eastAsia="fr-FR"/>
                <w14:ligatures w14:val="none"/>
              </w:rPr>
              <w:t> (phase 1)</w:t>
            </w:r>
            <w:r w:rsidRPr="005B36B6">
              <w:rPr>
                <w:rFonts w:ascii="Georgia" w:eastAsia="Times New Roman" w:hAnsi="Georgia" w:cs="Calibri"/>
                <w:kern w:val="0"/>
                <w:sz w:val="18"/>
                <w:szCs w:val="18"/>
                <w:lang w:eastAsia="fr-FR"/>
                <w14:ligatures w14:val="none"/>
              </w:rPr>
              <w:t>,</w:t>
            </w:r>
          </w:p>
          <w:p w14:paraId="2940A7A1" w14:textId="6E55EF21"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noProof/>
                <w:kern w:val="0"/>
                <w:sz w:val="18"/>
                <w:szCs w:val="18"/>
                <w:lang w:eastAsia="fr-FR"/>
                <w14:ligatures w14:val="none"/>
              </w:rPr>
              <w:lastRenderedPageBreak/>
              <w:drawing>
                <wp:inline distT="0" distB="0" distL="0" distR="0" wp14:anchorId="6FE55660" wp14:editId="39334EB4">
                  <wp:extent cx="2862469" cy="1729740"/>
                  <wp:effectExtent l="0" t="0" r="0" b="3810"/>
                  <wp:docPr id="63648280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496" cy="1735799"/>
                          </a:xfrm>
                          <a:prstGeom prst="rect">
                            <a:avLst/>
                          </a:prstGeom>
                          <a:noFill/>
                          <a:ln>
                            <a:noFill/>
                          </a:ln>
                        </pic:spPr>
                      </pic:pic>
                    </a:graphicData>
                  </a:graphic>
                </wp:inline>
              </w:drawing>
            </w:r>
          </w:p>
          <w:p w14:paraId="2931818A" w14:textId="306CDEDD"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 Pourriez-vous clarifier si ce seront finalement </w:t>
            </w:r>
            <w:r w:rsidRPr="005B36B6">
              <w:rPr>
                <w:rFonts w:ascii="Georgia" w:eastAsia="Times New Roman" w:hAnsi="Georgia" w:cs="Calibri"/>
                <w:kern w:val="0"/>
                <w:sz w:val="18"/>
                <w:szCs w:val="18"/>
                <w:u w:val="single"/>
                <w:lang w:eastAsia="fr-FR"/>
                <w14:ligatures w14:val="none"/>
              </w:rPr>
              <w:t>deux</w:t>
            </w:r>
            <w:r w:rsidRPr="005B36B6">
              <w:rPr>
                <w:rFonts w:ascii="Georgia" w:eastAsia="Times New Roman" w:hAnsi="Georgia" w:cs="Calibri"/>
                <w:kern w:val="0"/>
                <w:sz w:val="18"/>
                <w:szCs w:val="18"/>
                <w:lang w:eastAsia="fr-FR"/>
                <w14:ligatures w14:val="none"/>
              </w:rPr>
              <w:t> ou </w:t>
            </w:r>
            <w:r w:rsidRPr="005B36B6">
              <w:rPr>
                <w:rFonts w:ascii="Georgia" w:eastAsia="Times New Roman" w:hAnsi="Georgia" w:cs="Calibri"/>
                <w:kern w:val="0"/>
                <w:sz w:val="18"/>
                <w:szCs w:val="18"/>
                <w:u w:val="single"/>
                <w:lang w:eastAsia="fr-FR"/>
                <w14:ligatures w14:val="none"/>
              </w:rPr>
              <w:t>trois</w:t>
            </w:r>
            <w:r w:rsidRPr="005B36B6">
              <w:rPr>
                <w:rFonts w:ascii="Georgia" w:eastAsia="Times New Roman" w:hAnsi="Georgia" w:cs="Calibri"/>
                <w:kern w:val="0"/>
                <w:sz w:val="18"/>
                <w:szCs w:val="18"/>
                <w:lang w:eastAsia="fr-FR"/>
                <w14:ligatures w14:val="none"/>
              </w:rPr>
              <w:t> soumissionnaires/participants qui seront retenus sur chaque lot ?</w:t>
            </w:r>
          </w:p>
          <w:p w14:paraId="6741DF77"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6526BF41" w14:textId="49C4D39F" w:rsidR="00664F53" w:rsidRPr="00664F53" w:rsidRDefault="00664F53" w:rsidP="00466391">
            <w:pPr>
              <w:jc w:val="both"/>
              <w:rPr>
                <w:rFonts w:ascii="Georgia" w:hAnsi="Georgia"/>
                <w:sz w:val="18"/>
                <w:szCs w:val="18"/>
              </w:rPr>
            </w:pPr>
            <w:r w:rsidRPr="00664F53">
              <w:rPr>
                <w:rFonts w:ascii="Georgia" w:hAnsi="Georgia"/>
                <w:sz w:val="18"/>
                <w:szCs w:val="18"/>
              </w:rPr>
              <w:lastRenderedPageBreak/>
              <w:t>Pour chaque lot, deux (2) participants maximum seront retenus à l’issue de la phase 1, conformément aux §§ 3.4.9 et 2.2 du CSC. La référence à “trois participants” figurant au § 3.5 est une erreur matérielle ; la procédure décrite à ce paragraphe s’appliquera entre deux participants.</w:t>
            </w:r>
          </w:p>
        </w:tc>
      </w:tr>
      <w:tr w:rsidR="00664F53" w:rsidRPr="005B36B6" w14:paraId="7E1BEA02" w14:textId="77777777" w:rsidTr="00664F53">
        <w:tc>
          <w:tcPr>
            <w:tcW w:w="156" w:type="pct"/>
          </w:tcPr>
          <w:p w14:paraId="6561BE39" w14:textId="1CDDD1C9" w:rsidR="00664F53" w:rsidRPr="005B36B6" w:rsidRDefault="00664F53" w:rsidP="00466391">
            <w:pPr>
              <w:rPr>
                <w:rFonts w:ascii="Georgia" w:hAnsi="Georgia"/>
                <w:sz w:val="18"/>
                <w:szCs w:val="18"/>
              </w:rPr>
            </w:pPr>
            <w:r w:rsidRPr="005B36B6">
              <w:rPr>
                <w:rFonts w:ascii="Georgia" w:hAnsi="Georgia"/>
                <w:sz w:val="18"/>
                <w:szCs w:val="18"/>
              </w:rPr>
              <w:t>18</w:t>
            </w:r>
          </w:p>
        </w:tc>
        <w:tc>
          <w:tcPr>
            <w:tcW w:w="2543" w:type="pct"/>
          </w:tcPr>
          <w:p w14:paraId="0C6E3CF7" w14:textId="77777777" w:rsidR="00664F53" w:rsidRPr="005B36B6" w:rsidRDefault="00664F53" w:rsidP="00466391">
            <w:pPr>
              <w:jc w:val="both"/>
              <w:rPr>
                <w:rFonts w:ascii="Georgia" w:eastAsia="Times New Roman" w:hAnsi="Georgia" w:cs="Calibri"/>
                <w:b/>
                <w:bCs/>
                <w:kern w:val="0"/>
                <w:sz w:val="18"/>
                <w:szCs w:val="18"/>
                <w:lang w:eastAsia="fr-FR"/>
                <w14:ligatures w14:val="none"/>
              </w:rPr>
            </w:pPr>
            <w:r w:rsidRPr="005B36B6">
              <w:rPr>
                <w:rFonts w:ascii="Georgia" w:eastAsia="Times New Roman" w:hAnsi="Georgia" w:cs="Calibri"/>
                <w:b/>
                <w:bCs/>
                <w:kern w:val="0"/>
                <w:sz w:val="18"/>
                <w:szCs w:val="18"/>
                <w:lang w:eastAsia="fr-FR"/>
                <w14:ligatures w14:val="none"/>
              </w:rPr>
              <w:t>Aspects administratifs</w:t>
            </w:r>
          </w:p>
          <w:p w14:paraId="71CB740F" w14:textId="054CEFDC"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Une organisation, peut-elle soumissionner pour les deux lots dans un seul dossier (avec des chapitres méthodologiques et des équipes spécifiques pour chaque lot) ou attendez-vous deux dossiers distincts via la plate-forme e-procurement ?</w:t>
            </w:r>
          </w:p>
        </w:tc>
        <w:tc>
          <w:tcPr>
            <w:tcW w:w="2301" w:type="pct"/>
          </w:tcPr>
          <w:p w14:paraId="10B62476" w14:textId="77777777" w:rsidR="00664F53" w:rsidRPr="00664F53" w:rsidRDefault="00664F53" w:rsidP="006857BA">
            <w:pPr>
              <w:spacing w:before="100" w:beforeAutospacing="1" w:after="100" w:afterAutospacing="1"/>
              <w:jc w:val="both"/>
              <w:rPr>
                <w:rFonts w:ascii="Georgia" w:eastAsia="Times New Roman" w:hAnsi="Georgia" w:cstheme="minorHAnsi"/>
                <w:kern w:val="0"/>
                <w:sz w:val="18"/>
                <w:szCs w:val="18"/>
                <w:lang w:val="fr-BE" w:eastAsia="fr-BE"/>
              </w:rPr>
            </w:pPr>
            <w:r w:rsidRPr="00664F53">
              <w:rPr>
                <w:rFonts w:ascii="Georgia" w:eastAsia="Times New Roman" w:hAnsi="Georgia" w:cstheme="minorHAnsi"/>
                <w:kern w:val="0"/>
                <w:sz w:val="18"/>
                <w:szCs w:val="18"/>
                <w:lang w:val="fr-BE" w:eastAsia="fr-BE"/>
              </w:rPr>
              <w:t xml:space="preserve">Un seul dossier peut couvrir un ou plusieurs lots. Le CSC précise qu’un soumissionnaire « ne peut remettre qu’une seule offre pour un ou plusieurs lot(s) » et qu’il « peut introduire une offre pour un, plusieurs ou tous les lots ». </w:t>
            </w:r>
          </w:p>
          <w:p w14:paraId="36A189FA" w14:textId="77777777" w:rsidR="00664F53" w:rsidRPr="00664F53" w:rsidRDefault="00664F53" w:rsidP="006857BA">
            <w:pPr>
              <w:spacing w:before="100" w:beforeAutospacing="1" w:after="100" w:afterAutospacing="1"/>
              <w:jc w:val="both"/>
              <w:rPr>
                <w:rFonts w:ascii="Georgia" w:eastAsia="Times New Roman" w:hAnsi="Georgia" w:cstheme="minorHAnsi"/>
                <w:kern w:val="0"/>
                <w:sz w:val="18"/>
                <w:szCs w:val="18"/>
                <w:lang w:val="fr-BE" w:eastAsia="fr-BE"/>
              </w:rPr>
            </w:pPr>
            <w:r w:rsidRPr="00664F53">
              <w:rPr>
                <w:rFonts w:ascii="Georgia" w:eastAsia="Times New Roman" w:hAnsi="Georgia" w:cstheme="minorHAnsi"/>
                <w:kern w:val="0"/>
                <w:sz w:val="18"/>
                <w:szCs w:val="18"/>
                <w:lang w:val="fr-BE" w:eastAsia="fr-BE"/>
              </w:rPr>
              <w:t>Ce que ça implique :</w:t>
            </w:r>
          </w:p>
          <w:p w14:paraId="6E36FDC1" w14:textId="77777777" w:rsidR="00664F53" w:rsidRPr="00664F53" w:rsidRDefault="00664F53" w:rsidP="006857BA">
            <w:pPr>
              <w:numPr>
                <w:ilvl w:val="0"/>
                <w:numId w:val="17"/>
              </w:numPr>
              <w:spacing w:before="100" w:beforeAutospacing="1" w:after="100" w:afterAutospacing="1"/>
              <w:ind w:left="88" w:hanging="141"/>
              <w:jc w:val="both"/>
              <w:rPr>
                <w:rFonts w:ascii="Georgia" w:eastAsia="Times New Roman" w:hAnsi="Georgia" w:cstheme="minorHAnsi"/>
                <w:kern w:val="0"/>
                <w:sz w:val="18"/>
                <w:szCs w:val="18"/>
                <w:lang w:val="fr-BE" w:eastAsia="fr-BE"/>
              </w:rPr>
            </w:pPr>
            <w:r w:rsidRPr="00664F53">
              <w:rPr>
                <w:rFonts w:ascii="Georgia" w:eastAsia="Times New Roman" w:hAnsi="Georgia" w:cstheme="minorHAnsi"/>
                <w:kern w:val="0"/>
                <w:sz w:val="18"/>
                <w:szCs w:val="18"/>
                <w:lang w:val="fr-BE" w:eastAsia="fr-BE"/>
              </w:rPr>
              <w:t>Dans cette unique offre, structurez des chapitres séparés par lot (méthodo, équipe, prix, etc.).</w:t>
            </w:r>
          </w:p>
          <w:p w14:paraId="4EB1CF52" w14:textId="77777777" w:rsidR="00664F53" w:rsidRPr="00664F53" w:rsidRDefault="00664F53" w:rsidP="006857BA">
            <w:pPr>
              <w:numPr>
                <w:ilvl w:val="0"/>
                <w:numId w:val="17"/>
              </w:numPr>
              <w:spacing w:before="100" w:beforeAutospacing="1" w:after="100" w:afterAutospacing="1"/>
              <w:ind w:left="88" w:hanging="141"/>
              <w:jc w:val="both"/>
              <w:rPr>
                <w:rFonts w:ascii="Georgia" w:eastAsia="Times New Roman" w:hAnsi="Georgia" w:cstheme="minorHAnsi"/>
                <w:kern w:val="0"/>
                <w:sz w:val="18"/>
                <w:szCs w:val="18"/>
                <w:lang w:val="fr-BE" w:eastAsia="fr-BE"/>
              </w:rPr>
            </w:pPr>
            <w:r w:rsidRPr="00664F53">
              <w:rPr>
                <w:rFonts w:ascii="Georgia" w:eastAsia="Times New Roman" w:hAnsi="Georgia" w:cstheme="minorHAnsi"/>
                <w:kern w:val="0"/>
                <w:sz w:val="18"/>
                <w:szCs w:val="18"/>
                <w:lang w:val="fr-BE" w:eastAsia="fr-BE"/>
              </w:rPr>
              <w:t xml:space="preserve">Si vous répondez à plusieurs lots, vos références sont cumulées (vous devez fournir le total exigé pour l’ensemble des lots visés). </w:t>
            </w:r>
          </w:p>
          <w:p w14:paraId="166B6085" w14:textId="77777777" w:rsidR="00664F53" w:rsidRPr="00664F53" w:rsidRDefault="00664F53" w:rsidP="006857BA">
            <w:pPr>
              <w:numPr>
                <w:ilvl w:val="0"/>
                <w:numId w:val="17"/>
              </w:numPr>
              <w:spacing w:before="100" w:beforeAutospacing="1" w:after="100" w:afterAutospacing="1"/>
              <w:ind w:left="88" w:hanging="141"/>
              <w:jc w:val="both"/>
              <w:rPr>
                <w:rFonts w:ascii="Georgia" w:eastAsia="Times New Roman" w:hAnsi="Georgia" w:cstheme="minorHAnsi"/>
                <w:kern w:val="0"/>
                <w:sz w:val="18"/>
                <w:szCs w:val="18"/>
                <w:lang w:val="fr-BE" w:eastAsia="fr-BE"/>
              </w:rPr>
            </w:pPr>
            <w:r w:rsidRPr="00664F53">
              <w:rPr>
                <w:rFonts w:ascii="Georgia" w:eastAsia="Times New Roman" w:hAnsi="Georgia" w:cstheme="minorHAnsi"/>
                <w:kern w:val="0"/>
                <w:sz w:val="18"/>
                <w:szCs w:val="18"/>
                <w:lang w:val="fr-BE" w:eastAsia="fr-BE"/>
              </w:rPr>
              <w:t xml:space="preserve">Pas de rabais conditionnels croisés entre lots (« si les deux lots nous sont attribués… »). </w:t>
            </w:r>
          </w:p>
          <w:p w14:paraId="25305E1C" w14:textId="30629F17" w:rsidR="00664F53" w:rsidRPr="00664F53" w:rsidRDefault="00664F53" w:rsidP="006857BA">
            <w:pPr>
              <w:jc w:val="both"/>
              <w:rPr>
                <w:rFonts w:ascii="Georgia" w:hAnsi="Georgia"/>
                <w:sz w:val="18"/>
                <w:szCs w:val="18"/>
              </w:rPr>
            </w:pPr>
            <w:r w:rsidRPr="00664F53">
              <w:rPr>
                <w:rFonts w:ascii="Georgia" w:eastAsia="Times New Roman" w:hAnsi="Georgia" w:cstheme="minorHAnsi"/>
                <w:kern w:val="0"/>
                <w:sz w:val="18"/>
                <w:szCs w:val="18"/>
                <w:lang w:val="fr-BE" w:eastAsia="fr-BE"/>
              </w:rPr>
              <w:t>Dépôt via e-Procurement (e-</w:t>
            </w:r>
            <w:proofErr w:type="spellStart"/>
            <w:r w:rsidRPr="00664F53">
              <w:rPr>
                <w:rFonts w:ascii="Georgia" w:eastAsia="Times New Roman" w:hAnsi="Georgia" w:cstheme="minorHAnsi"/>
                <w:kern w:val="0"/>
                <w:sz w:val="18"/>
                <w:szCs w:val="18"/>
                <w:lang w:val="fr-BE" w:eastAsia="fr-BE"/>
              </w:rPr>
              <w:t>Tendering</w:t>
            </w:r>
            <w:proofErr w:type="spellEnd"/>
            <w:r w:rsidRPr="00664F53">
              <w:rPr>
                <w:rFonts w:ascii="Georgia" w:eastAsia="Times New Roman" w:hAnsi="Georgia" w:cstheme="minorHAnsi"/>
                <w:kern w:val="0"/>
                <w:sz w:val="18"/>
                <w:szCs w:val="18"/>
                <w:lang w:val="fr-BE" w:eastAsia="fr-BE"/>
              </w:rPr>
              <w:t>) avec signature électronique du rapport de dépôt</w:t>
            </w:r>
          </w:p>
        </w:tc>
      </w:tr>
      <w:tr w:rsidR="00664F53" w:rsidRPr="005B36B6" w14:paraId="6FC5B9C0" w14:textId="77777777" w:rsidTr="00664F53">
        <w:tc>
          <w:tcPr>
            <w:tcW w:w="156" w:type="pct"/>
          </w:tcPr>
          <w:p w14:paraId="0FED3AC7" w14:textId="73A674BE" w:rsidR="00664F53" w:rsidRPr="005B36B6" w:rsidRDefault="00664F53" w:rsidP="00AE03B4">
            <w:pPr>
              <w:rPr>
                <w:rFonts w:ascii="Georgia" w:hAnsi="Georgia"/>
                <w:sz w:val="18"/>
                <w:szCs w:val="18"/>
              </w:rPr>
            </w:pPr>
            <w:r w:rsidRPr="005B36B6">
              <w:rPr>
                <w:rFonts w:ascii="Georgia" w:hAnsi="Georgia"/>
                <w:sz w:val="18"/>
                <w:szCs w:val="18"/>
              </w:rPr>
              <w:t>19</w:t>
            </w:r>
          </w:p>
        </w:tc>
        <w:tc>
          <w:tcPr>
            <w:tcW w:w="2543" w:type="pct"/>
          </w:tcPr>
          <w:p w14:paraId="1AF49513" w14:textId="3F6AB039" w:rsidR="00664F53" w:rsidRPr="005B36B6" w:rsidRDefault="00664F53" w:rsidP="00AE03B4">
            <w:pPr>
              <w:jc w:val="both"/>
              <w:rPr>
                <w:rFonts w:ascii="Georgia" w:eastAsia="Times New Roman" w:hAnsi="Georgia" w:cs="Calibri"/>
                <w:kern w:val="0"/>
                <w:sz w:val="18"/>
                <w:szCs w:val="18"/>
                <w:lang w:eastAsia="fr-FR"/>
                <w14:ligatures w14:val="none"/>
              </w:rPr>
            </w:pPr>
            <w:r w:rsidRPr="005B36B6">
              <w:rPr>
                <w:rFonts w:ascii="Georgia" w:eastAsia="Times New Roman" w:hAnsi="Georgia" w:cs="Calibri"/>
                <w:kern w:val="0"/>
                <w:sz w:val="18"/>
                <w:szCs w:val="18"/>
                <w:lang w:eastAsia="fr-FR"/>
                <w14:ligatures w14:val="none"/>
              </w:rPr>
              <w:t>Les Termes de Référence précisent que la méthodologie pour chaque lot ne doit pas dépasser 4 pages (hors annexes). Pourriez-vous nous indiquer, s’il vous plaît, si dans le cas où nous souhaiterions soumettre une offre pour le Lot 1 et le Lot 2, il est possible de présenter une méthodologie conjointe de 8 pages ; ou bien si deux méthodologies distinctes (une par lot) sont requises, et ce, même si certaines parties risquent de se répéter dans les 2 méthodologies (contexte, objectifs, etc.) ?</w:t>
            </w:r>
          </w:p>
        </w:tc>
        <w:tc>
          <w:tcPr>
            <w:tcW w:w="2301" w:type="pct"/>
          </w:tcPr>
          <w:p w14:paraId="3407B6E5" w14:textId="6AAB24E5" w:rsidR="00664F53" w:rsidRPr="00664F53" w:rsidRDefault="00664F53" w:rsidP="00AE03B4">
            <w:pPr>
              <w:jc w:val="both"/>
              <w:rPr>
                <w:rFonts w:ascii="Georgia" w:hAnsi="Georgia"/>
                <w:b/>
                <w:bCs/>
                <w:sz w:val="18"/>
                <w:szCs w:val="18"/>
              </w:rPr>
            </w:pPr>
            <w:r w:rsidRPr="00664F53">
              <w:rPr>
                <w:rFonts w:ascii="Georgia" w:hAnsi="Georgia"/>
                <w:b/>
                <w:bCs/>
                <w:sz w:val="18"/>
                <w:szCs w:val="18"/>
              </w:rPr>
              <w:t xml:space="preserve">Merci de joindre </w:t>
            </w:r>
            <w:r w:rsidRPr="00664F53">
              <w:rPr>
                <w:rStyle w:val="lev"/>
                <w:rFonts w:ascii="Georgia" w:hAnsi="Georgia"/>
                <w:b w:val="0"/>
                <w:bCs w:val="0"/>
                <w:sz w:val="18"/>
                <w:szCs w:val="18"/>
              </w:rPr>
              <w:t>deux notes méthodologiques distinctes</w:t>
            </w:r>
            <w:r w:rsidRPr="00664F53">
              <w:rPr>
                <w:rFonts w:ascii="Georgia" w:hAnsi="Georgia"/>
                <w:b/>
                <w:bCs/>
                <w:sz w:val="18"/>
                <w:szCs w:val="18"/>
              </w:rPr>
              <w:t xml:space="preserve"> : </w:t>
            </w:r>
            <w:r w:rsidRPr="00664F53">
              <w:rPr>
                <w:rStyle w:val="lev"/>
                <w:rFonts w:ascii="Georgia" w:hAnsi="Georgia"/>
                <w:b w:val="0"/>
                <w:bCs w:val="0"/>
                <w:sz w:val="18"/>
                <w:szCs w:val="18"/>
              </w:rPr>
              <w:t>4 pages (hors annexes) pour le Lot 1</w:t>
            </w:r>
            <w:r w:rsidRPr="00664F53">
              <w:rPr>
                <w:rFonts w:ascii="Georgia" w:hAnsi="Georgia"/>
                <w:b/>
                <w:bCs/>
                <w:sz w:val="18"/>
                <w:szCs w:val="18"/>
              </w:rPr>
              <w:t xml:space="preserve"> et </w:t>
            </w:r>
            <w:r w:rsidRPr="00664F53">
              <w:rPr>
                <w:rStyle w:val="lev"/>
                <w:rFonts w:ascii="Georgia" w:hAnsi="Georgia"/>
                <w:b w:val="0"/>
                <w:bCs w:val="0"/>
                <w:sz w:val="18"/>
                <w:szCs w:val="18"/>
              </w:rPr>
              <w:t>4 pages (hors annexes) pour le Lot 2</w:t>
            </w:r>
            <w:r w:rsidRPr="00664F53">
              <w:rPr>
                <w:rFonts w:ascii="Georgia" w:hAnsi="Georgia"/>
                <w:b/>
                <w:bCs/>
                <w:sz w:val="18"/>
                <w:szCs w:val="18"/>
              </w:rPr>
              <w:t xml:space="preserve">. Chaque lot fait l’objet de </w:t>
            </w:r>
            <w:r w:rsidRPr="00664F53">
              <w:rPr>
                <w:rStyle w:val="lev"/>
                <w:rFonts w:ascii="Georgia" w:hAnsi="Georgia"/>
                <w:b w:val="0"/>
                <w:bCs w:val="0"/>
                <w:sz w:val="18"/>
                <w:szCs w:val="18"/>
              </w:rPr>
              <w:t>critères d’attribution propres</w:t>
            </w:r>
            <w:r w:rsidRPr="00664F53">
              <w:rPr>
                <w:rFonts w:ascii="Georgia" w:hAnsi="Georgia"/>
                <w:b/>
                <w:bCs/>
                <w:sz w:val="18"/>
                <w:szCs w:val="18"/>
              </w:rPr>
              <w:t xml:space="preserve">, au sein desquels la </w:t>
            </w:r>
            <w:r w:rsidRPr="00664F53">
              <w:rPr>
                <w:rStyle w:val="lev"/>
                <w:rFonts w:ascii="Georgia" w:hAnsi="Georgia"/>
                <w:b w:val="0"/>
                <w:bCs w:val="0"/>
                <w:sz w:val="18"/>
                <w:szCs w:val="18"/>
              </w:rPr>
              <w:t>Note méthodologique (max. 4 pages)</w:t>
            </w:r>
            <w:r w:rsidRPr="00664F53">
              <w:rPr>
                <w:rFonts w:ascii="Georgia" w:hAnsi="Georgia"/>
                <w:b/>
                <w:bCs/>
                <w:sz w:val="18"/>
                <w:szCs w:val="18"/>
              </w:rPr>
              <w:t xml:space="preserve"> est un </w:t>
            </w:r>
            <w:r w:rsidRPr="00664F53">
              <w:rPr>
                <w:rStyle w:val="lev"/>
                <w:rFonts w:ascii="Georgia" w:hAnsi="Georgia"/>
                <w:b w:val="0"/>
                <w:bCs w:val="0"/>
                <w:sz w:val="18"/>
                <w:szCs w:val="18"/>
              </w:rPr>
              <w:t>critère spécifique</w:t>
            </w:r>
            <w:r w:rsidRPr="00664F53">
              <w:rPr>
                <w:rFonts w:ascii="Georgia" w:hAnsi="Georgia"/>
                <w:b/>
                <w:bCs/>
                <w:sz w:val="18"/>
                <w:szCs w:val="18"/>
              </w:rPr>
              <w:t>.</w:t>
            </w:r>
          </w:p>
        </w:tc>
      </w:tr>
      <w:tr w:rsidR="00664F53" w:rsidRPr="005B36B6" w14:paraId="26248049" w14:textId="77777777" w:rsidTr="00664F53">
        <w:tc>
          <w:tcPr>
            <w:tcW w:w="156" w:type="pct"/>
          </w:tcPr>
          <w:p w14:paraId="0F73E514" w14:textId="3D23F8A7" w:rsidR="00664F53" w:rsidRPr="005B36B6" w:rsidRDefault="00664F53" w:rsidP="00466391">
            <w:pPr>
              <w:rPr>
                <w:rFonts w:ascii="Georgia" w:hAnsi="Georgia"/>
                <w:sz w:val="18"/>
                <w:szCs w:val="18"/>
                <w:lang w:val="nl-NL"/>
              </w:rPr>
            </w:pPr>
            <w:r w:rsidRPr="005B36B6">
              <w:rPr>
                <w:rFonts w:ascii="Georgia" w:hAnsi="Georgia"/>
                <w:sz w:val="18"/>
                <w:szCs w:val="18"/>
                <w:lang w:val="nl-NL"/>
              </w:rPr>
              <w:t>20</w:t>
            </w:r>
          </w:p>
        </w:tc>
        <w:tc>
          <w:tcPr>
            <w:tcW w:w="2543" w:type="pct"/>
          </w:tcPr>
          <w:p w14:paraId="6C27DA26" w14:textId="45B58394" w:rsidR="00664F53" w:rsidRPr="005B36B6" w:rsidRDefault="00664F53" w:rsidP="00466391">
            <w:pPr>
              <w:jc w:val="both"/>
              <w:rPr>
                <w:rFonts w:ascii="Georgia" w:eastAsia="Times New Roman" w:hAnsi="Georgia" w:cs="Calibri"/>
                <w:kern w:val="0"/>
                <w:sz w:val="18"/>
                <w:szCs w:val="18"/>
                <w:lang w:eastAsia="fr-FR"/>
                <w14:ligatures w14:val="none"/>
              </w:rPr>
            </w:pPr>
            <w:r w:rsidRPr="005B36B6">
              <w:rPr>
                <w:rFonts w:ascii="Georgia" w:hAnsi="Georgia"/>
                <w:sz w:val="18"/>
                <w:szCs w:val="18"/>
              </w:rPr>
              <w:t xml:space="preserve">Concernant la conclusion de l’accord cadre : pourriez-vous nous confirmer le nombre d’attributaires par lot ? En effet, il nous semble qu’il existe des contradictions dans le document entre la page 27 qui prévoit un maximum de 2 attributaires par lot, et la page </w:t>
            </w:r>
            <w:r w:rsidRPr="005B36B6">
              <w:rPr>
                <w:rFonts w:ascii="Georgia" w:hAnsi="Georgia"/>
                <w:sz w:val="18"/>
                <w:szCs w:val="18"/>
              </w:rPr>
              <w:lastRenderedPageBreak/>
              <w:t>29 où il est indiqué que pour les marchés fondés sur l’accord cadre, « le pouvoir adjudicateur demandera aux </w:t>
            </w:r>
            <w:r w:rsidRPr="005B36B6">
              <w:rPr>
                <w:rFonts w:ascii="Georgia" w:hAnsi="Georgia"/>
                <w:sz w:val="18"/>
                <w:szCs w:val="18"/>
                <w:u w:val="single"/>
              </w:rPr>
              <w:t>trois participants</w:t>
            </w:r>
            <w:r w:rsidRPr="005B36B6">
              <w:rPr>
                <w:rFonts w:ascii="Georgia" w:hAnsi="Georgia"/>
                <w:sz w:val="18"/>
                <w:szCs w:val="18"/>
              </w:rPr>
              <w:t> (phase 2) lors de chaque procédure d’attribution fondée sur l’accord cadre de déposer une offre finale »</w:t>
            </w:r>
          </w:p>
        </w:tc>
        <w:tc>
          <w:tcPr>
            <w:tcW w:w="2301" w:type="pct"/>
          </w:tcPr>
          <w:p w14:paraId="4FE8D240" w14:textId="5F85A20D" w:rsidR="00664F53" w:rsidRPr="00664F53" w:rsidRDefault="00664F53" w:rsidP="00466391">
            <w:pPr>
              <w:jc w:val="both"/>
              <w:rPr>
                <w:rFonts w:ascii="Georgia" w:hAnsi="Georgia"/>
                <w:sz w:val="18"/>
                <w:szCs w:val="18"/>
              </w:rPr>
            </w:pPr>
            <w:r w:rsidRPr="00664F53">
              <w:rPr>
                <w:rFonts w:ascii="Georgia" w:hAnsi="Georgia"/>
                <w:sz w:val="18"/>
                <w:szCs w:val="18"/>
              </w:rPr>
              <w:lastRenderedPageBreak/>
              <w:t xml:space="preserve">Pour chaque lot, deux (2) participants maximum seront retenus à l’issue de la phase 1 (cf. §§2.2 et “Conclusion de l’accord-cadre”, p. 27). La référence à “trois </w:t>
            </w:r>
            <w:r w:rsidRPr="00664F53">
              <w:rPr>
                <w:rFonts w:ascii="Georgia" w:hAnsi="Georgia"/>
                <w:sz w:val="18"/>
                <w:szCs w:val="18"/>
              </w:rPr>
              <w:lastRenderedPageBreak/>
              <w:t>participants” figurant au §3.5 (p. 29) est une erreur matérielle ; les procédures fondées sur l’accord-cadre seront donc conduites entre les deux participants.</w:t>
            </w:r>
          </w:p>
        </w:tc>
      </w:tr>
      <w:tr w:rsidR="00664F53" w:rsidRPr="005B36B6" w14:paraId="717AF775" w14:textId="77777777" w:rsidTr="00664F53">
        <w:tc>
          <w:tcPr>
            <w:tcW w:w="156" w:type="pct"/>
          </w:tcPr>
          <w:p w14:paraId="615A40C4" w14:textId="77777777" w:rsidR="00664F53" w:rsidRPr="005B36B6" w:rsidRDefault="00664F53" w:rsidP="00466391">
            <w:pPr>
              <w:rPr>
                <w:rFonts w:ascii="Georgia" w:hAnsi="Georgia"/>
                <w:sz w:val="18"/>
                <w:szCs w:val="18"/>
                <w:lang w:val="nl-NL"/>
              </w:rPr>
            </w:pPr>
          </w:p>
        </w:tc>
        <w:tc>
          <w:tcPr>
            <w:tcW w:w="2543" w:type="pct"/>
          </w:tcPr>
          <w:p w14:paraId="5E738DA5" w14:textId="24A6AC09" w:rsidR="00664F53" w:rsidRPr="005B36B6" w:rsidRDefault="00664F53" w:rsidP="00466391">
            <w:pPr>
              <w:jc w:val="both"/>
              <w:rPr>
                <w:rFonts w:ascii="Georgia" w:eastAsia="Times New Roman" w:hAnsi="Georgia" w:cs="Calibri"/>
                <w:kern w:val="0"/>
                <w:sz w:val="18"/>
                <w:szCs w:val="18"/>
                <w:lang w:val="nl-NL" w:eastAsia="fr-FR"/>
                <w14:ligatures w14:val="none"/>
              </w:rPr>
            </w:pPr>
            <w:r w:rsidRPr="005B36B6">
              <w:rPr>
                <w:rFonts w:ascii="Georgia" w:hAnsi="Georgia"/>
                <w:sz w:val="18"/>
                <w:szCs w:val="18"/>
              </w:rPr>
              <w:t>Par ailleurs, nous comprenons donc que les 2 attributaires seront systématiquement mis en concurrence, pour chacune des missions menées dans le CC ? Est-ce bien cela ?</w:t>
            </w:r>
          </w:p>
        </w:tc>
        <w:tc>
          <w:tcPr>
            <w:tcW w:w="2301" w:type="pct"/>
          </w:tcPr>
          <w:p w14:paraId="120DE91B" w14:textId="29228A8C" w:rsidR="00664F53" w:rsidRPr="00664F53" w:rsidRDefault="00664F53" w:rsidP="00466391">
            <w:pPr>
              <w:jc w:val="both"/>
              <w:rPr>
                <w:rFonts w:ascii="Georgia" w:hAnsi="Georgia"/>
                <w:sz w:val="18"/>
                <w:szCs w:val="18"/>
              </w:rPr>
            </w:pPr>
            <w:r w:rsidRPr="00664F53">
              <w:rPr>
                <w:rFonts w:ascii="Georgia" w:hAnsi="Georgia"/>
                <w:sz w:val="18"/>
                <w:szCs w:val="18"/>
              </w:rPr>
              <w:t>Oui. Pour chaque marché fondé sur l’accord-cadre, tous les participants du lot sont invités à remettre une offre finale. Comme il y a au maximum 2 participants par lot, cela revient à une mise en concurrence systématique des 2 attributaires à chaque mini-compétition (phase 2).</w:t>
            </w:r>
          </w:p>
        </w:tc>
      </w:tr>
      <w:tr w:rsidR="00664F53" w:rsidRPr="005B36B6" w14:paraId="5F011F08" w14:textId="77777777" w:rsidTr="00664F53">
        <w:tc>
          <w:tcPr>
            <w:tcW w:w="156" w:type="pct"/>
          </w:tcPr>
          <w:p w14:paraId="7F2893F9" w14:textId="77777777" w:rsidR="00664F53" w:rsidRPr="005B36B6" w:rsidRDefault="00664F53" w:rsidP="00466391">
            <w:pPr>
              <w:rPr>
                <w:rFonts w:ascii="Georgia" w:hAnsi="Georgia"/>
                <w:sz w:val="18"/>
                <w:szCs w:val="18"/>
              </w:rPr>
            </w:pPr>
          </w:p>
        </w:tc>
        <w:tc>
          <w:tcPr>
            <w:tcW w:w="2543" w:type="pct"/>
          </w:tcPr>
          <w:p w14:paraId="2D29D5F5" w14:textId="77777777" w:rsidR="00664F53" w:rsidRPr="005B36B6" w:rsidRDefault="00664F53" w:rsidP="00466391">
            <w:pPr>
              <w:spacing w:after="160" w:line="259" w:lineRule="auto"/>
              <w:rPr>
                <w:rFonts w:ascii="Georgia" w:hAnsi="Georgia"/>
                <w:sz w:val="18"/>
                <w:szCs w:val="18"/>
              </w:rPr>
            </w:pPr>
            <w:r w:rsidRPr="005B36B6">
              <w:rPr>
                <w:rFonts w:ascii="Georgia" w:hAnsi="Georgia"/>
                <w:sz w:val="18"/>
                <w:szCs w:val="18"/>
              </w:rPr>
              <w:t>Concernant l’offre méthodologique : pourriez-vous nous confirmer qu’il est attendu une offre de 4 pages maximum ? En effet, dans la dernière rubrique « Documents à remettre » il est mentionné « 4 pages A4 recto-verso » : est-ce que cela signifie que nous pouvons aller jusqu’à 8 pages ?</w:t>
            </w:r>
          </w:p>
          <w:p w14:paraId="52C1A514" w14:textId="77777777" w:rsidR="00664F53" w:rsidRPr="005B36B6" w:rsidRDefault="00664F53" w:rsidP="00466391">
            <w:pPr>
              <w:jc w:val="both"/>
              <w:rPr>
                <w:rFonts w:ascii="Georgia" w:eastAsia="Times New Roman" w:hAnsi="Georgia" w:cs="Calibri"/>
                <w:kern w:val="0"/>
                <w:sz w:val="18"/>
                <w:szCs w:val="18"/>
                <w:lang w:eastAsia="fr-FR"/>
                <w14:ligatures w14:val="none"/>
              </w:rPr>
            </w:pPr>
          </w:p>
        </w:tc>
        <w:tc>
          <w:tcPr>
            <w:tcW w:w="2301" w:type="pct"/>
          </w:tcPr>
          <w:p w14:paraId="69E6C036" w14:textId="3901DB37" w:rsidR="00664F53" w:rsidRPr="00664F53" w:rsidRDefault="00664F53" w:rsidP="00466391">
            <w:pPr>
              <w:jc w:val="both"/>
              <w:rPr>
                <w:rFonts w:ascii="Georgia" w:hAnsi="Georgia"/>
                <w:sz w:val="18"/>
                <w:szCs w:val="18"/>
              </w:rPr>
            </w:pPr>
            <w:r w:rsidRPr="00664F53">
              <w:rPr>
                <w:rFonts w:ascii="Georgia" w:hAnsi="Georgia"/>
                <w:sz w:val="18"/>
                <w:szCs w:val="18"/>
              </w:rPr>
              <w:t>Oui. La note méthodologique est limitée à 4 pages maximum (hors annexes). La mention « 4 pages A4 recto-verso » indique le mode d’impression et ne porte pas le total à 8 pages.</w:t>
            </w:r>
          </w:p>
        </w:tc>
      </w:tr>
      <w:tr w:rsidR="00664F53" w:rsidRPr="005B36B6" w14:paraId="0733D318" w14:textId="77777777" w:rsidTr="00664F53">
        <w:tc>
          <w:tcPr>
            <w:tcW w:w="156" w:type="pct"/>
          </w:tcPr>
          <w:p w14:paraId="5A161501" w14:textId="2FEBC277" w:rsidR="00664F53" w:rsidRPr="005B36B6" w:rsidRDefault="00664F53" w:rsidP="00D66AD5">
            <w:pPr>
              <w:rPr>
                <w:rFonts w:ascii="Georgia" w:hAnsi="Georgia"/>
                <w:sz w:val="18"/>
                <w:szCs w:val="18"/>
              </w:rPr>
            </w:pPr>
            <w:r>
              <w:rPr>
                <w:rFonts w:ascii="Georgia" w:hAnsi="Georgia"/>
                <w:sz w:val="18"/>
                <w:szCs w:val="18"/>
              </w:rPr>
              <w:t>21</w:t>
            </w:r>
          </w:p>
        </w:tc>
        <w:tc>
          <w:tcPr>
            <w:tcW w:w="2543" w:type="pct"/>
          </w:tcPr>
          <w:p w14:paraId="5CD600DA" w14:textId="0D9E31EE" w:rsidR="00664F53" w:rsidRPr="00D66AD5" w:rsidRDefault="00664F53" w:rsidP="00D66AD5">
            <w:pPr>
              <w:numPr>
                <w:ilvl w:val="0"/>
                <w:numId w:val="18"/>
              </w:numPr>
              <w:rPr>
                <w:rFonts w:ascii="Georgia" w:hAnsi="Georgia"/>
                <w:sz w:val="18"/>
                <w:szCs w:val="18"/>
              </w:rPr>
            </w:pPr>
            <w:r w:rsidRPr="00D66AD5">
              <w:rPr>
                <w:rFonts w:ascii="Georgia" w:hAnsi="Georgia"/>
                <w:sz w:val="18"/>
                <w:szCs w:val="18"/>
                <w:lang w:val="fr-BE"/>
              </w:rPr>
              <w:t>Serait-il possible d’étendre le deadline de la soumission de l’offre d’une semaine ?</w:t>
            </w:r>
          </w:p>
          <w:p w14:paraId="18EB8184" w14:textId="77777777" w:rsidR="00664F53" w:rsidRPr="00D66AD5" w:rsidRDefault="00664F53" w:rsidP="00D66AD5">
            <w:pPr>
              <w:numPr>
                <w:ilvl w:val="0"/>
                <w:numId w:val="18"/>
              </w:numPr>
              <w:rPr>
                <w:rFonts w:ascii="Georgia" w:hAnsi="Georgia"/>
                <w:sz w:val="18"/>
                <w:szCs w:val="18"/>
              </w:rPr>
            </w:pPr>
            <w:r w:rsidRPr="00D66AD5">
              <w:rPr>
                <w:rFonts w:ascii="Georgia" w:hAnsi="Georgia"/>
                <w:sz w:val="18"/>
                <w:szCs w:val="18"/>
                <w:lang w:val="fr-BE"/>
              </w:rPr>
              <w:t>Ce marché pourrait-il résulter en une attribution unique plutôt qu’une remise en compétition pour assurer plus de cohérence dans le travail fourni ?</w:t>
            </w:r>
          </w:p>
          <w:p w14:paraId="1C30AFAA" w14:textId="77777777" w:rsidR="00664F53" w:rsidRPr="005B36B6" w:rsidRDefault="00664F53" w:rsidP="00D66AD5">
            <w:pPr>
              <w:rPr>
                <w:rFonts w:ascii="Georgia" w:hAnsi="Georgia"/>
                <w:sz w:val="18"/>
                <w:szCs w:val="18"/>
              </w:rPr>
            </w:pPr>
          </w:p>
        </w:tc>
        <w:tc>
          <w:tcPr>
            <w:tcW w:w="2301" w:type="pct"/>
            <w:shd w:val="clear" w:color="auto" w:fill="FFFF00"/>
          </w:tcPr>
          <w:p w14:paraId="12CFE09B" w14:textId="02901332" w:rsidR="00664F53" w:rsidRPr="00664F53" w:rsidRDefault="00664F53" w:rsidP="00D66AD5">
            <w:pPr>
              <w:jc w:val="both"/>
              <w:rPr>
                <w:rFonts w:ascii="Georgia" w:hAnsi="Georgia"/>
                <w:sz w:val="18"/>
                <w:szCs w:val="18"/>
              </w:rPr>
            </w:pPr>
          </w:p>
        </w:tc>
      </w:tr>
    </w:tbl>
    <w:p w14:paraId="33BCFCA1" w14:textId="77777777" w:rsidR="00901650" w:rsidRPr="00EC5357" w:rsidRDefault="00901650"/>
    <w:p w14:paraId="29D87DB1" w14:textId="77777777" w:rsidR="00901650" w:rsidRPr="00EC5357" w:rsidRDefault="00901650"/>
    <w:p w14:paraId="4292BF5F" w14:textId="77777777" w:rsidR="00901650" w:rsidRPr="00EC5357" w:rsidRDefault="00901650"/>
    <w:sectPr w:rsidR="00901650" w:rsidRPr="00EC5357" w:rsidSect="0090165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2F3C" w14:textId="77777777" w:rsidR="008E7FB0" w:rsidRDefault="008E7FB0" w:rsidP="00BB7058">
      <w:pPr>
        <w:spacing w:after="0" w:line="240" w:lineRule="auto"/>
      </w:pPr>
      <w:r>
        <w:separator/>
      </w:r>
    </w:p>
  </w:endnote>
  <w:endnote w:type="continuationSeparator" w:id="0">
    <w:p w14:paraId="2BADFD95" w14:textId="77777777" w:rsidR="008E7FB0" w:rsidRDefault="008E7FB0" w:rsidP="00BB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172248"/>
      <w:docPartObj>
        <w:docPartGallery w:val="Page Numbers (Bottom of Page)"/>
        <w:docPartUnique/>
      </w:docPartObj>
    </w:sdtPr>
    <w:sdtContent>
      <w:p w14:paraId="252C5B31" w14:textId="1B79EF51" w:rsidR="00BB7058" w:rsidRDefault="00BB7058">
        <w:pPr>
          <w:pStyle w:val="Pieddepage"/>
          <w:jc w:val="right"/>
        </w:pPr>
        <w:r>
          <w:fldChar w:fldCharType="begin"/>
        </w:r>
        <w:r>
          <w:instrText>PAGE   \* MERGEFORMAT</w:instrText>
        </w:r>
        <w:r>
          <w:fldChar w:fldCharType="separate"/>
        </w:r>
        <w:r>
          <w:t>2</w:t>
        </w:r>
        <w:r>
          <w:fldChar w:fldCharType="end"/>
        </w:r>
      </w:p>
    </w:sdtContent>
  </w:sdt>
  <w:p w14:paraId="59522CAB" w14:textId="77777777" w:rsidR="00BB7058" w:rsidRDefault="00BB70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29F7" w14:textId="77777777" w:rsidR="008E7FB0" w:rsidRDefault="008E7FB0" w:rsidP="00BB7058">
      <w:pPr>
        <w:spacing w:after="0" w:line="240" w:lineRule="auto"/>
      </w:pPr>
      <w:r>
        <w:separator/>
      </w:r>
    </w:p>
  </w:footnote>
  <w:footnote w:type="continuationSeparator" w:id="0">
    <w:p w14:paraId="6E021E39" w14:textId="77777777" w:rsidR="008E7FB0" w:rsidRDefault="008E7FB0" w:rsidP="00BB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DD"/>
    <w:multiLevelType w:val="multilevel"/>
    <w:tmpl w:val="988E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18EA"/>
    <w:multiLevelType w:val="multilevel"/>
    <w:tmpl w:val="8C90E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05311"/>
    <w:multiLevelType w:val="multilevel"/>
    <w:tmpl w:val="027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A5FB9"/>
    <w:multiLevelType w:val="hybridMultilevel"/>
    <w:tmpl w:val="9C1EA890"/>
    <w:lvl w:ilvl="0" w:tplc="808E6B6C">
      <w:numFmt w:val="bullet"/>
      <w:lvlText w:val="-"/>
      <w:lvlJc w:val="left"/>
      <w:pPr>
        <w:ind w:left="408" w:hanging="360"/>
      </w:pPr>
      <w:rPr>
        <w:rFonts w:ascii="Century Gothic" w:eastAsia="Times New Roman" w:hAnsi="Century Gothic" w:cs="Times New Roman" w:hint="default"/>
        <w:color w:val="FF0000"/>
        <w:sz w:val="18"/>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4" w15:restartNumberingAfterBreak="0">
    <w:nsid w:val="33341BD9"/>
    <w:multiLevelType w:val="multilevel"/>
    <w:tmpl w:val="2D9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E6555"/>
    <w:multiLevelType w:val="multilevel"/>
    <w:tmpl w:val="79B8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76215"/>
    <w:multiLevelType w:val="multilevel"/>
    <w:tmpl w:val="36B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593AA2"/>
    <w:multiLevelType w:val="multilevel"/>
    <w:tmpl w:val="1CCA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72E8A"/>
    <w:multiLevelType w:val="multilevel"/>
    <w:tmpl w:val="5F8C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C4DB3"/>
    <w:multiLevelType w:val="multilevel"/>
    <w:tmpl w:val="8C90E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86EDC"/>
    <w:multiLevelType w:val="hybridMultilevel"/>
    <w:tmpl w:val="82A2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24E55"/>
    <w:multiLevelType w:val="multilevel"/>
    <w:tmpl w:val="8C5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F2E74"/>
    <w:multiLevelType w:val="hybridMultilevel"/>
    <w:tmpl w:val="4F828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335A92"/>
    <w:multiLevelType w:val="hybridMultilevel"/>
    <w:tmpl w:val="DE6ED186"/>
    <w:lvl w:ilvl="0" w:tplc="92C88A66">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27784"/>
    <w:multiLevelType w:val="multilevel"/>
    <w:tmpl w:val="ACEED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F4F93"/>
    <w:multiLevelType w:val="multilevel"/>
    <w:tmpl w:val="FAA6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AB3A2A"/>
    <w:multiLevelType w:val="multilevel"/>
    <w:tmpl w:val="372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603224"/>
    <w:multiLevelType w:val="multilevel"/>
    <w:tmpl w:val="8C90E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440EF"/>
    <w:multiLevelType w:val="hybridMultilevel"/>
    <w:tmpl w:val="A04C2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2025161">
    <w:abstractNumId w:val="5"/>
  </w:num>
  <w:num w:numId="2" w16cid:durableId="1978996619">
    <w:abstractNumId w:val="8"/>
  </w:num>
  <w:num w:numId="3" w16cid:durableId="656541680">
    <w:abstractNumId w:val="10"/>
  </w:num>
  <w:num w:numId="4" w16cid:durableId="700711986">
    <w:abstractNumId w:val="13"/>
  </w:num>
  <w:num w:numId="5" w16cid:durableId="1643121375">
    <w:abstractNumId w:val="7"/>
  </w:num>
  <w:num w:numId="6" w16cid:durableId="773550784">
    <w:abstractNumId w:val="16"/>
  </w:num>
  <w:num w:numId="7" w16cid:durableId="247230781">
    <w:abstractNumId w:val="18"/>
  </w:num>
  <w:num w:numId="8" w16cid:durableId="1569724474">
    <w:abstractNumId w:val="12"/>
  </w:num>
  <w:num w:numId="9" w16cid:durableId="908419277">
    <w:abstractNumId w:val="14"/>
  </w:num>
  <w:num w:numId="10" w16cid:durableId="680861563">
    <w:abstractNumId w:val="6"/>
  </w:num>
  <w:num w:numId="11" w16cid:durableId="554897470">
    <w:abstractNumId w:val="4"/>
  </w:num>
  <w:num w:numId="12" w16cid:durableId="1114985868">
    <w:abstractNumId w:val="17"/>
  </w:num>
  <w:num w:numId="13" w16cid:durableId="288629797">
    <w:abstractNumId w:val="1"/>
  </w:num>
  <w:num w:numId="14" w16cid:durableId="446701621">
    <w:abstractNumId w:val="9"/>
  </w:num>
  <w:num w:numId="15" w16cid:durableId="2044287981">
    <w:abstractNumId w:val="0"/>
  </w:num>
  <w:num w:numId="16" w16cid:durableId="865555760">
    <w:abstractNumId w:val="11"/>
  </w:num>
  <w:num w:numId="17" w16cid:durableId="386296737">
    <w:abstractNumId w:val="15"/>
  </w:num>
  <w:num w:numId="18" w16cid:durableId="2061781171">
    <w:abstractNumId w:val="2"/>
  </w:num>
  <w:num w:numId="19" w16cid:durableId="1261522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50"/>
    <w:rsid w:val="000346A5"/>
    <w:rsid w:val="00065EB5"/>
    <w:rsid w:val="00133021"/>
    <w:rsid w:val="00192626"/>
    <w:rsid w:val="00196012"/>
    <w:rsid w:val="001C2F50"/>
    <w:rsid w:val="001E7EE2"/>
    <w:rsid w:val="00261A31"/>
    <w:rsid w:val="00273EB6"/>
    <w:rsid w:val="002820BF"/>
    <w:rsid w:val="00311051"/>
    <w:rsid w:val="003D0482"/>
    <w:rsid w:val="003F719B"/>
    <w:rsid w:val="00454B18"/>
    <w:rsid w:val="004661A1"/>
    <w:rsid w:val="00466391"/>
    <w:rsid w:val="00480B88"/>
    <w:rsid w:val="00490AF6"/>
    <w:rsid w:val="005A7903"/>
    <w:rsid w:val="005B36B6"/>
    <w:rsid w:val="005F7862"/>
    <w:rsid w:val="00614F42"/>
    <w:rsid w:val="00664F53"/>
    <w:rsid w:val="006857BA"/>
    <w:rsid w:val="006A16BE"/>
    <w:rsid w:val="006C0C83"/>
    <w:rsid w:val="007547BE"/>
    <w:rsid w:val="007827DD"/>
    <w:rsid w:val="00882615"/>
    <w:rsid w:val="008E45D3"/>
    <w:rsid w:val="008E7FB0"/>
    <w:rsid w:val="008F3E2F"/>
    <w:rsid w:val="00901650"/>
    <w:rsid w:val="00904B2C"/>
    <w:rsid w:val="009A103B"/>
    <w:rsid w:val="00A558AB"/>
    <w:rsid w:val="00A9181C"/>
    <w:rsid w:val="00AC269F"/>
    <w:rsid w:val="00AE03B4"/>
    <w:rsid w:val="00B04273"/>
    <w:rsid w:val="00B61176"/>
    <w:rsid w:val="00BB7058"/>
    <w:rsid w:val="00BF4FED"/>
    <w:rsid w:val="00CA58AD"/>
    <w:rsid w:val="00D40694"/>
    <w:rsid w:val="00D66AD5"/>
    <w:rsid w:val="00E26931"/>
    <w:rsid w:val="00EC5357"/>
    <w:rsid w:val="00F55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E32"/>
  <w15:chartTrackingRefBased/>
  <w15:docId w15:val="{F3D7C496-0841-4D29-996C-EAAA6C72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1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1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16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16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16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16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16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16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16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165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165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165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165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165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16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16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16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1650"/>
    <w:rPr>
      <w:rFonts w:eastAsiaTheme="majorEastAsia" w:cstheme="majorBidi"/>
      <w:color w:val="272727" w:themeColor="text1" w:themeTint="D8"/>
    </w:rPr>
  </w:style>
  <w:style w:type="paragraph" w:styleId="Titre">
    <w:name w:val="Title"/>
    <w:basedOn w:val="Normal"/>
    <w:next w:val="Normal"/>
    <w:link w:val="TitreCar"/>
    <w:uiPriority w:val="10"/>
    <w:qFormat/>
    <w:rsid w:val="0090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16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16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16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1650"/>
    <w:pPr>
      <w:spacing w:before="160"/>
      <w:jc w:val="center"/>
    </w:pPr>
    <w:rPr>
      <w:i/>
      <w:iCs/>
      <w:color w:val="404040" w:themeColor="text1" w:themeTint="BF"/>
    </w:rPr>
  </w:style>
  <w:style w:type="character" w:customStyle="1" w:styleId="CitationCar">
    <w:name w:val="Citation Car"/>
    <w:basedOn w:val="Policepardfaut"/>
    <w:link w:val="Citation"/>
    <w:uiPriority w:val="29"/>
    <w:rsid w:val="00901650"/>
    <w:rPr>
      <w:i/>
      <w:iCs/>
      <w:color w:val="404040" w:themeColor="text1" w:themeTint="BF"/>
    </w:rPr>
  </w:style>
  <w:style w:type="paragraph" w:styleId="Paragraphedeliste">
    <w:name w:val="List Paragraph"/>
    <w:basedOn w:val="Normal"/>
    <w:uiPriority w:val="34"/>
    <w:qFormat/>
    <w:rsid w:val="00901650"/>
    <w:pPr>
      <w:ind w:left="720"/>
      <w:contextualSpacing/>
    </w:pPr>
  </w:style>
  <w:style w:type="character" w:styleId="Accentuationintense">
    <w:name w:val="Intense Emphasis"/>
    <w:basedOn w:val="Policepardfaut"/>
    <w:uiPriority w:val="21"/>
    <w:qFormat/>
    <w:rsid w:val="00901650"/>
    <w:rPr>
      <w:i/>
      <w:iCs/>
      <w:color w:val="2F5496" w:themeColor="accent1" w:themeShade="BF"/>
    </w:rPr>
  </w:style>
  <w:style w:type="paragraph" w:styleId="Citationintense">
    <w:name w:val="Intense Quote"/>
    <w:basedOn w:val="Normal"/>
    <w:next w:val="Normal"/>
    <w:link w:val="CitationintenseCar"/>
    <w:uiPriority w:val="30"/>
    <w:qFormat/>
    <w:rsid w:val="00901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1650"/>
    <w:rPr>
      <w:i/>
      <w:iCs/>
      <w:color w:val="2F5496" w:themeColor="accent1" w:themeShade="BF"/>
    </w:rPr>
  </w:style>
  <w:style w:type="character" w:styleId="Rfrenceintense">
    <w:name w:val="Intense Reference"/>
    <w:basedOn w:val="Policepardfaut"/>
    <w:uiPriority w:val="32"/>
    <w:qFormat/>
    <w:rsid w:val="00901650"/>
    <w:rPr>
      <w:b/>
      <w:bCs/>
      <w:smallCaps/>
      <w:color w:val="2F5496" w:themeColor="accent1" w:themeShade="BF"/>
      <w:spacing w:val="5"/>
    </w:rPr>
  </w:style>
  <w:style w:type="table" w:styleId="Grilledutableau">
    <w:name w:val="Table Grid"/>
    <w:basedOn w:val="TableauNormal"/>
    <w:uiPriority w:val="39"/>
    <w:rsid w:val="0090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58AD"/>
    <w:rPr>
      <w:color w:val="0563C1" w:themeColor="hyperlink"/>
      <w:u w:val="single"/>
    </w:rPr>
  </w:style>
  <w:style w:type="character" w:styleId="Mentionnonrsolue">
    <w:name w:val="Unresolved Mention"/>
    <w:basedOn w:val="Policepardfaut"/>
    <w:uiPriority w:val="99"/>
    <w:semiHidden/>
    <w:unhideWhenUsed/>
    <w:rsid w:val="00CA58AD"/>
    <w:rPr>
      <w:color w:val="605E5C"/>
      <w:shd w:val="clear" w:color="auto" w:fill="E1DFDD"/>
    </w:rPr>
  </w:style>
  <w:style w:type="paragraph" w:styleId="En-tte">
    <w:name w:val="header"/>
    <w:basedOn w:val="Normal"/>
    <w:link w:val="En-tteCar"/>
    <w:uiPriority w:val="99"/>
    <w:unhideWhenUsed/>
    <w:rsid w:val="00BB7058"/>
    <w:pPr>
      <w:tabs>
        <w:tab w:val="center" w:pos="4536"/>
        <w:tab w:val="right" w:pos="9072"/>
      </w:tabs>
      <w:spacing w:after="0" w:line="240" w:lineRule="auto"/>
    </w:pPr>
  </w:style>
  <w:style w:type="character" w:customStyle="1" w:styleId="En-tteCar">
    <w:name w:val="En-tête Car"/>
    <w:basedOn w:val="Policepardfaut"/>
    <w:link w:val="En-tte"/>
    <w:uiPriority w:val="99"/>
    <w:rsid w:val="00BB7058"/>
  </w:style>
  <w:style w:type="paragraph" w:styleId="Pieddepage">
    <w:name w:val="footer"/>
    <w:basedOn w:val="Normal"/>
    <w:link w:val="PieddepageCar"/>
    <w:uiPriority w:val="99"/>
    <w:unhideWhenUsed/>
    <w:rsid w:val="00BB70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058"/>
  </w:style>
  <w:style w:type="paragraph" w:styleId="NormalWeb">
    <w:name w:val="Normal (Web)"/>
    <w:basedOn w:val="Normal"/>
    <w:uiPriority w:val="99"/>
    <w:unhideWhenUsed/>
    <w:rsid w:val="00261A31"/>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ev">
    <w:name w:val="Strong"/>
    <w:basedOn w:val="Policepardfaut"/>
    <w:uiPriority w:val="22"/>
    <w:qFormat/>
    <w:rsid w:val="00261A31"/>
    <w:rPr>
      <w:b/>
      <w:bCs/>
    </w:rPr>
  </w:style>
  <w:style w:type="character" w:styleId="Accentuation">
    <w:name w:val="Emphasis"/>
    <w:basedOn w:val="Policepardfaut"/>
    <w:uiPriority w:val="20"/>
    <w:qFormat/>
    <w:rsid w:val="00261A31"/>
    <w:rPr>
      <w:i/>
      <w:iCs/>
    </w:rPr>
  </w:style>
  <w:style w:type="character" w:styleId="Marquedecommentaire">
    <w:name w:val="annotation reference"/>
    <w:basedOn w:val="Policepardfaut"/>
    <w:uiPriority w:val="99"/>
    <w:semiHidden/>
    <w:unhideWhenUsed/>
    <w:rsid w:val="00311051"/>
    <w:rPr>
      <w:sz w:val="16"/>
      <w:szCs w:val="16"/>
    </w:rPr>
  </w:style>
  <w:style w:type="paragraph" w:styleId="Commentaire">
    <w:name w:val="annotation text"/>
    <w:basedOn w:val="Normal"/>
    <w:link w:val="CommentaireCar"/>
    <w:uiPriority w:val="99"/>
    <w:semiHidden/>
    <w:unhideWhenUsed/>
    <w:rsid w:val="00311051"/>
    <w:pPr>
      <w:spacing w:line="240" w:lineRule="auto"/>
    </w:pPr>
    <w:rPr>
      <w:sz w:val="20"/>
      <w:szCs w:val="20"/>
    </w:rPr>
  </w:style>
  <w:style w:type="character" w:customStyle="1" w:styleId="CommentaireCar">
    <w:name w:val="Commentaire Car"/>
    <w:basedOn w:val="Policepardfaut"/>
    <w:link w:val="Commentaire"/>
    <w:uiPriority w:val="99"/>
    <w:semiHidden/>
    <w:rsid w:val="003110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bdi@enabel.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bdi@enabel.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4380</Words>
  <Characters>24095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NIYONGABO, Zaïdi</dc:creator>
  <cp:keywords/>
  <dc:description/>
  <cp:lastModifiedBy>NIYONGABO, Zaïdi</cp:lastModifiedBy>
  <cp:revision>4</cp:revision>
  <dcterms:created xsi:type="dcterms:W3CDTF">2025-09-04T09:20:00Z</dcterms:created>
  <dcterms:modified xsi:type="dcterms:W3CDTF">2025-09-04T10:30:00Z</dcterms:modified>
</cp:coreProperties>
</file>