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7B225" w14:textId="6FF8962A" w:rsidR="00DF04E3" w:rsidRDefault="00DB4187" w:rsidP="00DF04E3">
      <w:pPr>
        <w:jc w:val="center"/>
        <w:rPr>
          <w:b/>
          <w:bCs/>
        </w:rPr>
      </w:pPr>
      <w:r>
        <w:rPr>
          <w:b/>
          <w:bCs/>
        </w:rPr>
        <w:t>BORDEREAU</w:t>
      </w:r>
      <w:r w:rsidRPr="00DB4187">
        <w:rPr>
          <w:b/>
          <w:bCs/>
        </w:rPr>
        <w:t xml:space="preserve"> </w:t>
      </w:r>
      <w:r>
        <w:rPr>
          <w:b/>
          <w:bCs/>
        </w:rPr>
        <w:t xml:space="preserve">DES PRIX UNITAIRE </w:t>
      </w:r>
      <w:r w:rsidRPr="00DB4187">
        <w:rPr>
          <w:b/>
          <w:bCs/>
        </w:rPr>
        <w:t xml:space="preserve">RELATIF AUX TRAVAUX D'AMENAGEMENT DE L'AIRE DE PARADE ET DE DEFILE A L'ACADEMIE DE POLICE A KIMPOKO </w:t>
      </w:r>
    </w:p>
    <w:p w14:paraId="246E9C3F" w14:textId="77777777" w:rsidR="00DF04E3" w:rsidRDefault="00DF04E3" w:rsidP="00DF04E3">
      <w:pPr>
        <w:jc w:val="center"/>
        <w:rPr>
          <w:b/>
          <w:bCs/>
        </w:rPr>
      </w:pPr>
    </w:p>
    <w:p w14:paraId="6E702C75" w14:textId="67923B44" w:rsidR="00DB4187" w:rsidRDefault="00DB4187" w:rsidP="00DB4187">
      <w:pPr>
        <w:jc w:val="center"/>
        <w:rPr>
          <w:b/>
          <w:bCs/>
        </w:rPr>
      </w:pPr>
      <w:r w:rsidRPr="00DF04E3">
        <w:rPr>
          <w:b/>
          <w:bCs/>
          <w:highlight w:val="yellow"/>
        </w:rPr>
        <w:t xml:space="preserve">COD21002-10248 – </w:t>
      </w:r>
      <w:r w:rsidR="0033697F" w:rsidRPr="00DF04E3">
        <w:rPr>
          <w:b/>
          <w:bCs/>
          <w:highlight w:val="yellow"/>
        </w:rPr>
        <w:t>BPU_</w:t>
      </w:r>
      <w:r w:rsidRPr="00DF04E3">
        <w:rPr>
          <w:b/>
          <w:bCs/>
          <w:highlight w:val="yellow"/>
        </w:rPr>
        <w:t>LOT 1</w:t>
      </w:r>
      <w:r w:rsidR="00DF04E3" w:rsidRPr="00DF04E3">
        <w:rPr>
          <w:b/>
          <w:bCs/>
          <w:highlight w:val="yellow"/>
        </w:rPr>
        <w:t> : Bétonnage de l’aire de parade (tranche ferme)</w:t>
      </w:r>
    </w:p>
    <w:p w14:paraId="65F7D522" w14:textId="77777777" w:rsidR="00DF04E3" w:rsidRPr="00DB4187" w:rsidRDefault="00DF04E3" w:rsidP="00DB4187">
      <w:pPr>
        <w:jc w:val="center"/>
        <w:rPr>
          <w:b/>
          <w:bCs/>
        </w:rPr>
      </w:pPr>
    </w:p>
    <w:tbl>
      <w:tblPr>
        <w:tblW w:w="9632" w:type="dxa"/>
        <w:tblCellMar>
          <w:left w:w="0" w:type="dxa"/>
          <w:right w:w="0" w:type="dxa"/>
        </w:tblCellMar>
        <w:tblLook w:val="04A0" w:firstRow="1" w:lastRow="0" w:firstColumn="1" w:lastColumn="0" w:noHBand="0" w:noVBand="1"/>
      </w:tblPr>
      <w:tblGrid>
        <w:gridCol w:w="918"/>
        <w:gridCol w:w="6448"/>
        <w:gridCol w:w="2266"/>
      </w:tblGrid>
      <w:tr w:rsidR="00D74A05" w14:paraId="01C8E71F" w14:textId="77777777" w:rsidTr="00DF04E3">
        <w:trPr>
          <w:trHeight w:val="590"/>
          <w:tblHeader/>
        </w:trPr>
        <w:tc>
          <w:tcPr>
            <w:tcW w:w="918" w:type="dxa"/>
            <w:tcBorders>
              <w:top w:val="single" w:sz="4" w:space="0" w:color="auto"/>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center"/>
            <w:hideMark/>
          </w:tcPr>
          <w:p w14:paraId="55418500" w14:textId="77777777" w:rsidR="00D74A05" w:rsidRPr="008C6D0C" w:rsidRDefault="00D74A05">
            <w:pPr>
              <w:jc w:val="center"/>
              <w:rPr>
                <w:rFonts w:ascii="Georgia" w:hAnsi="Georgia" w:cs="Calibri"/>
                <w:b/>
                <w:bCs/>
                <w:color w:val="000000"/>
                <w:sz w:val="20"/>
                <w:szCs w:val="20"/>
              </w:rPr>
            </w:pPr>
            <w:r w:rsidRPr="008C6D0C">
              <w:rPr>
                <w:rFonts w:ascii="Georgia" w:hAnsi="Georgia" w:cs="Calibri"/>
                <w:b/>
                <w:bCs/>
                <w:color w:val="000000"/>
                <w:sz w:val="20"/>
                <w:szCs w:val="20"/>
              </w:rPr>
              <w:t>N°</w:t>
            </w:r>
          </w:p>
        </w:tc>
        <w:tc>
          <w:tcPr>
            <w:tcW w:w="6448" w:type="dxa"/>
            <w:tcBorders>
              <w:top w:val="single" w:sz="4" w:space="0" w:color="auto"/>
              <w:left w:val="nil"/>
              <w:bottom w:val="single" w:sz="4" w:space="0" w:color="auto"/>
              <w:right w:val="single" w:sz="4" w:space="0" w:color="auto"/>
            </w:tcBorders>
            <w:shd w:val="clear" w:color="000000" w:fill="E2EFDA"/>
            <w:noWrap/>
            <w:tcMar>
              <w:top w:w="15" w:type="dxa"/>
              <w:left w:w="15" w:type="dxa"/>
              <w:bottom w:w="0" w:type="dxa"/>
              <w:right w:w="15" w:type="dxa"/>
            </w:tcMar>
            <w:vAlign w:val="center"/>
            <w:hideMark/>
          </w:tcPr>
          <w:p w14:paraId="4D9841D7" w14:textId="6D4F5CC3" w:rsidR="00D74A05" w:rsidRPr="008C6D0C" w:rsidRDefault="00AD7471">
            <w:pPr>
              <w:rPr>
                <w:rFonts w:ascii="Georgia" w:hAnsi="Georgia" w:cs="Calibri"/>
                <w:b/>
                <w:bCs/>
                <w:color w:val="000000"/>
                <w:sz w:val="20"/>
                <w:szCs w:val="20"/>
              </w:rPr>
            </w:pPr>
            <w:r w:rsidRPr="008C6D0C">
              <w:rPr>
                <w:rFonts w:ascii="Georgia" w:hAnsi="Georgia" w:cs="Calibri"/>
                <w:b/>
                <w:bCs/>
                <w:color w:val="000000"/>
                <w:sz w:val="20"/>
                <w:szCs w:val="20"/>
              </w:rPr>
              <w:t xml:space="preserve">Descriptions et </w:t>
            </w:r>
            <w:r w:rsidR="00D74A05" w:rsidRPr="008C6D0C">
              <w:rPr>
                <w:rFonts w:ascii="Georgia" w:hAnsi="Georgia" w:cs="Calibri"/>
                <w:b/>
                <w:bCs/>
                <w:color w:val="000000"/>
                <w:sz w:val="20"/>
                <w:szCs w:val="20"/>
              </w:rPr>
              <w:t xml:space="preserve">Consistances des prix unitaires </w:t>
            </w:r>
          </w:p>
        </w:tc>
        <w:tc>
          <w:tcPr>
            <w:tcW w:w="2266" w:type="dxa"/>
            <w:tcBorders>
              <w:top w:val="single" w:sz="4" w:space="0" w:color="auto"/>
              <w:left w:val="nil"/>
              <w:bottom w:val="single" w:sz="4" w:space="0" w:color="auto"/>
              <w:right w:val="single" w:sz="4" w:space="0" w:color="auto"/>
            </w:tcBorders>
            <w:shd w:val="clear" w:color="000000" w:fill="E2EFDA"/>
            <w:tcMar>
              <w:top w:w="15" w:type="dxa"/>
              <w:left w:w="15" w:type="dxa"/>
              <w:bottom w:w="0" w:type="dxa"/>
              <w:right w:w="15" w:type="dxa"/>
            </w:tcMar>
            <w:vAlign w:val="center"/>
            <w:hideMark/>
          </w:tcPr>
          <w:p w14:paraId="6522C413" w14:textId="77777777" w:rsidR="00D74A05" w:rsidRPr="008C6D0C" w:rsidRDefault="00D74A05">
            <w:pPr>
              <w:jc w:val="center"/>
              <w:rPr>
                <w:rFonts w:ascii="Georgia" w:hAnsi="Georgia" w:cs="Calibri"/>
                <w:b/>
                <w:bCs/>
                <w:color w:val="000000"/>
                <w:sz w:val="20"/>
                <w:szCs w:val="20"/>
              </w:rPr>
            </w:pPr>
            <w:r w:rsidRPr="008C6D0C">
              <w:rPr>
                <w:rFonts w:ascii="Georgia" w:hAnsi="Georgia" w:cs="Calibri"/>
                <w:b/>
                <w:bCs/>
                <w:color w:val="000000"/>
                <w:sz w:val="20"/>
                <w:szCs w:val="20"/>
              </w:rPr>
              <w:t xml:space="preserve">Prix unitaires en toutes lettre </w:t>
            </w:r>
          </w:p>
        </w:tc>
      </w:tr>
      <w:tr w:rsidR="00D74A05" w14:paraId="1585CEF6" w14:textId="77777777" w:rsidTr="002E23E6">
        <w:trPr>
          <w:trHeight w:val="454"/>
        </w:trPr>
        <w:tc>
          <w:tcPr>
            <w:tcW w:w="0" w:type="auto"/>
            <w:tcBorders>
              <w:top w:val="nil"/>
              <w:left w:val="single" w:sz="4" w:space="0" w:color="auto"/>
              <w:bottom w:val="single" w:sz="4" w:space="0" w:color="auto"/>
              <w:right w:val="single" w:sz="4" w:space="0" w:color="auto"/>
            </w:tcBorders>
            <w:shd w:val="clear" w:color="000000" w:fill="FCE4D6"/>
            <w:noWrap/>
            <w:tcMar>
              <w:top w:w="15" w:type="dxa"/>
              <w:left w:w="15" w:type="dxa"/>
              <w:bottom w:w="0" w:type="dxa"/>
              <w:right w:w="15" w:type="dxa"/>
            </w:tcMar>
            <w:vAlign w:val="center"/>
            <w:hideMark/>
          </w:tcPr>
          <w:p w14:paraId="1357380D" w14:textId="77777777" w:rsidR="00D74A05" w:rsidRPr="008C6D0C" w:rsidRDefault="00D74A05">
            <w:pPr>
              <w:jc w:val="center"/>
              <w:rPr>
                <w:rFonts w:ascii="Georgia" w:hAnsi="Georgia" w:cs="Calibri"/>
                <w:b/>
                <w:bCs/>
                <w:color w:val="000000"/>
                <w:sz w:val="20"/>
                <w:szCs w:val="20"/>
              </w:rPr>
            </w:pPr>
            <w:r w:rsidRPr="008C6D0C">
              <w:rPr>
                <w:rFonts w:ascii="Georgia" w:hAnsi="Georgia" w:cs="Calibri"/>
                <w:b/>
                <w:bCs/>
                <w:color w:val="000000"/>
                <w:sz w:val="20"/>
                <w:szCs w:val="20"/>
              </w:rPr>
              <w:t>I</w:t>
            </w:r>
          </w:p>
        </w:tc>
        <w:tc>
          <w:tcPr>
            <w:tcW w:w="6448" w:type="dxa"/>
            <w:tcBorders>
              <w:top w:val="nil"/>
              <w:left w:val="nil"/>
              <w:bottom w:val="single" w:sz="4" w:space="0" w:color="auto"/>
              <w:right w:val="single" w:sz="4" w:space="0" w:color="auto"/>
            </w:tcBorders>
            <w:shd w:val="clear" w:color="000000" w:fill="FCE4D6"/>
            <w:noWrap/>
            <w:tcMar>
              <w:top w:w="15" w:type="dxa"/>
              <w:left w:w="15" w:type="dxa"/>
              <w:bottom w:w="0" w:type="dxa"/>
              <w:right w:w="15" w:type="dxa"/>
            </w:tcMar>
            <w:vAlign w:val="center"/>
            <w:hideMark/>
          </w:tcPr>
          <w:p w14:paraId="140E0F83" w14:textId="77777777" w:rsidR="00D74A05" w:rsidRPr="008C6D0C" w:rsidRDefault="00D74A05">
            <w:pPr>
              <w:rPr>
                <w:rFonts w:ascii="Georgia" w:hAnsi="Georgia" w:cs="Calibri"/>
                <w:b/>
                <w:bCs/>
                <w:color w:val="000000"/>
                <w:sz w:val="20"/>
                <w:szCs w:val="20"/>
              </w:rPr>
            </w:pPr>
            <w:r w:rsidRPr="008C6D0C">
              <w:rPr>
                <w:rFonts w:ascii="Georgia" w:hAnsi="Georgia" w:cs="Calibri"/>
                <w:b/>
                <w:bCs/>
                <w:color w:val="000000"/>
                <w:sz w:val="20"/>
                <w:szCs w:val="20"/>
              </w:rPr>
              <w:t xml:space="preserve">Installation et repli chantier </w:t>
            </w:r>
          </w:p>
        </w:tc>
        <w:tc>
          <w:tcPr>
            <w:tcW w:w="2266" w:type="dxa"/>
            <w:tcBorders>
              <w:top w:val="nil"/>
              <w:left w:val="nil"/>
              <w:bottom w:val="single" w:sz="4" w:space="0" w:color="auto"/>
              <w:right w:val="single" w:sz="4" w:space="0" w:color="auto"/>
            </w:tcBorders>
            <w:shd w:val="clear" w:color="000000" w:fill="FCE4D6"/>
            <w:noWrap/>
            <w:tcMar>
              <w:top w:w="15" w:type="dxa"/>
              <w:left w:w="15" w:type="dxa"/>
              <w:bottom w:w="0" w:type="dxa"/>
              <w:right w:w="15" w:type="dxa"/>
            </w:tcMar>
            <w:vAlign w:val="center"/>
            <w:hideMark/>
          </w:tcPr>
          <w:p w14:paraId="7A75D553" w14:textId="77777777" w:rsidR="00D74A05" w:rsidRPr="008C6D0C" w:rsidRDefault="00D74A05">
            <w:pPr>
              <w:jc w:val="center"/>
              <w:rPr>
                <w:rFonts w:ascii="Georgia" w:hAnsi="Georgia" w:cs="Calibri"/>
                <w:b/>
                <w:bCs/>
                <w:color w:val="000000"/>
                <w:sz w:val="20"/>
                <w:szCs w:val="20"/>
              </w:rPr>
            </w:pPr>
            <w:r w:rsidRPr="008C6D0C">
              <w:rPr>
                <w:rFonts w:ascii="Georgia" w:hAnsi="Georgia" w:cs="Calibri"/>
                <w:b/>
                <w:bCs/>
                <w:color w:val="000000"/>
                <w:sz w:val="20"/>
                <w:szCs w:val="20"/>
              </w:rPr>
              <w:t> </w:t>
            </w:r>
          </w:p>
        </w:tc>
      </w:tr>
      <w:tr w:rsidR="00D74A05" w14:paraId="19E13B63" w14:textId="77777777" w:rsidTr="002E23E6">
        <w:trPr>
          <w:trHeight w:val="322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6165F2" w14:textId="77777777" w:rsidR="00D74A05" w:rsidRPr="008C6D0C" w:rsidRDefault="00D74A05">
            <w:pPr>
              <w:jc w:val="center"/>
              <w:rPr>
                <w:rFonts w:ascii="Georgia" w:hAnsi="Georgia" w:cs="Calibri"/>
                <w:color w:val="000000"/>
                <w:sz w:val="20"/>
                <w:szCs w:val="20"/>
              </w:rPr>
            </w:pPr>
            <w:r w:rsidRPr="008C6D0C">
              <w:rPr>
                <w:rFonts w:ascii="Georgia" w:hAnsi="Georgia" w:cs="Calibri"/>
                <w:color w:val="000000"/>
                <w:sz w:val="20"/>
                <w:szCs w:val="20"/>
              </w:rPr>
              <w:t>1.1</w:t>
            </w:r>
          </w:p>
        </w:tc>
        <w:tc>
          <w:tcPr>
            <w:tcW w:w="6448"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8A2A84" w14:textId="0BA1FB44" w:rsidR="00D74A05" w:rsidRPr="008C6D0C" w:rsidRDefault="00D74A05">
            <w:pPr>
              <w:rPr>
                <w:rFonts w:ascii="Georgia" w:hAnsi="Georgia" w:cs="Calibri"/>
                <w:b/>
                <w:bCs/>
                <w:color w:val="000000"/>
                <w:sz w:val="20"/>
                <w:szCs w:val="20"/>
              </w:rPr>
            </w:pPr>
            <w:r w:rsidRPr="008C6D0C">
              <w:rPr>
                <w:rFonts w:ascii="Georgia" w:hAnsi="Georgia" w:cs="Calibri"/>
                <w:b/>
                <w:bCs/>
                <w:color w:val="000000"/>
                <w:sz w:val="20"/>
                <w:szCs w:val="20"/>
              </w:rPr>
              <w:t>Installation</w:t>
            </w:r>
            <w:r w:rsidR="002E23E6" w:rsidRPr="008C6D0C">
              <w:rPr>
                <w:rFonts w:ascii="Georgia" w:hAnsi="Georgia" w:cs="Calibri"/>
                <w:b/>
                <w:bCs/>
                <w:color w:val="000000"/>
                <w:sz w:val="20"/>
                <w:szCs w:val="20"/>
              </w:rPr>
              <w:t xml:space="preserve"> et </w:t>
            </w:r>
            <w:r w:rsidRPr="008C6D0C">
              <w:rPr>
                <w:rFonts w:ascii="Georgia" w:hAnsi="Georgia" w:cs="Calibri"/>
                <w:b/>
                <w:bCs/>
                <w:color w:val="000000"/>
                <w:sz w:val="20"/>
                <w:szCs w:val="20"/>
              </w:rPr>
              <w:t xml:space="preserve">sécurisation </w:t>
            </w:r>
            <w:r w:rsidR="002E23E6" w:rsidRPr="008C6D0C">
              <w:rPr>
                <w:rFonts w:ascii="Georgia" w:hAnsi="Georgia" w:cs="Calibri"/>
                <w:b/>
                <w:bCs/>
                <w:color w:val="000000"/>
                <w:sz w:val="20"/>
                <w:szCs w:val="20"/>
              </w:rPr>
              <w:t xml:space="preserve">du </w:t>
            </w:r>
            <w:r w:rsidRPr="008C6D0C">
              <w:rPr>
                <w:rFonts w:ascii="Georgia" w:hAnsi="Georgia" w:cs="Calibri"/>
                <w:b/>
                <w:bCs/>
                <w:color w:val="000000"/>
                <w:sz w:val="20"/>
                <w:szCs w:val="20"/>
              </w:rPr>
              <w:t xml:space="preserve">chantier </w:t>
            </w:r>
          </w:p>
          <w:p w14:paraId="16971656" w14:textId="699A9223" w:rsidR="00AD7471" w:rsidRPr="008C6D0C" w:rsidRDefault="00AD7471" w:rsidP="002E23E6">
            <w:pPr>
              <w:spacing w:after="0" w:line="240" w:lineRule="auto"/>
              <w:rPr>
                <w:rFonts w:ascii="Georgia" w:eastAsia="Times New Roman" w:hAnsi="Georgia" w:cs="Times New Roman"/>
                <w:sz w:val="20"/>
                <w:szCs w:val="20"/>
                <w:lang w:eastAsia="fr-FR"/>
              </w:rPr>
            </w:pPr>
            <w:r w:rsidRPr="008C6D0C">
              <w:rPr>
                <w:rFonts w:ascii="Georgia" w:eastAsia="Times New Roman" w:hAnsi="Georgia" w:cs="Times New Roman"/>
                <w:sz w:val="20"/>
                <w:szCs w:val="20"/>
                <w:lang w:eastAsia="fr-FR"/>
              </w:rPr>
              <w:t>Ce prix rémunère :</w:t>
            </w:r>
          </w:p>
          <w:p w14:paraId="3D40989D" w14:textId="77777777" w:rsidR="00AD7471" w:rsidRPr="008C6D0C" w:rsidRDefault="00AD7471" w:rsidP="00AD7471">
            <w:pPr>
              <w:pStyle w:val="Paragraphedeliste"/>
              <w:numPr>
                <w:ilvl w:val="0"/>
                <w:numId w:val="2"/>
              </w:numPr>
              <w:spacing w:after="0" w:line="240" w:lineRule="auto"/>
              <w:ind w:left="176" w:hanging="176"/>
              <w:rPr>
                <w:rFonts w:ascii="Georgia" w:hAnsi="Georgia"/>
                <w:sz w:val="20"/>
                <w:szCs w:val="20"/>
              </w:rPr>
            </w:pPr>
            <w:r w:rsidRPr="008C6D0C">
              <w:rPr>
                <w:rFonts w:ascii="Georgia" w:hAnsi="Georgia"/>
                <w:sz w:val="20"/>
                <w:szCs w:val="20"/>
              </w:rPr>
              <w:t>Les frais pour l’aménagement avant le début des travaux des locaux constituant les bureaux de chantier, la salle de réunion, le dépôt pour le stockage des matériaux et matériels, les magasins ;</w:t>
            </w:r>
          </w:p>
          <w:p w14:paraId="722BA1CA" w14:textId="77777777" w:rsidR="00AD7471" w:rsidRPr="008C6D0C" w:rsidRDefault="00AD7471" w:rsidP="00AD7471">
            <w:pPr>
              <w:pStyle w:val="Paragraphedeliste"/>
              <w:numPr>
                <w:ilvl w:val="0"/>
                <w:numId w:val="1"/>
              </w:numPr>
              <w:spacing w:after="0" w:line="240" w:lineRule="auto"/>
              <w:ind w:left="176" w:hanging="176"/>
              <w:rPr>
                <w:rFonts w:ascii="Georgia" w:hAnsi="Georgia"/>
                <w:sz w:val="20"/>
                <w:szCs w:val="20"/>
              </w:rPr>
            </w:pPr>
            <w:r w:rsidRPr="008C6D0C">
              <w:rPr>
                <w:rFonts w:ascii="Georgia" w:hAnsi="Georgia"/>
                <w:sz w:val="20"/>
                <w:szCs w:val="20"/>
              </w:rPr>
              <w:t>La réalisation des installations des chantiers et leur entretien en cours d’exécution (voie d’accès, réserves d’eau, etc…) ;</w:t>
            </w:r>
          </w:p>
          <w:p w14:paraId="0EEAABA9" w14:textId="09E9238E" w:rsidR="00AD7471" w:rsidRPr="008C6D0C" w:rsidRDefault="00AD7471" w:rsidP="00AD7471">
            <w:pPr>
              <w:pStyle w:val="Paragraphedeliste"/>
              <w:numPr>
                <w:ilvl w:val="0"/>
                <w:numId w:val="1"/>
              </w:numPr>
              <w:spacing w:after="0" w:line="240" w:lineRule="auto"/>
              <w:ind w:left="176" w:hanging="176"/>
              <w:rPr>
                <w:rFonts w:ascii="Georgia" w:hAnsi="Georgia"/>
                <w:sz w:val="20"/>
                <w:szCs w:val="20"/>
              </w:rPr>
            </w:pPr>
            <w:r w:rsidRPr="008C6D0C">
              <w:rPr>
                <w:rFonts w:ascii="Georgia" w:hAnsi="Georgia"/>
                <w:sz w:val="20"/>
                <w:szCs w:val="20"/>
              </w:rPr>
              <w:t>Les frais d’installation du panneau de chantier ;</w:t>
            </w:r>
          </w:p>
          <w:p w14:paraId="5BC82DD0" w14:textId="79A3AFD5" w:rsidR="00AD7471" w:rsidRPr="008C6D0C" w:rsidRDefault="00AD7471" w:rsidP="00AD7471">
            <w:pPr>
              <w:pStyle w:val="Paragraphedeliste"/>
              <w:numPr>
                <w:ilvl w:val="0"/>
                <w:numId w:val="1"/>
              </w:numPr>
              <w:spacing w:after="0" w:line="240" w:lineRule="auto"/>
              <w:ind w:left="176" w:hanging="176"/>
              <w:rPr>
                <w:rFonts w:ascii="Georgia" w:hAnsi="Georgia"/>
                <w:sz w:val="20"/>
                <w:szCs w:val="20"/>
              </w:rPr>
            </w:pPr>
            <w:r w:rsidRPr="008C6D0C">
              <w:rPr>
                <w:rFonts w:ascii="Georgia" w:hAnsi="Georgia"/>
                <w:sz w:val="20"/>
                <w:szCs w:val="20"/>
              </w:rPr>
              <w:t>Les frais d’amenée ;</w:t>
            </w:r>
          </w:p>
          <w:p w14:paraId="29925FFA" w14:textId="77777777" w:rsidR="00AD7471" w:rsidRPr="008C6D0C" w:rsidRDefault="00AD7471" w:rsidP="00AD7471">
            <w:pPr>
              <w:pStyle w:val="Paragraphedeliste"/>
              <w:numPr>
                <w:ilvl w:val="0"/>
                <w:numId w:val="1"/>
              </w:numPr>
              <w:spacing w:after="0" w:line="240" w:lineRule="auto"/>
              <w:ind w:left="176" w:hanging="176"/>
              <w:rPr>
                <w:rFonts w:ascii="Georgia" w:hAnsi="Georgia"/>
                <w:sz w:val="20"/>
                <w:szCs w:val="20"/>
              </w:rPr>
            </w:pPr>
            <w:r w:rsidRPr="008C6D0C">
              <w:rPr>
                <w:rFonts w:ascii="Georgia" w:hAnsi="Georgia"/>
                <w:sz w:val="20"/>
                <w:szCs w:val="20"/>
              </w:rPr>
              <w:t>Les frais d’entretien et le nettoyage général du site ;</w:t>
            </w:r>
          </w:p>
          <w:p w14:paraId="183F4195" w14:textId="287E16F9" w:rsidR="00222621" w:rsidRPr="008C6D0C" w:rsidRDefault="00222621" w:rsidP="00222621">
            <w:pPr>
              <w:numPr>
                <w:ilvl w:val="0"/>
                <w:numId w:val="1"/>
              </w:numPr>
              <w:spacing w:after="0" w:line="240" w:lineRule="auto"/>
              <w:ind w:left="176" w:hanging="176"/>
              <w:contextualSpacing/>
              <w:jc w:val="both"/>
              <w:rPr>
                <w:rFonts w:ascii="Georgia" w:hAnsi="Georgia"/>
                <w:sz w:val="20"/>
                <w:szCs w:val="20"/>
              </w:rPr>
            </w:pPr>
            <w:r w:rsidRPr="008C6D0C">
              <w:rPr>
                <w:rFonts w:ascii="Georgia" w:hAnsi="Georgia"/>
                <w:sz w:val="20"/>
                <w:szCs w:val="20"/>
              </w:rPr>
              <w:t>Les frais de l’élaboration des plans d’exécution et des manuels d’entretien ;</w:t>
            </w:r>
          </w:p>
          <w:p w14:paraId="7C88EB79" w14:textId="276B1D9F" w:rsidR="00D71B92" w:rsidRPr="00D71B92" w:rsidRDefault="00AD7471" w:rsidP="00D71B92">
            <w:pPr>
              <w:pStyle w:val="Paragraphedeliste"/>
              <w:numPr>
                <w:ilvl w:val="0"/>
                <w:numId w:val="1"/>
              </w:numPr>
              <w:spacing w:after="0" w:line="240" w:lineRule="auto"/>
              <w:ind w:left="176" w:hanging="176"/>
              <w:rPr>
                <w:rFonts w:ascii="Georgia" w:hAnsi="Georgia"/>
                <w:sz w:val="20"/>
                <w:szCs w:val="20"/>
              </w:rPr>
            </w:pPr>
            <w:r w:rsidRPr="008C6D0C">
              <w:rPr>
                <w:rFonts w:ascii="Georgia" w:hAnsi="Georgia"/>
                <w:sz w:val="20"/>
                <w:szCs w:val="20"/>
              </w:rPr>
              <w:t>Les frais de gardiennage et la souscription de la police d’assurance</w:t>
            </w:r>
            <w:r w:rsidR="00222621" w:rsidRPr="008C6D0C">
              <w:rPr>
                <w:rFonts w:ascii="Georgia" w:hAnsi="Georgia"/>
                <w:sz w:val="20"/>
                <w:szCs w:val="20"/>
              </w:rPr>
              <w:t> ;</w:t>
            </w:r>
          </w:p>
          <w:p w14:paraId="450683E2" w14:textId="438379ED" w:rsidR="00D71B92" w:rsidRPr="00D71B92" w:rsidRDefault="00D71B92" w:rsidP="00D71B92">
            <w:pPr>
              <w:numPr>
                <w:ilvl w:val="0"/>
                <w:numId w:val="1"/>
              </w:numPr>
              <w:spacing w:after="0" w:line="240" w:lineRule="auto"/>
              <w:ind w:left="176" w:hanging="176"/>
              <w:contextualSpacing/>
              <w:jc w:val="both"/>
              <w:rPr>
                <w:rFonts w:ascii="Georgia" w:hAnsi="Georgia"/>
                <w:sz w:val="20"/>
                <w:szCs w:val="20"/>
              </w:rPr>
            </w:pPr>
            <w:r w:rsidRPr="008C6D0C">
              <w:rPr>
                <w:rFonts w:ascii="Georgia" w:hAnsi="Georgia"/>
                <w:sz w:val="20"/>
                <w:szCs w:val="20"/>
              </w:rPr>
              <w:t>Les travaux de remise en état du site des travaux dont les dégradations seraient imputées à la réalisation des travaux ;</w:t>
            </w:r>
          </w:p>
          <w:p w14:paraId="26E273D7" w14:textId="47DB8573" w:rsidR="00D71B92" w:rsidRPr="00D71B92" w:rsidRDefault="00D71B92" w:rsidP="00D71B92">
            <w:pPr>
              <w:numPr>
                <w:ilvl w:val="0"/>
                <w:numId w:val="1"/>
              </w:numPr>
              <w:spacing w:after="0" w:line="240" w:lineRule="auto"/>
              <w:ind w:left="176" w:hanging="176"/>
              <w:contextualSpacing/>
              <w:jc w:val="both"/>
              <w:rPr>
                <w:rFonts w:ascii="Georgia" w:hAnsi="Georgia"/>
                <w:sz w:val="20"/>
                <w:szCs w:val="20"/>
              </w:rPr>
            </w:pPr>
            <w:r w:rsidRPr="008C6D0C">
              <w:rPr>
                <w:rFonts w:ascii="Georgia" w:hAnsi="Georgia"/>
                <w:color w:val="575655"/>
                <w:sz w:val="20"/>
                <w:szCs w:val="20"/>
              </w:rPr>
              <w:t xml:space="preserve">Le démontage et l’évacuation de tout équipement et ou matériau non comptabilisable à la réception provisoire des travaux ; </w:t>
            </w:r>
          </w:p>
          <w:p w14:paraId="5882B773" w14:textId="77777777" w:rsidR="00D71B92" w:rsidRPr="008C6D0C" w:rsidRDefault="00D71B92" w:rsidP="00D71B92">
            <w:pPr>
              <w:numPr>
                <w:ilvl w:val="0"/>
                <w:numId w:val="1"/>
              </w:numPr>
              <w:spacing w:after="0" w:line="240" w:lineRule="auto"/>
              <w:ind w:left="176" w:hanging="176"/>
              <w:contextualSpacing/>
              <w:jc w:val="both"/>
              <w:rPr>
                <w:rFonts w:ascii="Georgia" w:hAnsi="Georgia"/>
                <w:sz w:val="20"/>
                <w:szCs w:val="20"/>
              </w:rPr>
            </w:pPr>
            <w:r w:rsidRPr="008C6D0C">
              <w:rPr>
                <w:rFonts w:ascii="Georgia" w:hAnsi="Georgia"/>
                <w:sz w:val="20"/>
                <w:szCs w:val="20"/>
              </w:rPr>
              <w:t xml:space="preserve">Dernier entretien du chantier avant la réception provisoire des travaux. </w:t>
            </w:r>
          </w:p>
          <w:p w14:paraId="574A6455" w14:textId="0CF43E4C" w:rsidR="00213C54" w:rsidRPr="008C6D0C" w:rsidRDefault="00213C54" w:rsidP="008C6D0C">
            <w:pPr>
              <w:pStyle w:val="Default"/>
              <w:rPr>
                <w:sz w:val="20"/>
                <w:szCs w:val="20"/>
              </w:rPr>
            </w:pPr>
          </w:p>
          <w:p w14:paraId="024BD933" w14:textId="43E46C35" w:rsidR="002E23E6" w:rsidRPr="00D71B92" w:rsidRDefault="00213C54" w:rsidP="008C6D0C">
            <w:pPr>
              <w:pStyle w:val="Default"/>
              <w:rPr>
                <w:color w:val="575655"/>
                <w:sz w:val="20"/>
                <w:szCs w:val="20"/>
              </w:rPr>
            </w:pPr>
            <w:r w:rsidRPr="008C6D0C">
              <w:rPr>
                <w:color w:val="575655"/>
                <w:sz w:val="20"/>
                <w:szCs w:val="20"/>
              </w:rPr>
              <w:t>Toutes les dépenses afférentes à l’installation du chantier sont à la charge de l'entrepreneur. De façon générale, le chantier doit être propre et en bon ordre. Ce prix est un forfait qui s'entend toutes sujétions et aléas.</w:t>
            </w:r>
            <w:r w:rsidR="00D71B92">
              <w:rPr>
                <w:color w:val="575655"/>
                <w:sz w:val="20"/>
                <w:szCs w:val="20"/>
              </w:rPr>
              <w:t xml:space="preserve"> </w:t>
            </w:r>
            <w:r w:rsidR="00D71B92" w:rsidRPr="008C6D0C">
              <w:rPr>
                <w:color w:val="575655"/>
                <w:sz w:val="20"/>
                <w:szCs w:val="20"/>
              </w:rPr>
              <w:t>Toutes les dépenses afférentes au repli du chantier sont à la charge de l'entrepreneur. Ce prix est un forfait qui s'entend toutes sujétions et aléas</w:t>
            </w:r>
          </w:p>
          <w:p w14:paraId="3890BFB1" w14:textId="66C72E65" w:rsidR="00D74A05" w:rsidRPr="008C6D0C" w:rsidRDefault="00D74A05" w:rsidP="00D74A05">
            <w:pPr>
              <w:jc w:val="right"/>
              <w:rPr>
                <w:rFonts w:ascii="Georgia" w:hAnsi="Georgia" w:cs="Calibri"/>
                <w:color w:val="000000"/>
                <w:sz w:val="20"/>
                <w:szCs w:val="20"/>
              </w:rPr>
            </w:pPr>
            <w:r w:rsidRPr="008C6D0C">
              <w:rPr>
                <w:rFonts w:ascii="Georgia" w:hAnsi="Georgia" w:cs="Calibri"/>
                <w:color w:val="000000"/>
                <w:sz w:val="20"/>
                <w:szCs w:val="20"/>
              </w:rPr>
              <w:t xml:space="preserve">Le Forfait </w:t>
            </w:r>
          </w:p>
        </w:tc>
        <w:tc>
          <w:tcPr>
            <w:tcW w:w="22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16CDC8" w14:textId="77777777" w:rsidR="00D74A05" w:rsidRPr="008C6D0C" w:rsidRDefault="00D74A05">
            <w:pPr>
              <w:jc w:val="center"/>
              <w:rPr>
                <w:rFonts w:ascii="Georgia" w:hAnsi="Georgia" w:cs="Calibri"/>
                <w:color w:val="000000"/>
                <w:sz w:val="20"/>
                <w:szCs w:val="20"/>
              </w:rPr>
            </w:pPr>
            <w:r w:rsidRPr="008C6D0C">
              <w:rPr>
                <w:rFonts w:ascii="Georgia" w:hAnsi="Georgia" w:cs="Calibri"/>
                <w:color w:val="000000"/>
                <w:sz w:val="20"/>
                <w:szCs w:val="20"/>
              </w:rPr>
              <w:t> </w:t>
            </w:r>
          </w:p>
        </w:tc>
      </w:tr>
      <w:tr w:rsidR="00D74A05" w14:paraId="6CF3E9C9" w14:textId="77777777" w:rsidTr="002E23E6">
        <w:trPr>
          <w:trHeight w:val="454"/>
        </w:trPr>
        <w:tc>
          <w:tcPr>
            <w:tcW w:w="0" w:type="auto"/>
            <w:tcBorders>
              <w:top w:val="nil"/>
              <w:left w:val="single" w:sz="4" w:space="0" w:color="auto"/>
              <w:bottom w:val="single" w:sz="4" w:space="0" w:color="auto"/>
              <w:right w:val="single" w:sz="4" w:space="0" w:color="auto"/>
            </w:tcBorders>
            <w:shd w:val="clear" w:color="000000" w:fill="FCE4D6"/>
            <w:noWrap/>
            <w:tcMar>
              <w:top w:w="15" w:type="dxa"/>
              <w:left w:w="15" w:type="dxa"/>
              <w:bottom w:w="0" w:type="dxa"/>
              <w:right w:w="15" w:type="dxa"/>
            </w:tcMar>
            <w:vAlign w:val="center"/>
            <w:hideMark/>
          </w:tcPr>
          <w:p w14:paraId="70B0149C" w14:textId="77777777" w:rsidR="00D74A05" w:rsidRPr="008C6D0C" w:rsidRDefault="00D74A05">
            <w:pPr>
              <w:jc w:val="center"/>
              <w:rPr>
                <w:rFonts w:ascii="Georgia" w:hAnsi="Georgia" w:cs="Calibri"/>
                <w:b/>
                <w:bCs/>
                <w:color w:val="000000"/>
                <w:sz w:val="20"/>
                <w:szCs w:val="20"/>
              </w:rPr>
            </w:pPr>
            <w:r w:rsidRPr="008C6D0C">
              <w:rPr>
                <w:rFonts w:ascii="Georgia" w:hAnsi="Georgia" w:cs="Calibri"/>
                <w:b/>
                <w:bCs/>
                <w:color w:val="000000"/>
                <w:sz w:val="20"/>
                <w:szCs w:val="20"/>
              </w:rPr>
              <w:t>II</w:t>
            </w:r>
          </w:p>
        </w:tc>
        <w:tc>
          <w:tcPr>
            <w:tcW w:w="6448" w:type="dxa"/>
            <w:tcBorders>
              <w:top w:val="nil"/>
              <w:left w:val="nil"/>
              <w:bottom w:val="single" w:sz="4" w:space="0" w:color="auto"/>
              <w:right w:val="single" w:sz="4" w:space="0" w:color="auto"/>
            </w:tcBorders>
            <w:shd w:val="clear" w:color="000000" w:fill="FCE4D6"/>
            <w:noWrap/>
            <w:tcMar>
              <w:top w:w="15" w:type="dxa"/>
              <w:left w:w="15" w:type="dxa"/>
              <w:bottom w:w="0" w:type="dxa"/>
              <w:right w:w="15" w:type="dxa"/>
            </w:tcMar>
            <w:vAlign w:val="center"/>
            <w:hideMark/>
          </w:tcPr>
          <w:p w14:paraId="2E13A819" w14:textId="77777777" w:rsidR="00D74A05" w:rsidRPr="008C6D0C" w:rsidRDefault="00D74A05">
            <w:pPr>
              <w:rPr>
                <w:rFonts w:ascii="Georgia" w:hAnsi="Georgia" w:cs="Calibri"/>
                <w:b/>
                <w:bCs/>
                <w:color w:val="000000"/>
                <w:sz w:val="20"/>
                <w:szCs w:val="20"/>
              </w:rPr>
            </w:pPr>
            <w:r w:rsidRPr="008C6D0C">
              <w:rPr>
                <w:rFonts w:ascii="Georgia" w:hAnsi="Georgia" w:cs="Calibri"/>
                <w:b/>
                <w:bCs/>
                <w:color w:val="000000"/>
                <w:sz w:val="20"/>
                <w:szCs w:val="20"/>
              </w:rPr>
              <w:t>Bétonnage de l'aire de parade</w:t>
            </w:r>
          </w:p>
        </w:tc>
        <w:tc>
          <w:tcPr>
            <w:tcW w:w="2266" w:type="dxa"/>
            <w:tcBorders>
              <w:top w:val="nil"/>
              <w:left w:val="nil"/>
              <w:bottom w:val="single" w:sz="4" w:space="0" w:color="auto"/>
              <w:right w:val="single" w:sz="4" w:space="0" w:color="auto"/>
            </w:tcBorders>
            <w:shd w:val="clear" w:color="000000" w:fill="FCE4D6"/>
            <w:noWrap/>
            <w:tcMar>
              <w:top w:w="15" w:type="dxa"/>
              <w:left w:w="15" w:type="dxa"/>
              <w:bottom w:w="0" w:type="dxa"/>
              <w:right w:w="15" w:type="dxa"/>
            </w:tcMar>
            <w:vAlign w:val="center"/>
            <w:hideMark/>
          </w:tcPr>
          <w:p w14:paraId="432491A3" w14:textId="77777777" w:rsidR="00D74A05" w:rsidRPr="008C6D0C" w:rsidRDefault="00D74A05">
            <w:pPr>
              <w:jc w:val="center"/>
              <w:rPr>
                <w:rFonts w:ascii="Georgia" w:hAnsi="Georgia" w:cs="Calibri"/>
                <w:color w:val="000000"/>
                <w:sz w:val="20"/>
                <w:szCs w:val="20"/>
              </w:rPr>
            </w:pPr>
            <w:r w:rsidRPr="008C6D0C">
              <w:rPr>
                <w:rFonts w:ascii="Georgia" w:hAnsi="Georgia" w:cs="Calibri"/>
                <w:color w:val="000000"/>
                <w:sz w:val="20"/>
                <w:szCs w:val="20"/>
              </w:rPr>
              <w:t> </w:t>
            </w:r>
          </w:p>
        </w:tc>
      </w:tr>
      <w:tr w:rsidR="00D74A05" w14:paraId="75A35876" w14:textId="77777777" w:rsidTr="00D74A05">
        <w:trPr>
          <w:trHeight w:val="1607"/>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5CC079" w14:textId="77777777" w:rsidR="00D74A05" w:rsidRPr="008C6D0C" w:rsidRDefault="00D74A05">
            <w:pPr>
              <w:jc w:val="center"/>
              <w:rPr>
                <w:rFonts w:ascii="Georgia" w:hAnsi="Georgia" w:cs="Calibri"/>
                <w:color w:val="000000"/>
                <w:sz w:val="20"/>
                <w:szCs w:val="20"/>
              </w:rPr>
            </w:pPr>
            <w:r w:rsidRPr="008C6D0C">
              <w:rPr>
                <w:rFonts w:ascii="Georgia" w:hAnsi="Georgia" w:cs="Calibri"/>
                <w:color w:val="000000"/>
                <w:sz w:val="20"/>
                <w:szCs w:val="20"/>
              </w:rPr>
              <w:t>2.1</w:t>
            </w:r>
          </w:p>
        </w:tc>
        <w:tc>
          <w:tcPr>
            <w:tcW w:w="64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B3BD4B" w14:textId="77777777" w:rsidR="00D74A05" w:rsidRPr="008C6D0C" w:rsidRDefault="00D74A05">
            <w:pPr>
              <w:rPr>
                <w:rFonts w:ascii="Georgia" w:hAnsi="Georgia" w:cs="Calibri"/>
                <w:b/>
                <w:bCs/>
                <w:color w:val="000000"/>
                <w:sz w:val="20"/>
                <w:szCs w:val="20"/>
              </w:rPr>
            </w:pPr>
            <w:r w:rsidRPr="008C6D0C">
              <w:rPr>
                <w:rFonts w:ascii="Georgia" w:hAnsi="Georgia" w:cs="Calibri"/>
                <w:b/>
                <w:bCs/>
                <w:color w:val="000000"/>
                <w:sz w:val="20"/>
                <w:szCs w:val="20"/>
              </w:rPr>
              <w:t xml:space="preserve">Terrassement / Déblais, récupération caillasse et mise en tas, y compris évacuation des terres excavées </w:t>
            </w:r>
          </w:p>
          <w:p w14:paraId="66FECC6F" w14:textId="1DA05156" w:rsidR="00D74A05" w:rsidRPr="008C6D0C" w:rsidRDefault="00AD7471">
            <w:pPr>
              <w:rPr>
                <w:rFonts w:ascii="Georgia" w:hAnsi="Georgia" w:cs="Calibri"/>
                <w:color w:val="000000"/>
                <w:sz w:val="20"/>
                <w:szCs w:val="20"/>
              </w:rPr>
            </w:pPr>
            <w:r w:rsidRPr="008C6D0C">
              <w:rPr>
                <w:rFonts w:ascii="Georgia" w:eastAsia="Times New Roman" w:hAnsi="Georgia" w:cs="Times New Roman"/>
                <w:sz w:val="20"/>
                <w:szCs w:val="20"/>
                <w:lang w:eastAsia="fr-FR"/>
              </w:rPr>
              <w:t xml:space="preserve">Ce prix rémunère toutes les opérations liées au terrassement </w:t>
            </w:r>
            <w:r w:rsidR="002E23E6" w:rsidRPr="008C6D0C">
              <w:rPr>
                <w:rFonts w:ascii="Georgia" w:eastAsia="Times New Roman" w:hAnsi="Georgia" w:cs="Times New Roman"/>
                <w:sz w:val="20"/>
                <w:szCs w:val="20"/>
                <w:lang w:eastAsia="fr-FR"/>
              </w:rPr>
              <w:t>sur l’aire</w:t>
            </w:r>
            <w:r w:rsidRPr="008C6D0C">
              <w:rPr>
                <w:rFonts w:ascii="Georgia" w:eastAsia="Times New Roman" w:hAnsi="Georgia" w:cs="Times New Roman"/>
                <w:sz w:val="20"/>
                <w:szCs w:val="20"/>
                <w:lang w:eastAsia="fr-FR"/>
              </w:rPr>
              <w:t xml:space="preserve"> qui d</w:t>
            </w:r>
            <w:r w:rsidR="002E23E6" w:rsidRPr="008C6D0C">
              <w:rPr>
                <w:rFonts w:ascii="Georgia" w:eastAsia="Times New Roman" w:hAnsi="Georgia" w:cs="Times New Roman"/>
                <w:sz w:val="20"/>
                <w:szCs w:val="20"/>
                <w:lang w:eastAsia="fr-FR"/>
              </w:rPr>
              <w:t>oit</w:t>
            </w:r>
            <w:r w:rsidRPr="008C6D0C">
              <w:rPr>
                <w:rFonts w:ascii="Georgia" w:eastAsia="Times New Roman" w:hAnsi="Georgia" w:cs="Times New Roman"/>
                <w:sz w:val="20"/>
                <w:szCs w:val="20"/>
                <w:lang w:eastAsia="fr-FR"/>
              </w:rPr>
              <w:t xml:space="preserve"> recevoir le</w:t>
            </w:r>
            <w:r w:rsidR="002E23E6" w:rsidRPr="008C6D0C">
              <w:rPr>
                <w:rFonts w:ascii="Georgia" w:eastAsia="Times New Roman" w:hAnsi="Georgia" w:cs="Times New Roman"/>
                <w:sz w:val="20"/>
                <w:szCs w:val="20"/>
                <w:lang w:eastAsia="fr-FR"/>
              </w:rPr>
              <w:t xml:space="preserve"> béton</w:t>
            </w:r>
            <w:r w:rsidRPr="008C6D0C">
              <w:rPr>
                <w:rFonts w:ascii="Georgia" w:eastAsia="Times New Roman" w:hAnsi="Georgia" w:cs="Times New Roman"/>
                <w:sz w:val="20"/>
                <w:szCs w:val="20"/>
                <w:lang w:eastAsia="fr-FR"/>
              </w:rPr>
              <w:t xml:space="preserve">, </w:t>
            </w:r>
            <w:r w:rsidR="002E23E6" w:rsidRPr="008C6D0C">
              <w:rPr>
                <w:rFonts w:ascii="Georgia" w:eastAsia="Times New Roman" w:hAnsi="Georgia" w:cs="Times New Roman"/>
                <w:sz w:val="20"/>
                <w:szCs w:val="20"/>
                <w:lang w:eastAsia="fr-FR"/>
              </w:rPr>
              <w:t xml:space="preserve">mise en tas de caillasse récupéré et </w:t>
            </w:r>
            <w:r w:rsidRPr="008C6D0C">
              <w:rPr>
                <w:rFonts w:ascii="Georgia" w:eastAsia="Times New Roman" w:hAnsi="Georgia" w:cs="Times New Roman"/>
                <w:sz w:val="20"/>
                <w:szCs w:val="20"/>
                <w:lang w:eastAsia="fr-FR"/>
              </w:rPr>
              <w:t>l’évacuation des terres ainsi que l’enlèvement de tout matériaux</w:t>
            </w:r>
            <w:r w:rsidR="002E23E6" w:rsidRPr="008C6D0C">
              <w:rPr>
                <w:rFonts w:ascii="Georgia" w:eastAsia="Times New Roman" w:hAnsi="Georgia" w:cs="Times New Roman"/>
                <w:sz w:val="20"/>
                <w:szCs w:val="20"/>
                <w:lang w:eastAsia="fr-FR"/>
              </w:rPr>
              <w:t xml:space="preserve"> inutilisables</w:t>
            </w:r>
            <w:r w:rsidRPr="008C6D0C">
              <w:rPr>
                <w:rFonts w:ascii="Georgia" w:eastAsia="Times New Roman" w:hAnsi="Georgia" w:cs="Times New Roman"/>
                <w:sz w:val="20"/>
                <w:szCs w:val="20"/>
                <w:lang w:eastAsia="fr-FR"/>
              </w:rPr>
              <w:t>, y compris toutes prestations annexes, transports, indemnités, frais accessoires et toutes sujétions pour l’exécution des travaux dans le respect de règle de l’art.</w:t>
            </w:r>
          </w:p>
          <w:p w14:paraId="5550D6EB" w14:textId="7000BA7A" w:rsidR="00D74A05" w:rsidRPr="008C6D0C" w:rsidRDefault="00D74A05" w:rsidP="00D74A05">
            <w:pPr>
              <w:jc w:val="right"/>
              <w:rPr>
                <w:rFonts w:ascii="Georgia" w:hAnsi="Georgia" w:cs="Calibri"/>
                <w:color w:val="000000"/>
                <w:sz w:val="20"/>
                <w:szCs w:val="20"/>
              </w:rPr>
            </w:pPr>
            <w:r w:rsidRPr="008C6D0C">
              <w:rPr>
                <w:rFonts w:ascii="Georgia" w:hAnsi="Georgia" w:cs="Calibri"/>
                <w:color w:val="000000"/>
                <w:sz w:val="20"/>
                <w:szCs w:val="20"/>
              </w:rPr>
              <w:t xml:space="preserve">Le Mètre cube </w:t>
            </w:r>
          </w:p>
        </w:tc>
        <w:tc>
          <w:tcPr>
            <w:tcW w:w="22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51E3F8" w14:textId="77777777" w:rsidR="00D74A05" w:rsidRPr="008C6D0C" w:rsidRDefault="00D74A05">
            <w:pPr>
              <w:jc w:val="center"/>
              <w:rPr>
                <w:rFonts w:ascii="Georgia" w:hAnsi="Georgia" w:cs="Calibri"/>
                <w:color w:val="000000"/>
                <w:sz w:val="20"/>
                <w:szCs w:val="20"/>
              </w:rPr>
            </w:pPr>
            <w:r w:rsidRPr="008C6D0C">
              <w:rPr>
                <w:rFonts w:ascii="Georgia" w:hAnsi="Georgia" w:cs="Calibri"/>
                <w:color w:val="000000"/>
                <w:sz w:val="20"/>
                <w:szCs w:val="20"/>
              </w:rPr>
              <w:t> </w:t>
            </w:r>
          </w:p>
        </w:tc>
      </w:tr>
      <w:tr w:rsidR="00D74A05" w14:paraId="222BAADD" w14:textId="77777777" w:rsidTr="00D74A05">
        <w:trPr>
          <w:trHeight w:val="125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685AFFD" w14:textId="77777777" w:rsidR="00D74A05" w:rsidRPr="008C6D0C" w:rsidRDefault="00D74A05">
            <w:pPr>
              <w:jc w:val="center"/>
              <w:rPr>
                <w:rFonts w:ascii="Georgia" w:hAnsi="Georgia" w:cs="Calibri"/>
                <w:color w:val="000000"/>
                <w:sz w:val="20"/>
                <w:szCs w:val="20"/>
              </w:rPr>
            </w:pPr>
            <w:r w:rsidRPr="008C6D0C">
              <w:rPr>
                <w:rFonts w:ascii="Georgia" w:hAnsi="Georgia" w:cs="Calibri"/>
                <w:color w:val="000000"/>
                <w:sz w:val="20"/>
                <w:szCs w:val="20"/>
              </w:rPr>
              <w:lastRenderedPageBreak/>
              <w:t>2.2</w:t>
            </w:r>
          </w:p>
        </w:tc>
        <w:tc>
          <w:tcPr>
            <w:tcW w:w="64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D46637" w14:textId="14BE3028" w:rsidR="00213C54" w:rsidRPr="008C6D0C" w:rsidRDefault="00D74A05" w:rsidP="00E74EDA">
            <w:pPr>
              <w:rPr>
                <w:rFonts w:ascii="Georgia" w:hAnsi="Georgia" w:cs="Calibri"/>
                <w:b/>
                <w:bCs/>
                <w:color w:val="000000"/>
                <w:sz w:val="20"/>
                <w:szCs w:val="20"/>
              </w:rPr>
            </w:pPr>
            <w:r w:rsidRPr="008C6D0C">
              <w:rPr>
                <w:rFonts w:ascii="Georgia" w:hAnsi="Georgia" w:cs="Calibri"/>
                <w:b/>
                <w:bCs/>
                <w:color w:val="000000"/>
                <w:sz w:val="20"/>
                <w:szCs w:val="20"/>
              </w:rPr>
              <w:t>Compactage du fond de l'aire de parade, après remise de caillasse récupérée</w:t>
            </w:r>
          </w:p>
          <w:p w14:paraId="516809CB" w14:textId="0BCBF48A" w:rsidR="00213C54" w:rsidRPr="008C6D0C" w:rsidRDefault="00E74EDA">
            <w:pPr>
              <w:rPr>
                <w:rFonts w:ascii="Georgia" w:hAnsi="Georgia" w:cs="Times New Roman"/>
                <w:color w:val="000000"/>
                <w:sz w:val="20"/>
                <w:szCs w:val="20"/>
              </w:rPr>
            </w:pPr>
            <w:r w:rsidRPr="008C6D0C">
              <w:rPr>
                <w:rFonts w:ascii="Georgia" w:hAnsi="Georgia"/>
                <w:color w:val="575655"/>
                <w:sz w:val="20"/>
                <w:szCs w:val="20"/>
              </w:rPr>
              <w:t>Ce prix rémunère l</w:t>
            </w:r>
            <w:r w:rsidR="00213C54" w:rsidRPr="008C6D0C">
              <w:rPr>
                <w:rFonts w:ascii="Georgia" w:hAnsi="Georgia"/>
                <w:color w:val="575655"/>
                <w:sz w:val="20"/>
                <w:szCs w:val="20"/>
              </w:rPr>
              <w:t xml:space="preserve">e compactage réalisé </w:t>
            </w:r>
            <w:r w:rsidRPr="008C6D0C">
              <w:rPr>
                <w:rFonts w:ascii="Georgia" w:hAnsi="Georgia"/>
                <w:color w:val="575655"/>
                <w:sz w:val="20"/>
                <w:szCs w:val="20"/>
              </w:rPr>
              <w:t xml:space="preserve">de manière à obtenir une densité en place de 97% de l'OPM sur la plateforme à bétonner. La caillasse récupérée sera répandue uniformément sur le fond dudit </w:t>
            </w:r>
            <w:r w:rsidR="0057608C" w:rsidRPr="008C6D0C">
              <w:rPr>
                <w:rFonts w:ascii="Georgia" w:hAnsi="Georgia"/>
                <w:color w:val="575655"/>
                <w:sz w:val="20"/>
                <w:szCs w:val="20"/>
              </w:rPr>
              <w:t>plateforme</w:t>
            </w:r>
            <w:r w:rsidRPr="008C6D0C">
              <w:rPr>
                <w:rFonts w:ascii="Georgia" w:hAnsi="Georgia"/>
                <w:color w:val="575655"/>
                <w:sz w:val="20"/>
                <w:szCs w:val="20"/>
              </w:rPr>
              <w:t xml:space="preserve"> avant le démarrage </w:t>
            </w:r>
            <w:r w:rsidR="0057608C" w:rsidRPr="008C6D0C">
              <w:rPr>
                <w:rFonts w:ascii="Georgia" w:hAnsi="Georgia"/>
                <w:color w:val="575655"/>
                <w:sz w:val="20"/>
                <w:szCs w:val="20"/>
              </w:rPr>
              <w:t xml:space="preserve">de l’opération de </w:t>
            </w:r>
            <w:r w:rsidRPr="008C6D0C">
              <w:rPr>
                <w:rFonts w:ascii="Georgia" w:hAnsi="Georgia"/>
                <w:color w:val="575655"/>
                <w:sz w:val="20"/>
                <w:szCs w:val="20"/>
              </w:rPr>
              <w:t xml:space="preserve">compactage.  </w:t>
            </w:r>
            <w:r w:rsidR="00213C54" w:rsidRPr="008C6D0C">
              <w:rPr>
                <w:rFonts w:ascii="Georgia" w:hAnsi="Georgia"/>
                <w:color w:val="575655"/>
                <w:sz w:val="20"/>
                <w:szCs w:val="20"/>
              </w:rPr>
              <w:t xml:space="preserve">En cas d’apport, la terre à utiliser proviendra des carrières agrées et sera exempt des déchets, débris, bois ou autres matières organiques, y compris prestations annexes, transport, indemnités, frais accessoires et toutes sujétions pour l’exécution des travaux dans les règles de l’art. </w:t>
            </w:r>
          </w:p>
          <w:p w14:paraId="21BD3FF9" w14:textId="07BE2F4F" w:rsidR="00D74A05" w:rsidRPr="008C6D0C" w:rsidRDefault="00D74A05" w:rsidP="00D74A05">
            <w:pPr>
              <w:jc w:val="right"/>
              <w:rPr>
                <w:rFonts w:ascii="Georgia" w:hAnsi="Georgia" w:cs="Calibri"/>
                <w:color w:val="000000"/>
                <w:sz w:val="20"/>
                <w:szCs w:val="20"/>
              </w:rPr>
            </w:pPr>
            <w:r w:rsidRPr="008C6D0C">
              <w:rPr>
                <w:rFonts w:ascii="Georgia" w:hAnsi="Georgia" w:cs="Calibri"/>
                <w:color w:val="000000"/>
                <w:sz w:val="20"/>
                <w:szCs w:val="20"/>
              </w:rPr>
              <w:t xml:space="preserve">Le Mètre cube </w:t>
            </w:r>
          </w:p>
        </w:tc>
        <w:tc>
          <w:tcPr>
            <w:tcW w:w="22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4BFCBC" w14:textId="77777777" w:rsidR="00D74A05" w:rsidRPr="008C6D0C" w:rsidRDefault="00D74A05">
            <w:pPr>
              <w:jc w:val="center"/>
              <w:rPr>
                <w:rFonts w:ascii="Georgia" w:hAnsi="Georgia" w:cs="Calibri"/>
                <w:color w:val="000000"/>
                <w:sz w:val="20"/>
                <w:szCs w:val="20"/>
              </w:rPr>
            </w:pPr>
            <w:r w:rsidRPr="008C6D0C">
              <w:rPr>
                <w:rFonts w:ascii="Georgia" w:hAnsi="Georgia" w:cs="Calibri"/>
                <w:color w:val="000000"/>
                <w:sz w:val="20"/>
                <w:szCs w:val="20"/>
              </w:rPr>
              <w:t> </w:t>
            </w:r>
          </w:p>
        </w:tc>
      </w:tr>
      <w:tr w:rsidR="00D74A05" w14:paraId="3A34B0A1" w14:textId="77777777" w:rsidTr="008C6D0C">
        <w:trPr>
          <w:trHeight w:val="3112"/>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046AFCA" w14:textId="77777777" w:rsidR="00D74A05" w:rsidRPr="008C6D0C" w:rsidRDefault="00D74A05">
            <w:pPr>
              <w:jc w:val="center"/>
              <w:rPr>
                <w:rFonts w:ascii="Georgia" w:hAnsi="Georgia" w:cs="Calibri"/>
                <w:color w:val="000000"/>
                <w:sz w:val="20"/>
                <w:szCs w:val="20"/>
              </w:rPr>
            </w:pPr>
            <w:r w:rsidRPr="008C6D0C">
              <w:rPr>
                <w:rFonts w:ascii="Georgia" w:hAnsi="Georgia" w:cs="Calibri"/>
                <w:color w:val="000000"/>
                <w:sz w:val="20"/>
                <w:szCs w:val="20"/>
              </w:rPr>
              <w:t>2.3</w:t>
            </w:r>
          </w:p>
        </w:tc>
        <w:tc>
          <w:tcPr>
            <w:tcW w:w="6448"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202DA1" w14:textId="77777777" w:rsidR="00D74A05" w:rsidRPr="008C6D0C" w:rsidRDefault="00D74A05">
            <w:pPr>
              <w:rPr>
                <w:rFonts w:ascii="Georgia" w:hAnsi="Georgia" w:cs="Calibri"/>
                <w:b/>
                <w:bCs/>
                <w:color w:val="000000"/>
                <w:sz w:val="20"/>
                <w:szCs w:val="20"/>
              </w:rPr>
            </w:pPr>
            <w:r w:rsidRPr="008C6D0C">
              <w:rPr>
                <w:rFonts w:ascii="Georgia" w:hAnsi="Georgia" w:cs="Calibri"/>
                <w:b/>
                <w:bCs/>
                <w:color w:val="000000"/>
                <w:sz w:val="20"/>
                <w:szCs w:val="20"/>
              </w:rPr>
              <w:t>Béton armé dosé à 350 kg /m</w:t>
            </w:r>
            <w:r w:rsidRPr="008C6D0C">
              <w:rPr>
                <w:rFonts w:ascii="Georgia" w:hAnsi="Georgia" w:cs="Calibri"/>
                <w:b/>
                <w:bCs/>
                <w:color w:val="000000"/>
                <w:sz w:val="20"/>
                <w:szCs w:val="20"/>
                <w:vertAlign w:val="superscript"/>
              </w:rPr>
              <w:t xml:space="preserve">3 </w:t>
            </w:r>
            <w:r w:rsidRPr="008C6D0C">
              <w:rPr>
                <w:rFonts w:ascii="Georgia" w:hAnsi="Georgia" w:cs="Calibri"/>
                <w:b/>
                <w:bCs/>
                <w:color w:val="000000"/>
                <w:sz w:val="20"/>
                <w:szCs w:val="20"/>
              </w:rPr>
              <w:t xml:space="preserve">pour le bétonnage de l'aire de parade </w:t>
            </w:r>
          </w:p>
          <w:p w14:paraId="6B2BD0A9" w14:textId="310A6E73" w:rsidR="002E23E6" w:rsidRPr="008C6D0C" w:rsidRDefault="00AD7471" w:rsidP="002E23E6">
            <w:pPr>
              <w:rPr>
                <w:rFonts w:ascii="Georgia" w:hAnsi="Georgia" w:cs="Times New Roman"/>
                <w:sz w:val="20"/>
                <w:szCs w:val="20"/>
              </w:rPr>
            </w:pPr>
            <w:r w:rsidRPr="008C6D0C">
              <w:rPr>
                <w:rFonts w:ascii="Georgia" w:eastAsia="Times New Roman" w:hAnsi="Georgia" w:cs="Times New Roman"/>
                <w:sz w:val="20"/>
                <w:szCs w:val="20"/>
                <w:lang w:eastAsia="fr-FR"/>
              </w:rPr>
              <w:t>Ce prix rémunère l</w:t>
            </w:r>
            <w:r w:rsidRPr="008C6D0C">
              <w:rPr>
                <w:rFonts w:ascii="Georgia" w:hAnsi="Georgia" w:cs="Times New Roman"/>
                <w:sz w:val="20"/>
                <w:szCs w:val="20"/>
              </w:rPr>
              <w:t>a réalisation d</w:t>
            </w:r>
            <w:r w:rsidR="00913496" w:rsidRPr="008C6D0C">
              <w:rPr>
                <w:rFonts w:ascii="Georgia" w:hAnsi="Georgia" w:cs="Times New Roman"/>
                <w:sz w:val="20"/>
                <w:szCs w:val="20"/>
              </w:rPr>
              <w:t>e l’aire de parade</w:t>
            </w:r>
            <w:r w:rsidRPr="008C6D0C">
              <w:rPr>
                <w:rFonts w:ascii="Georgia" w:hAnsi="Georgia" w:cs="Times New Roman"/>
                <w:sz w:val="20"/>
                <w:szCs w:val="20"/>
              </w:rPr>
              <w:t xml:space="preserve"> en béton armé de classe C25/30 et tous les éléments acceptés dans les plans y compris l’usinage de fer à béton à haute adhérence du type HA 400, conformément au plan de ferraillage fourni. Les bacs seront propres sans paille, exemptes de rouilles détachable ou lamelle, de souillures huileuses, terreuses ou de peinture. Les constituants du béton doivent être conformes aux prescriptions </w:t>
            </w:r>
            <w:r w:rsidR="00913496" w:rsidRPr="008C6D0C">
              <w:rPr>
                <w:rFonts w:ascii="Georgia" w:hAnsi="Georgia" w:cs="Times New Roman"/>
                <w:sz w:val="20"/>
                <w:szCs w:val="20"/>
              </w:rPr>
              <w:t>techniques,</w:t>
            </w:r>
            <w:r w:rsidRPr="008C6D0C">
              <w:rPr>
                <w:rFonts w:ascii="Georgia" w:hAnsi="Georgia" w:cs="Times New Roman"/>
                <w:sz w:val="20"/>
                <w:szCs w:val="20"/>
              </w:rPr>
              <w:t xml:space="preserve"> y compris prestations annexes, transport, indemnités, frais, accessoires et toutes sujétions pour l’exécution de travaux dans les règles de l’art.</w:t>
            </w:r>
          </w:p>
          <w:p w14:paraId="32D28125" w14:textId="5A78E667" w:rsidR="00D74A05" w:rsidRPr="008C6D0C" w:rsidRDefault="00D74A05" w:rsidP="002E23E6">
            <w:pPr>
              <w:jc w:val="right"/>
              <w:rPr>
                <w:rFonts w:ascii="Georgia" w:hAnsi="Georgia" w:cs="Calibri"/>
                <w:color w:val="000000"/>
                <w:sz w:val="20"/>
                <w:szCs w:val="20"/>
              </w:rPr>
            </w:pPr>
            <w:r w:rsidRPr="008C6D0C">
              <w:rPr>
                <w:rFonts w:ascii="Georgia" w:hAnsi="Georgia" w:cs="Calibri"/>
                <w:color w:val="000000"/>
                <w:sz w:val="20"/>
                <w:szCs w:val="20"/>
              </w:rPr>
              <w:t xml:space="preserve">Le mètre cube                 </w:t>
            </w:r>
          </w:p>
        </w:tc>
        <w:tc>
          <w:tcPr>
            <w:tcW w:w="22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0B13B17" w14:textId="77777777" w:rsidR="00D74A05" w:rsidRPr="008C6D0C" w:rsidRDefault="00D74A05">
            <w:pPr>
              <w:jc w:val="center"/>
              <w:rPr>
                <w:rFonts w:ascii="Georgia" w:hAnsi="Georgia" w:cs="Calibri"/>
                <w:color w:val="000000"/>
                <w:sz w:val="20"/>
                <w:szCs w:val="20"/>
              </w:rPr>
            </w:pPr>
            <w:r w:rsidRPr="008C6D0C">
              <w:rPr>
                <w:rFonts w:ascii="Georgia" w:hAnsi="Georgia" w:cs="Calibri"/>
                <w:color w:val="000000"/>
                <w:sz w:val="20"/>
                <w:szCs w:val="20"/>
              </w:rPr>
              <w:t> </w:t>
            </w:r>
          </w:p>
        </w:tc>
      </w:tr>
    </w:tbl>
    <w:p w14:paraId="5634BF4A" w14:textId="339CBA48" w:rsidR="00D74A05" w:rsidRDefault="00D74A05">
      <w:r>
        <w:t xml:space="preserve"> </w:t>
      </w:r>
    </w:p>
    <w:p w14:paraId="5B06873A" w14:textId="77777777" w:rsidR="00344698" w:rsidRDefault="00344698" w:rsidP="00344698">
      <w:pPr>
        <w:pStyle w:val="Default"/>
        <w:rPr>
          <w:sz w:val="20"/>
          <w:szCs w:val="20"/>
        </w:rPr>
      </w:pPr>
      <w:r>
        <w:rPr>
          <w:sz w:val="20"/>
          <w:szCs w:val="20"/>
        </w:rPr>
        <w:t xml:space="preserve">Certifié pour vrai et conforme, </w:t>
      </w:r>
    </w:p>
    <w:p w14:paraId="247E9E3A" w14:textId="77777777" w:rsidR="00344698" w:rsidRDefault="00344698" w:rsidP="00344698">
      <w:pPr>
        <w:pStyle w:val="Default"/>
        <w:rPr>
          <w:sz w:val="20"/>
          <w:szCs w:val="20"/>
        </w:rPr>
      </w:pPr>
    </w:p>
    <w:p w14:paraId="2888EEF7" w14:textId="77777777" w:rsidR="00344698" w:rsidRDefault="00344698" w:rsidP="00344698">
      <w:pPr>
        <w:pStyle w:val="Default"/>
        <w:rPr>
          <w:sz w:val="20"/>
          <w:szCs w:val="20"/>
        </w:rPr>
      </w:pPr>
    </w:p>
    <w:p w14:paraId="727B95EC" w14:textId="77777777" w:rsidR="00344698" w:rsidRDefault="00344698" w:rsidP="00344698">
      <w:pPr>
        <w:pStyle w:val="Default"/>
        <w:rPr>
          <w:sz w:val="20"/>
          <w:szCs w:val="20"/>
        </w:rPr>
      </w:pPr>
    </w:p>
    <w:p w14:paraId="28442FAE" w14:textId="77777777" w:rsidR="00344698" w:rsidRPr="003946CE" w:rsidRDefault="00344698" w:rsidP="00344698">
      <w:pPr>
        <w:rPr>
          <w:rFonts w:ascii="Georgia" w:hAnsi="Georgia"/>
          <w:b/>
          <w:bCs/>
          <w:sz w:val="21"/>
          <w:szCs w:val="21"/>
        </w:rPr>
      </w:pPr>
      <w:r>
        <w:rPr>
          <w:sz w:val="20"/>
          <w:szCs w:val="20"/>
        </w:rPr>
        <w:t>Fait à …………………… le ………………</w:t>
      </w:r>
    </w:p>
    <w:p w14:paraId="389B401D" w14:textId="77777777" w:rsidR="00D74A05" w:rsidRDefault="00D74A05"/>
    <w:sectPr w:rsidR="00D74A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D4C3B"/>
    <w:multiLevelType w:val="hybridMultilevel"/>
    <w:tmpl w:val="99F4ACA2"/>
    <w:lvl w:ilvl="0" w:tplc="9AA4161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627382"/>
    <w:multiLevelType w:val="hybridMultilevel"/>
    <w:tmpl w:val="84CC0E96"/>
    <w:lvl w:ilvl="0" w:tplc="269E05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57912299">
    <w:abstractNumId w:val="1"/>
  </w:num>
  <w:num w:numId="2" w16cid:durableId="12176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A05"/>
    <w:rsid w:val="00017AAA"/>
    <w:rsid w:val="000E7971"/>
    <w:rsid w:val="001504CA"/>
    <w:rsid w:val="001A6EB5"/>
    <w:rsid w:val="001D0224"/>
    <w:rsid w:val="00213C54"/>
    <w:rsid w:val="00222621"/>
    <w:rsid w:val="002E23E6"/>
    <w:rsid w:val="0033697F"/>
    <w:rsid w:val="00344698"/>
    <w:rsid w:val="0057608C"/>
    <w:rsid w:val="005E1464"/>
    <w:rsid w:val="00634ECD"/>
    <w:rsid w:val="00671CF6"/>
    <w:rsid w:val="008422F1"/>
    <w:rsid w:val="008C6D0C"/>
    <w:rsid w:val="00913496"/>
    <w:rsid w:val="00A02F0F"/>
    <w:rsid w:val="00AD7471"/>
    <w:rsid w:val="00BD03E7"/>
    <w:rsid w:val="00CB09BC"/>
    <w:rsid w:val="00CB2ECF"/>
    <w:rsid w:val="00D71B92"/>
    <w:rsid w:val="00D74A05"/>
    <w:rsid w:val="00DB4187"/>
    <w:rsid w:val="00DF04E3"/>
    <w:rsid w:val="00E4319B"/>
    <w:rsid w:val="00E74EDA"/>
    <w:rsid w:val="00F4580D"/>
    <w:rsid w:val="00FC56F8"/>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FA75"/>
  <w15:chartTrackingRefBased/>
  <w15:docId w15:val="{6ED5EF53-7A55-4369-BA19-93C9F150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4A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74A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74A0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74A0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74A0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74A0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4A0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4A0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4A0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4A0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74A0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74A0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74A0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74A0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74A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4A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4A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4A05"/>
    <w:rPr>
      <w:rFonts w:eastAsiaTheme="majorEastAsia" w:cstheme="majorBidi"/>
      <w:color w:val="272727" w:themeColor="text1" w:themeTint="D8"/>
    </w:rPr>
  </w:style>
  <w:style w:type="paragraph" w:styleId="Titre">
    <w:name w:val="Title"/>
    <w:basedOn w:val="Normal"/>
    <w:next w:val="Normal"/>
    <w:link w:val="TitreCar"/>
    <w:uiPriority w:val="10"/>
    <w:qFormat/>
    <w:rsid w:val="00D74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4A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4A0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4A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4A05"/>
    <w:pPr>
      <w:spacing w:before="160"/>
      <w:jc w:val="center"/>
    </w:pPr>
    <w:rPr>
      <w:i/>
      <w:iCs/>
      <w:color w:val="404040" w:themeColor="text1" w:themeTint="BF"/>
    </w:rPr>
  </w:style>
  <w:style w:type="character" w:customStyle="1" w:styleId="CitationCar">
    <w:name w:val="Citation Car"/>
    <w:basedOn w:val="Policepardfaut"/>
    <w:link w:val="Citation"/>
    <w:uiPriority w:val="29"/>
    <w:rsid w:val="00D74A05"/>
    <w:rPr>
      <w:i/>
      <w:iCs/>
      <w:color w:val="404040" w:themeColor="text1" w:themeTint="BF"/>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1"/>
    <w:qFormat/>
    <w:rsid w:val="00D74A05"/>
    <w:pPr>
      <w:ind w:left="720"/>
      <w:contextualSpacing/>
    </w:pPr>
  </w:style>
  <w:style w:type="character" w:styleId="Accentuationintense">
    <w:name w:val="Intense Emphasis"/>
    <w:basedOn w:val="Policepardfaut"/>
    <w:uiPriority w:val="21"/>
    <w:qFormat/>
    <w:rsid w:val="00D74A05"/>
    <w:rPr>
      <w:i/>
      <w:iCs/>
      <w:color w:val="2F5496" w:themeColor="accent1" w:themeShade="BF"/>
    </w:rPr>
  </w:style>
  <w:style w:type="paragraph" w:styleId="Citationintense">
    <w:name w:val="Intense Quote"/>
    <w:basedOn w:val="Normal"/>
    <w:next w:val="Normal"/>
    <w:link w:val="CitationintenseCar"/>
    <w:uiPriority w:val="30"/>
    <w:qFormat/>
    <w:rsid w:val="00D74A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74A05"/>
    <w:rPr>
      <w:i/>
      <w:iCs/>
      <w:color w:val="2F5496" w:themeColor="accent1" w:themeShade="BF"/>
    </w:rPr>
  </w:style>
  <w:style w:type="character" w:styleId="Rfrenceintense">
    <w:name w:val="Intense Reference"/>
    <w:basedOn w:val="Policepardfaut"/>
    <w:uiPriority w:val="32"/>
    <w:qFormat/>
    <w:rsid w:val="00D74A05"/>
    <w:rPr>
      <w:b/>
      <w:bCs/>
      <w:smallCaps/>
      <w:color w:val="2F5496" w:themeColor="accent1" w:themeShade="BF"/>
      <w:spacing w:val="5"/>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1"/>
    <w:qFormat/>
    <w:locked/>
    <w:rsid w:val="00AD7471"/>
  </w:style>
  <w:style w:type="paragraph" w:customStyle="1" w:styleId="Default">
    <w:name w:val="Default"/>
    <w:rsid w:val="00213C54"/>
    <w:pPr>
      <w:autoSpaceDE w:val="0"/>
      <w:autoSpaceDN w:val="0"/>
      <w:adjustRightInd w:val="0"/>
      <w:spacing w:after="0" w:line="240" w:lineRule="auto"/>
    </w:pPr>
    <w:rPr>
      <w:rFonts w:ascii="Georgia" w:hAnsi="Georgia" w:cs="Georg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63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KANYINDA, Dieudonné</dc:creator>
  <cp:keywords/>
  <dc:description/>
  <cp:lastModifiedBy>MUNGANGA SHUNGI, Rémy</cp:lastModifiedBy>
  <cp:revision>6</cp:revision>
  <dcterms:created xsi:type="dcterms:W3CDTF">2025-09-08T21:10:00Z</dcterms:created>
  <dcterms:modified xsi:type="dcterms:W3CDTF">2025-09-08T21:20:00Z</dcterms:modified>
</cp:coreProperties>
</file>