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641B" w14:textId="77777777" w:rsidR="009B263B" w:rsidRDefault="009B263B" w:rsidP="00E434FA">
      <w:pPr>
        <w:jc w:val="both"/>
        <w:rPr>
          <w:rFonts w:ascii="Georgia" w:hAnsi="Georgia"/>
          <w:b/>
          <w:bCs/>
          <w:sz w:val="21"/>
          <w:szCs w:val="21"/>
          <w:u w:val="single"/>
        </w:rPr>
      </w:pPr>
    </w:p>
    <w:p w14:paraId="1F5C205C" w14:textId="77777777" w:rsidR="00E03D2F" w:rsidRPr="003034F1" w:rsidRDefault="00E03D2F" w:rsidP="00E434FA">
      <w:pPr>
        <w:jc w:val="both"/>
        <w:rPr>
          <w:rFonts w:ascii="Georgia" w:hAnsi="Georgia"/>
          <w:b/>
          <w:bCs/>
          <w:sz w:val="21"/>
          <w:szCs w:val="21"/>
          <w:u w:val="single"/>
        </w:rPr>
      </w:pPr>
    </w:p>
    <w:p w14:paraId="184D3BE6" w14:textId="458E5E18" w:rsidR="009B263B" w:rsidRPr="003034F1" w:rsidRDefault="009B263B" w:rsidP="00E434FA">
      <w:pPr>
        <w:tabs>
          <w:tab w:val="left" w:pos="1301"/>
        </w:tabs>
        <w:jc w:val="both"/>
        <w:rPr>
          <w:rFonts w:ascii="Georgia" w:hAnsi="Georgia"/>
          <w:b/>
          <w:bCs/>
          <w:sz w:val="21"/>
          <w:szCs w:val="21"/>
          <w:u w:val="single"/>
        </w:rPr>
      </w:pPr>
      <w:r w:rsidRPr="003034F1">
        <w:rPr>
          <w:rFonts w:ascii="Georgia" w:hAnsi="Georgia"/>
          <w:b/>
          <w:bCs/>
          <w:sz w:val="21"/>
          <w:szCs w:val="21"/>
          <w:u w:val="single"/>
        </w:rPr>
        <w:t>APERCU DES QUESTIONS RELATIF</w:t>
      </w:r>
      <w:r w:rsidR="00B9295A" w:rsidRPr="003034F1">
        <w:rPr>
          <w:rFonts w:ascii="Georgia" w:hAnsi="Georgia"/>
          <w:b/>
          <w:bCs/>
          <w:sz w:val="21"/>
          <w:szCs w:val="21"/>
          <w:u w:val="single"/>
        </w:rPr>
        <w:t xml:space="preserve"> A</w:t>
      </w:r>
      <w:r w:rsidR="00DA3ACB" w:rsidRPr="003034F1">
        <w:rPr>
          <w:rFonts w:ascii="Georgia" w:hAnsi="Georgia"/>
          <w:b/>
          <w:bCs/>
          <w:sz w:val="21"/>
          <w:szCs w:val="21"/>
          <w:u w:val="single"/>
        </w:rPr>
        <w:t>U MARCHE</w:t>
      </w:r>
      <w:r w:rsidRPr="003034F1">
        <w:rPr>
          <w:rFonts w:ascii="Georgia" w:hAnsi="Georgia"/>
          <w:b/>
          <w:bCs/>
          <w:sz w:val="21"/>
          <w:szCs w:val="21"/>
          <w:u w:val="single"/>
        </w:rPr>
        <w:t xml:space="preserve"> N° BDI23006-1</w:t>
      </w:r>
      <w:r w:rsidR="00304F00" w:rsidRPr="003034F1">
        <w:rPr>
          <w:rFonts w:ascii="Georgia" w:hAnsi="Georgia"/>
          <w:b/>
          <w:bCs/>
          <w:sz w:val="21"/>
          <w:szCs w:val="21"/>
          <w:u w:val="single"/>
        </w:rPr>
        <w:t>001</w:t>
      </w:r>
      <w:r w:rsidR="00524055">
        <w:rPr>
          <w:rFonts w:ascii="Georgia" w:hAnsi="Georgia"/>
          <w:b/>
          <w:bCs/>
          <w:sz w:val="21"/>
          <w:szCs w:val="21"/>
          <w:u w:val="single"/>
        </w:rPr>
        <w:t>7</w:t>
      </w:r>
      <w:r w:rsidRPr="003034F1">
        <w:rPr>
          <w:rFonts w:ascii="Georgia" w:hAnsi="Georgia"/>
          <w:b/>
          <w:bCs/>
          <w:sz w:val="21"/>
          <w:szCs w:val="21"/>
          <w:u w:val="single"/>
        </w:rPr>
        <w:t xml:space="preserve"> </w:t>
      </w:r>
    </w:p>
    <w:tbl>
      <w:tblPr>
        <w:tblStyle w:val="Grilledutableau"/>
        <w:tblW w:w="11057" w:type="dxa"/>
        <w:tblInd w:w="-1139" w:type="dxa"/>
        <w:tblLook w:val="04A0" w:firstRow="1" w:lastRow="0" w:firstColumn="1" w:lastColumn="0" w:noHBand="0" w:noVBand="1"/>
      </w:tblPr>
      <w:tblGrid>
        <w:gridCol w:w="5958"/>
        <w:gridCol w:w="5099"/>
      </w:tblGrid>
      <w:tr w:rsidR="0046465C" w:rsidRPr="00572217" w14:paraId="537C71ED" w14:textId="77777777" w:rsidTr="00053A5D">
        <w:tc>
          <w:tcPr>
            <w:tcW w:w="5958" w:type="dxa"/>
          </w:tcPr>
          <w:p w14:paraId="65FFA318" w14:textId="77777777" w:rsidR="009B263B" w:rsidRPr="00572217" w:rsidRDefault="009B263B" w:rsidP="002D5578">
            <w:pPr>
              <w:tabs>
                <w:tab w:val="left" w:pos="1301"/>
              </w:tabs>
              <w:jc w:val="center"/>
              <w:rPr>
                <w:rFonts w:ascii="Georgia" w:hAnsi="Georgia"/>
                <w:b/>
                <w:bCs/>
                <w:sz w:val="21"/>
                <w:szCs w:val="21"/>
              </w:rPr>
            </w:pPr>
            <w:r w:rsidRPr="00572217">
              <w:rPr>
                <w:rFonts w:ascii="Georgia" w:hAnsi="Georgia"/>
                <w:b/>
                <w:bCs/>
                <w:sz w:val="21"/>
                <w:szCs w:val="21"/>
              </w:rPr>
              <w:t>QUESTION</w:t>
            </w:r>
          </w:p>
        </w:tc>
        <w:tc>
          <w:tcPr>
            <w:tcW w:w="5099" w:type="dxa"/>
          </w:tcPr>
          <w:p w14:paraId="1B20C6EF" w14:textId="77777777" w:rsidR="009B263B" w:rsidRPr="00572217" w:rsidRDefault="009B263B" w:rsidP="002D5578">
            <w:pPr>
              <w:tabs>
                <w:tab w:val="left" w:pos="1301"/>
              </w:tabs>
              <w:jc w:val="center"/>
              <w:rPr>
                <w:rFonts w:ascii="Georgia" w:hAnsi="Georgia"/>
                <w:b/>
                <w:bCs/>
                <w:sz w:val="21"/>
                <w:szCs w:val="21"/>
              </w:rPr>
            </w:pPr>
            <w:r w:rsidRPr="00572217">
              <w:rPr>
                <w:rFonts w:ascii="Georgia" w:hAnsi="Georgia"/>
                <w:b/>
                <w:bCs/>
                <w:sz w:val="21"/>
                <w:szCs w:val="21"/>
              </w:rPr>
              <w:t>REPONSE</w:t>
            </w:r>
          </w:p>
        </w:tc>
      </w:tr>
      <w:tr w:rsidR="0046465C" w:rsidRPr="00572217" w14:paraId="5ED903E8" w14:textId="77777777" w:rsidTr="00053A5D">
        <w:tc>
          <w:tcPr>
            <w:tcW w:w="5958" w:type="dxa"/>
          </w:tcPr>
          <w:p w14:paraId="67E36080" w14:textId="76510B5D" w:rsidR="00E4289B" w:rsidRPr="00E4289B" w:rsidRDefault="00E4289B" w:rsidP="00E4289B">
            <w:pPr>
              <w:tabs>
                <w:tab w:val="left" w:pos="1301"/>
              </w:tabs>
              <w:jc w:val="both"/>
              <w:rPr>
                <w:rFonts w:ascii="Georgia" w:hAnsi="Georgia"/>
                <w:sz w:val="21"/>
                <w:szCs w:val="21"/>
              </w:rPr>
            </w:pPr>
            <w:r w:rsidRPr="00E4289B">
              <w:rPr>
                <w:rFonts w:ascii="Georgia" w:hAnsi="Georgia"/>
                <w:sz w:val="21"/>
                <w:szCs w:val="21"/>
              </w:rPr>
              <w:t>Nous nous référons à vote cahier spécial des Charges BDI23006-10017 pour la fourniture et mise en service des équipements des laboratoires de sciences pour la promotion des sciences dans les 15 Lycées du post fondamental ciblés par le projet «</w:t>
            </w:r>
            <w:r w:rsidRPr="00E4289B">
              <w:rPr>
                <w:rFonts w:ascii="Times New Roman" w:hAnsi="Times New Roman" w:cs="Times New Roman"/>
                <w:sz w:val="21"/>
                <w:szCs w:val="21"/>
              </w:rPr>
              <w:t> </w:t>
            </w:r>
            <w:r w:rsidRPr="00E4289B">
              <w:rPr>
                <w:rFonts w:ascii="Georgia" w:hAnsi="Georgia"/>
                <w:sz w:val="21"/>
                <w:szCs w:val="21"/>
              </w:rPr>
              <w:t>INDERO-KAZOZA</w:t>
            </w:r>
            <w:r w:rsidRPr="00E4289B">
              <w:rPr>
                <w:rFonts w:ascii="Times New Roman" w:hAnsi="Times New Roman" w:cs="Times New Roman"/>
                <w:sz w:val="21"/>
                <w:szCs w:val="21"/>
              </w:rPr>
              <w:t> </w:t>
            </w:r>
            <w:r w:rsidRPr="00E4289B">
              <w:rPr>
                <w:rFonts w:ascii="Georgia" w:hAnsi="Georgia" w:cs="Georgia"/>
                <w:sz w:val="21"/>
                <w:szCs w:val="21"/>
              </w:rPr>
              <w:t>»</w:t>
            </w:r>
            <w:r w:rsidRPr="00E4289B">
              <w:rPr>
                <w:rFonts w:ascii="Georgia" w:hAnsi="Georgia"/>
                <w:sz w:val="21"/>
                <w:szCs w:val="21"/>
              </w:rPr>
              <w:t xml:space="preserve"> de l</w:t>
            </w:r>
            <w:r w:rsidRPr="00E4289B">
              <w:rPr>
                <w:rFonts w:ascii="Georgia" w:hAnsi="Georgia" w:cs="Georgia"/>
                <w:sz w:val="21"/>
                <w:szCs w:val="21"/>
              </w:rPr>
              <w:t>’é</w:t>
            </w:r>
            <w:r w:rsidRPr="00E4289B">
              <w:rPr>
                <w:rFonts w:ascii="Georgia" w:hAnsi="Georgia"/>
                <w:sz w:val="21"/>
                <w:szCs w:val="21"/>
              </w:rPr>
              <w:t xml:space="preserve">ducation post </w:t>
            </w:r>
            <w:r w:rsidRPr="00E4289B">
              <w:rPr>
                <w:rFonts w:ascii="Georgia" w:hAnsi="Georgia"/>
                <w:sz w:val="21"/>
                <w:szCs w:val="21"/>
              </w:rPr>
              <w:t>fondamentale et</w:t>
            </w:r>
            <w:r w:rsidRPr="00E4289B">
              <w:rPr>
                <w:rFonts w:ascii="Georgia" w:hAnsi="Georgia"/>
                <w:sz w:val="21"/>
                <w:szCs w:val="21"/>
              </w:rPr>
              <w:t xml:space="preserve"> souhaiterions avoir des pr</w:t>
            </w:r>
            <w:r w:rsidRPr="00E4289B">
              <w:rPr>
                <w:rFonts w:ascii="Georgia" w:hAnsi="Georgia" w:cs="Georgia"/>
                <w:sz w:val="21"/>
                <w:szCs w:val="21"/>
              </w:rPr>
              <w:t>é</w:t>
            </w:r>
            <w:r w:rsidRPr="00E4289B">
              <w:rPr>
                <w:rFonts w:ascii="Georgia" w:hAnsi="Georgia"/>
                <w:sz w:val="21"/>
                <w:szCs w:val="21"/>
              </w:rPr>
              <w:t xml:space="preserve">cisions. </w:t>
            </w:r>
          </w:p>
          <w:p w14:paraId="18F9FE4C" w14:textId="77777777" w:rsidR="00E4289B" w:rsidRPr="00E4289B" w:rsidRDefault="00E4289B" w:rsidP="00E4289B">
            <w:pPr>
              <w:tabs>
                <w:tab w:val="left" w:pos="1301"/>
              </w:tabs>
              <w:jc w:val="both"/>
              <w:rPr>
                <w:rFonts w:ascii="Georgia" w:hAnsi="Georgia"/>
                <w:sz w:val="21"/>
                <w:szCs w:val="21"/>
              </w:rPr>
            </w:pPr>
          </w:p>
          <w:p w14:paraId="499D5D62" w14:textId="471AA38E" w:rsidR="00E4289B" w:rsidRPr="00E4289B" w:rsidRDefault="00E4289B" w:rsidP="00E4289B">
            <w:pPr>
              <w:tabs>
                <w:tab w:val="left" w:pos="1301"/>
              </w:tabs>
              <w:jc w:val="both"/>
              <w:rPr>
                <w:rFonts w:ascii="Georgia" w:hAnsi="Georgia"/>
                <w:sz w:val="21"/>
                <w:szCs w:val="21"/>
              </w:rPr>
            </w:pPr>
            <w:r w:rsidRPr="00E4289B">
              <w:rPr>
                <w:rFonts w:ascii="Georgia" w:hAnsi="Georgia"/>
                <w:sz w:val="21"/>
                <w:szCs w:val="21"/>
              </w:rPr>
              <w:t xml:space="preserve">A l'article </w:t>
            </w:r>
            <w:r w:rsidRPr="00E4289B">
              <w:rPr>
                <w:rFonts w:ascii="Georgia" w:hAnsi="Georgia"/>
                <w:sz w:val="21"/>
                <w:szCs w:val="21"/>
              </w:rPr>
              <w:t xml:space="preserve">3.4.4 </w:t>
            </w:r>
            <w:r w:rsidR="00FF495F" w:rsidRPr="00E4289B">
              <w:rPr>
                <w:rFonts w:ascii="Georgia" w:hAnsi="Georgia"/>
                <w:sz w:val="21"/>
                <w:szCs w:val="21"/>
              </w:rPr>
              <w:t>Éléments</w:t>
            </w:r>
            <w:r w:rsidRPr="00E4289B">
              <w:rPr>
                <w:rFonts w:ascii="Georgia" w:hAnsi="Georgia"/>
                <w:sz w:val="21"/>
                <w:szCs w:val="21"/>
              </w:rPr>
              <w:t xml:space="preserve"> inclus dans le prix, il est stipulé que les prix doivent inclure les droits de douane et d'accise et qu'il appartient au soumissionnaire de se renseigner auprès de l’Administration Fiscale pour savoir les impôts et taxes à applicables pour ce marché. </w:t>
            </w:r>
          </w:p>
          <w:p w14:paraId="35146626" w14:textId="77777777" w:rsidR="00E4289B" w:rsidRPr="00E4289B" w:rsidRDefault="00E4289B" w:rsidP="00E4289B">
            <w:pPr>
              <w:tabs>
                <w:tab w:val="left" w:pos="1301"/>
              </w:tabs>
              <w:jc w:val="both"/>
              <w:rPr>
                <w:rFonts w:ascii="Georgia" w:hAnsi="Georgia"/>
                <w:sz w:val="21"/>
                <w:szCs w:val="21"/>
              </w:rPr>
            </w:pPr>
          </w:p>
          <w:p w14:paraId="6A9F88B5" w14:textId="77777777" w:rsidR="00E4289B" w:rsidRPr="00E4289B" w:rsidRDefault="00E4289B" w:rsidP="00E4289B">
            <w:pPr>
              <w:tabs>
                <w:tab w:val="left" w:pos="1301"/>
              </w:tabs>
              <w:jc w:val="both"/>
              <w:rPr>
                <w:rFonts w:ascii="Georgia" w:hAnsi="Georgia"/>
                <w:sz w:val="21"/>
                <w:szCs w:val="21"/>
              </w:rPr>
            </w:pPr>
            <w:r w:rsidRPr="00E4289B">
              <w:rPr>
                <w:rFonts w:ascii="Georgia" w:hAnsi="Georgia"/>
                <w:sz w:val="21"/>
                <w:szCs w:val="21"/>
              </w:rPr>
              <w:t xml:space="preserve">Plus tard dans le cahier des charges, à l'article 4.14 Facturation et paiement des services, il est stipulé qu'afin que Enabel puisse obtenir les documents d’exonération de la TVA à et de dédouanement dans les plus brefs délais, la facture originale et tous les documents ad hoc seront transmis dès que possible avant la réception du marché. </w:t>
            </w:r>
          </w:p>
          <w:p w14:paraId="054C7DD8" w14:textId="77777777" w:rsidR="00E4289B" w:rsidRPr="00E4289B" w:rsidRDefault="00E4289B" w:rsidP="00E4289B">
            <w:pPr>
              <w:tabs>
                <w:tab w:val="left" w:pos="1301"/>
              </w:tabs>
              <w:jc w:val="both"/>
              <w:rPr>
                <w:rFonts w:ascii="Georgia" w:hAnsi="Georgia"/>
                <w:sz w:val="21"/>
                <w:szCs w:val="21"/>
              </w:rPr>
            </w:pPr>
          </w:p>
          <w:p w14:paraId="640012E0" w14:textId="31DD0C8A" w:rsidR="009B263B" w:rsidRPr="00F06540" w:rsidRDefault="00E4289B" w:rsidP="00E4289B">
            <w:pPr>
              <w:tabs>
                <w:tab w:val="left" w:pos="1301"/>
              </w:tabs>
              <w:jc w:val="both"/>
              <w:rPr>
                <w:rFonts w:ascii="Georgia" w:hAnsi="Georgia"/>
                <w:sz w:val="21"/>
                <w:szCs w:val="21"/>
              </w:rPr>
            </w:pPr>
            <w:r w:rsidRPr="00E4289B">
              <w:rPr>
                <w:rFonts w:ascii="Georgia" w:hAnsi="Georgia"/>
                <w:sz w:val="21"/>
                <w:szCs w:val="21"/>
              </w:rPr>
              <w:t xml:space="preserve">Notre question est: pourriez vous nous confirmer si les prix HTVA doivent inclure ou non les frais de </w:t>
            </w:r>
            <w:r w:rsidR="00A34AAC" w:rsidRPr="00E4289B">
              <w:rPr>
                <w:rFonts w:ascii="Georgia" w:hAnsi="Georgia"/>
                <w:sz w:val="21"/>
                <w:szCs w:val="21"/>
              </w:rPr>
              <w:t>douane ?</w:t>
            </w:r>
          </w:p>
        </w:tc>
        <w:tc>
          <w:tcPr>
            <w:tcW w:w="5099" w:type="dxa"/>
          </w:tcPr>
          <w:p w14:paraId="23C5F3A5" w14:textId="77777777" w:rsidR="009B263B" w:rsidRDefault="00D87D9D" w:rsidP="00926F1D">
            <w:pPr>
              <w:shd w:val="clear" w:color="auto" w:fill="FFFFFF"/>
              <w:jc w:val="both"/>
              <w:textAlignment w:val="baseline"/>
              <w:rPr>
                <w:rFonts w:ascii="Georgia" w:hAnsi="Georgia"/>
                <w:i/>
                <w:iCs/>
                <w:sz w:val="21"/>
                <w:szCs w:val="21"/>
              </w:rPr>
            </w:pPr>
            <w:r w:rsidRPr="00107575">
              <w:rPr>
                <w:rFonts w:ascii="Georgia" w:hAnsi="Georgia"/>
                <w:i/>
                <w:iCs/>
                <w:sz w:val="21"/>
                <w:szCs w:val="21"/>
              </w:rPr>
              <w:t xml:space="preserve">Il appartient au soumissionnaire de bien s’informer auprès des douanes </w:t>
            </w:r>
            <w:r w:rsidR="00CF2863" w:rsidRPr="00107575">
              <w:rPr>
                <w:rFonts w:ascii="Georgia" w:hAnsi="Georgia"/>
                <w:i/>
                <w:iCs/>
                <w:sz w:val="21"/>
                <w:szCs w:val="21"/>
              </w:rPr>
              <w:t xml:space="preserve">d’export et </w:t>
            </w:r>
            <w:r w:rsidR="00C75ACD" w:rsidRPr="00107575">
              <w:rPr>
                <w:rFonts w:ascii="Georgia" w:hAnsi="Georgia"/>
                <w:i/>
                <w:iCs/>
                <w:sz w:val="21"/>
                <w:szCs w:val="21"/>
              </w:rPr>
              <w:t xml:space="preserve">d’import sur les </w:t>
            </w:r>
            <w:r w:rsidR="00C75ACD" w:rsidRPr="0021735F">
              <w:rPr>
                <w:rFonts w:ascii="Georgia" w:hAnsi="Georgia"/>
                <w:b/>
                <w:bCs/>
                <w:i/>
                <w:iCs/>
                <w:sz w:val="21"/>
                <w:szCs w:val="21"/>
              </w:rPr>
              <w:t>dro</w:t>
            </w:r>
            <w:r w:rsidR="00460000" w:rsidRPr="0021735F">
              <w:rPr>
                <w:rFonts w:ascii="Georgia" w:hAnsi="Georgia"/>
                <w:b/>
                <w:bCs/>
                <w:i/>
                <w:iCs/>
                <w:sz w:val="21"/>
                <w:szCs w:val="21"/>
              </w:rPr>
              <w:t>its de douanes</w:t>
            </w:r>
            <w:r w:rsidR="00831782" w:rsidRPr="00107575">
              <w:rPr>
                <w:rFonts w:ascii="Georgia" w:hAnsi="Georgia"/>
                <w:i/>
                <w:iCs/>
                <w:sz w:val="21"/>
                <w:szCs w:val="21"/>
              </w:rPr>
              <w:t>, impôts, taxes et redevances év</w:t>
            </w:r>
            <w:r w:rsidR="007852DC" w:rsidRPr="00107575">
              <w:rPr>
                <w:rFonts w:ascii="Georgia" w:hAnsi="Georgia"/>
                <w:i/>
                <w:iCs/>
                <w:sz w:val="21"/>
                <w:szCs w:val="21"/>
              </w:rPr>
              <w:t>entuel</w:t>
            </w:r>
            <w:r w:rsidR="00107575" w:rsidRPr="00107575">
              <w:rPr>
                <w:rFonts w:ascii="Georgia" w:hAnsi="Georgia"/>
                <w:i/>
                <w:iCs/>
                <w:sz w:val="21"/>
                <w:szCs w:val="21"/>
              </w:rPr>
              <w:t>lement applicables au marché.</w:t>
            </w:r>
          </w:p>
          <w:p w14:paraId="12E922AB" w14:textId="77777777" w:rsidR="004A0E11" w:rsidRDefault="004A0E11" w:rsidP="00926F1D">
            <w:pPr>
              <w:shd w:val="clear" w:color="auto" w:fill="FFFFFF"/>
              <w:jc w:val="both"/>
              <w:textAlignment w:val="baseline"/>
              <w:rPr>
                <w:rFonts w:ascii="Georgia" w:hAnsi="Georgia"/>
                <w:i/>
                <w:iCs/>
                <w:sz w:val="21"/>
                <w:szCs w:val="21"/>
              </w:rPr>
            </w:pPr>
          </w:p>
          <w:p w14:paraId="61E665B7" w14:textId="74A9E443" w:rsidR="004A0E11" w:rsidRPr="00107575" w:rsidRDefault="004A0E11" w:rsidP="00926F1D">
            <w:pPr>
              <w:shd w:val="clear" w:color="auto" w:fill="FFFFFF"/>
              <w:jc w:val="both"/>
              <w:textAlignment w:val="baseline"/>
              <w:rPr>
                <w:rFonts w:ascii="Georgia" w:hAnsi="Georgia"/>
                <w:i/>
                <w:iCs/>
                <w:sz w:val="21"/>
                <w:szCs w:val="21"/>
              </w:rPr>
            </w:pPr>
            <w:r>
              <w:rPr>
                <w:rFonts w:ascii="Georgia" w:hAnsi="Georgia"/>
                <w:i/>
                <w:iCs/>
                <w:sz w:val="21"/>
                <w:szCs w:val="21"/>
              </w:rPr>
              <w:t xml:space="preserve">Pour la douane d’import </w:t>
            </w:r>
            <w:r w:rsidR="00926F1D">
              <w:rPr>
                <w:rFonts w:ascii="Georgia" w:hAnsi="Georgia"/>
                <w:i/>
                <w:iCs/>
                <w:sz w:val="21"/>
                <w:szCs w:val="21"/>
              </w:rPr>
              <w:t>(Office</w:t>
            </w:r>
            <w:r>
              <w:rPr>
                <w:rFonts w:ascii="Georgia" w:hAnsi="Georgia"/>
                <w:i/>
                <w:iCs/>
                <w:sz w:val="21"/>
                <w:szCs w:val="21"/>
              </w:rPr>
              <w:t xml:space="preserve"> Burundais des Recettes</w:t>
            </w:r>
            <w:r w:rsidR="0021735F">
              <w:rPr>
                <w:rFonts w:ascii="Georgia" w:hAnsi="Georgia"/>
                <w:i/>
                <w:iCs/>
                <w:sz w:val="21"/>
                <w:szCs w:val="21"/>
              </w:rPr>
              <w:t>). Vous</w:t>
            </w:r>
            <w:r w:rsidR="000A34CE">
              <w:rPr>
                <w:rFonts w:ascii="Georgia" w:hAnsi="Georgia"/>
                <w:i/>
                <w:iCs/>
                <w:sz w:val="21"/>
                <w:szCs w:val="21"/>
              </w:rPr>
              <w:t xml:space="preserve"> pouvez téléphoner au n</w:t>
            </w:r>
            <w:r w:rsidR="004551A4">
              <w:rPr>
                <w:rFonts w:ascii="Georgia" w:hAnsi="Georgia"/>
                <w:i/>
                <w:iCs/>
                <w:sz w:val="21"/>
                <w:szCs w:val="21"/>
              </w:rPr>
              <w:t>uméro 500 (numéro vert)</w:t>
            </w:r>
            <w:r w:rsidR="00926F1D">
              <w:rPr>
                <w:rFonts w:ascii="Georgia" w:hAnsi="Georgia"/>
                <w:i/>
                <w:iCs/>
                <w:sz w:val="21"/>
                <w:szCs w:val="21"/>
              </w:rPr>
              <w:t xml:space="preserve"> ou naviguer sur </w:t>
            </w:r>
            <w:hyperlink r:id="rId5" w:history="1">
              <w:r w:rsidR="00306278" w:rsidRPr="00833A1B">
                <w:rPr>
                  <w:rStyle w:val="Lienhypertexte"/>
                  <w:rFonts w:ascii="Georgia" w:hAnsi="Georgia"/>
                  <w:i/>
                  <w:iCs/>
                  <w:sz w:val="21"/>
                  <w:szCs w:val="21"/>
                </w:rPr>
                <w:t>www.obr.bi</w:t>
              </w:r>
            </w:hyperlink>
            <w:r w:rsidR="00B26931">
              <w:rPr>
                <w:rFonts w:ascii="Georgia" w:hAnsi="Georgia"/>
                <w:i/>
                <w:iCs/>
                <w:sz w:val="21"/>
                <w:szCs w:val="21"/>
              </w:rPr>
              <w:t>,</w:t>
            </w:r>
            <w:r w:rsidR="00306278">
              <w:rPr>
                <w:rFonts w:ascii="Georgia" w:hAnsi="Georgia"/>
                <w:i/>
                <w:iCs/>
                <w:sz w:val="21"/>
                <w:szCs w:val="21"/>
              </w:rPr>
              <w:t xml:space="preserve"> pour retrouver d’autres </w:t>
            </w:r>
            <w:r w:rsidR="001A0694">
              <w:rPr>
                <w:rFonts w:ascii="Georgia" w:hAnsi="Georgia"/>
                <w:i/>
                <w:iCs/>
                <w:sz w:val="21"/>
                <w:szCs w:val="21"/>
              </w:rPr>
              <w:t>adresses de contacts</w:t>
            </w:r>
            <w:r w:rsidR="00C51034">
              <w:rPr>
                <w:rFonts w:ascii="Georgia" w:hAnsi="Georgia"/>
                <w:i/>
                <w:iCs/>
                <w:sz w:val="21"/>
                <w:szCs w:val="21"/>
              </w:rPr>
              <w:t>.</w:t>
            </w:r>
            <w:r w:rsidR="004551A4">
              <w:rPr>
                <w:rFonts w:ascii="Georgia" w:hAnsi="Georgia"/>
                <w:i/>
                <w:iCs/>
                <w:sz w:val="21"/>
                <w:szCs w:val="21"/>
              </w:rPr>
              <w:t xml:space="preserve"> </w:t>
            </w:r>
          </w:p>
        </w:tc>
      </w:tr>
    </w:tbl>
    <w:p w14:paraId="7753F970" w14:textId="77777777" w:rsidR="009B263B" w:rsidRPr="00572217" w:rsidRDefault="009B263B" w:rsidP="00E434FA">
      <w:pPr>
        <w:tabs>
          <w:tab w:val="left" w:pos="1301"/>
        </w:tabs>
        <w:jc w:val="both"/>
        <w:rPr>
          <w:rFonts w:ascii="Georgia" w:hAnsi="Georgia"/>
          <w:sz w:val="21"/>
          <w:szCs w:val="21"/>
        </w:rPr>
      </w:pPr>
    </w:p>
    <w:p w14:paraId="4FA11ECF" w14:textId="77777777" w:rsidR="006C4AA8" w:rsidRPr="00572217" w:rsidRDefault="006C4AA8" w:rsidP="00E434FA">
      <w:pPr>
        <w:jc w:val="both"/>
        <w:rPr>
          <w:rFonts w:ascii="Georgia" w:hAnsi="Georgia"/>
          <w:sz w:val="21"/>
          <w:szCs w:val="21"/>
        </w:rPr>
      </w:pPr>
    </w:p>
    <w:sectPr w:rsidR="006C4AA8" w:rsidRPr="00572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913"/>
    <w:multiLevelType w:val="hybridMultilevel"/>
    <w:tmpl w:val="9F282BD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52553C4"/>
    <w:multiLevelType w:val="multilevel"/>
    <w:tmpl w:val="BE94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616AA"/>
    <w:multiLevelType w:val="multilevel"/>
    <w:tmpl w:val="787C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9451EA"/>
    <w:multiLevelType w:val="hybridMultilevel"/>
    <w:tmpl w:val="EF567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E67E20"/>
    <w:multiLevelType w:val="hybridMultilevel"/>
    <w:tmpl w:val="5D9203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8E07CC"/>
    <w:multiLevelType w:val="hybridMultilevel"/>
    <w:tmpl w:val="EF56706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B7D2486"/>
    <w:multiLevelType w:val="hybridMultilevel"/>
    <w:tmpl w:val="DE38C95E"/>
    <w:lvl w:ilvl="0" w:tplc="AA7838D0">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516234152">
    <w:abstractNumId w:val="1"/>
  </w:num>
  <w:num w:numId="2" w16cid:durableId="315106599">
    <w:abstractNumId w:val="2"/>
  </w:num>
  <w:num w:numId="3" w16cid:durableId="1641837560">
    <w:abstractNumId w:val="5"/>
  </w:num>
  <w:num w:numId="4" w16cid:durableId="1201936900">
    <w:abstractNumId w:val="3"/>
  </w:num>
  <w:num w:numId="5" w16cid:durableId="2106610234">
    <w:abstractNumId w:val="4"/>
  </w:num>
  <w:num w:numId="6" w16cid:durableId="564798241">
    <w:abstractNumId w:val="6"/>
  </w:num>
  <w:num w:numId="7" w16cid:durableId="57829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3B"/>
    <w:rsid w:val="00020EC4"/>
    <w:rsid w:val="0003315F"/>
    <w:rsid w:val="00033D5B"/>
    <w:rsid w:val="00053987"/>
    <w:rsid w:val="00053A5D"/>
    <w:rsid w:val="0007494D"/>
    <w:rsid w:val="000A34CE"/>
    <w:rsid w:val="00107575"/>
    <w:rsid w:val="00132807"/>
    <w:rsid w:val="001402D3"/>
    <w:rsid w:val="00194ECC"/>
    <w:rsid w:val="001A0694"/>
    <w:rsid w:val="00216CE7"/>
    <w:rsid w:val="0021735F"/>
    <w:rsid w:val="00270B02"/>
    <w:rsid w:val="0028745C"/>
    <w:rsid w:val="002A688F"/>
    <w:rsid w:val="002D5578"/>
    <w:rsid w:val="003034F1"/>
    <w:rsid w:val="00304F00"/>
    <w:rsid w:val="00306278"/>
    <w:rsid w:val="00312E3C"/>
    <w:rsid w:val="0036003F"/>
    <w:rsid w:val="003711D8"/>
    <w:rsid w:val="003E563E"/>
    <w:rsid w:val="00403F64"/>
    <w:rsid w:val="004345A0"/>
    <w:rsid w:val="00435872"/>
    <w:rsid w:val="00452640"/>
    <w:rsid w:val="004551A4"/>
    <w:rsid w:val="00460000"/>
    <w:rsid w:val="0046465C"/>
    <w:rsid w:val="004713AA"/>
    <w:rsid w:val="00475013"/>
    <w:rsid w:val="0048350C"/>
    <w:rsid w:val="00492F48"/>
    <w:rsid w:val="004A0E11"/>
    <w:rsid w:val="004C781F"/>
    <w:rsid w:val="004E3FC0"/>
    <w:rsid w:val="004E4537"/>
    <w:rsid w:val="004F34A7"/>
    <w:rsid w:val="00502282"/>
    <w:rsid w:val="00521C2F"/>
    <w:rsid w:val="00524055"/>
    <w:rsid w:val="0053467D"/>
    <w:rsid w:val="00545D34"/>
    <w:rsid w:val="00554D02"/>
    <w:rsid w:val="00563A6E"/>
    <w:rsid w:val="005702D4"/>
    <w:rsid w:val="00572217"/>
    <w:rsid w:val="005D1E76"/>
    <w:rsid w:val="005F0D02"/>
    <w:rsid w:val="005F2F49"/>
    <w:rsid w:val="00600FB7"/>
    <w:rsid w:val="0060279F"/>
    <w:rsid w:val="00640441"/>
    <w:rsid w:val="00646448"/>
    <w:rsid w:val="00660455"/>
    <w:rsid w:val="00685C0C"/>
    <w:rsid w:val="006B2D8C"/>
    <w:rsid w:val="006C4AA8"/>
    <w:rsid w:val="006E6FC4"/>
    <w:rsid w:val="00726048"/>
    <w:rsid w:val="00732956"/>
    <w:rsid w:val="007852DC"/>
    <w:rsid w:val="007A78D7"/>
    <w:rsid w:val="00803DE6"/>
    <w:rsid w:val="00805FEC"/>
    <w:rsid w:val="00831782"/>
    <w:rsid w:val="008B32EF"/>
    <w:rsid w:val="008C22B3"/>
    <w:rsid w:val="008D4392"/>
    <w:rsid w:val="009149A5"/>
    <w:rsid w:val="00926F1D"/>
    <w:rsid w:val="00931F51"/>
    <w:rsid w:val="0097792F"/>
    <w:rsid w:val="00984146"/>
    <w:rsid w:val="009B263B"/>
    <w:rsid w:val="009F531D"/>
    <w:rsid w:val="00A17177"/>
    <w:rsid w:val="00A2354E"/>
    <w:rsid w:val="00A3419D"/>
    <w:rsid w:val="00A34AAC"/>
    <w:rsid w:val="00A61DCC"/>
    <w:rsid w:val="00A66586"/>
    <w:rsid w:val="00AB046B"/>
    <w:rsid w:val="00AB64BE"/>
    <w:rsid w:val="00AE7986"/>
    <w:rsid w:val="00B10B8F"/>
    <w:rsid w:val="00B1158B"/>
    <w:rsid w:val="00B13B6D"/>
    <w:rsid w:val="00B25C8B"/>
    <w:rsid w:val="00B26931"/>
    <w:rsid w:val="00B26F51"/>
    <w:rsid w:val="00B462F0"/>
    <w:rsid w:val="00B56249"/>
    <w:rsid w:val="00B866F5"/>
    <w:rsid w:val="00B9295A"/>
    <w:rsid w:val="00BC10D4"/>
    <w:rsid w:val="00BE64CF"/>
    <w:rsid w:val="00C06EAC"/>
    <w:rsid w:val="00C13060"/>
    <w:rsid w:val="00C502B1"/>
    <w:rsid w:val="00C51034"/>
    <w:rsid w:val="00C75ACD"/>
    <w:rsid w:val="00C8275B"/>
    <w:rsid w:val="00C83A6D"/>
    <w:rsid w:val="00CA20EA"/>
    <w:rsid w:val="00CF2863"/>
    <w:rsid w:val="00D43DB5"/>
    <w:rsid w:val="00D859D5"/>
    <w:rsid w:val="00D87D9D"/>
    <w:rsid w:val="00DA3ACB"/>
    <w:rsid w:val="00DA7687"/>
    <w:rsid w:val="00E02819"/>
    <w:rsid w:val="00E03D2F"/>
    <w:rsid w:val="00E22803"/>
    <w:rsid w:val="00E35196"/>
    <w:rsid w:val="00E4289B"/>
    <w:rsid w:val="00E434FA"/>
    <w:rsid w:val="00E6477F"/>
    <w:rsid w:val="00E77FBD"/>
    <w:rsid w:val="00E86AC2"/>
    <w:rsid w:val="00E9664B"/>
    <w:rsid w:val="00F06540"/>
    <w:rsid w:val="00F13172"/>
    <w:rsid w:val="00F22E2D"/>
    <w:rsid w:val="00F26114"/>
    <w:rsid w:val="00F33870"/>
    <w:rsid w:val="00F40F38"/>
    <w:rsid w:val="00F72254"/>
    <w:rsid w:val="00F73F20"/>
    <w:rsid w:val="00F90E3B"/>
    <w:rsid w:val="00FB23AF"/>
    <w:rsid w:val="00FE39D8"/>
    <w:rsid w:val="00FF0145"/>
    <w:rsid w:val="00FF0794"/>
    <w:rsid w:val="00FF495F"/>
    <w:rsid w:val="00FF4DD5"/>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63D7"/>
  <w15:chartTrackingRefBased/>
  <w15:docId w15:val="{B85CDE1A-1832-4601-B44F-D68A3F75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03"/>
  </w:style>
  <w:style w:type="paragraph" w:styleId="Titre1">
    <w:name w:val="heading 1"/>
    <w:basedOn w:val="Normal"/>
    <w:next w:val="Normal"/>
    <w:link w:val="Titre1Car"/>
    <w:uiPriority w:val="9"/>
    <w:qFormat/>
    <w:rsid w:val="009B2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2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26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26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26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26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26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26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26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6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26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26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26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26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2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2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2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263B"/>
    <w:rPr>
      <w:rFonts w:eastAsiaTheme="majorEastAsia" w:cstheme="majorBidi"/>
      <w:color w:val="272727" w:themeColor="text1" w:themeTint="D8"/>
    </w:rPr>
  </w:style>
  <w:style w:type="paragraph" w:styleId="Titre">
    <w:name w:val="Title"/>
    <w:basedOn w:val="Normal"/>
    <w:next w:val="Normal"/>
    <w:link w:val="TitreCar"/>
    <w:uiPriority w:val="10"/>
    <w:qFormat/>
    <w:rsid w:val="009B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2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2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2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263B"/>
    <w:pPr>
      <w:spacing w:before="160"/>
      <w:jc w:val="center"/>
    </w:pPr>
    <w:rPr>
      <w:i/>
      <w:iCs/>
      <w:color w:val="404040" w:themeColor="text1" w:themeTint="BF"/>
    </w:rPr>
  </w:style>
  <w:style w:type="character" w:customStyle="1" w:styleId="CitationCar">
    <w:name w:val="Citation Car"/>
    <w:basedOn w:val="Policepardfaut"/>
    <w:link w:val="Citation"/>
    <w:uiPriority w:val="29"/>
    <w:rsid w:val="009B263B"/>
    <w:rPr>
      <w:i/>
      <w:iCs/>
      <w:color w:val="404040" w:themeColor="text1" w:themeTint="BF"/>
    </w:rPr>
  </w:style>
  <w:style w:type="paragraph" w:styleId="Paragraphedeliste">
    <w:name w:val="List Paragraph"/>
    <w:basedOn w:val="Normal"/>
    <w:uiPriority w:val="34"/>
    <w:qFormat/>
    <w:rsid w:val="009B263B"/>
    <w:pPr>
      <w:ind w:left="720"/>
      <w:contextualSpacing/>
    </w:pPr>
  </w:style>
  <w:style w:type="character" w:styleId="Accentuationintense">
    <w:name w:val="Intense Emphasis"/>
    <w:basedOn w:val="Policepardfaut"/>
    <w:uiPriority w:val="21"/>
    <w:qFormat/>
    <w:rsid w:val="009B263B"/>
    <w:rPr>
      <w:i/>
      <w:iCs/>
      <w:color w:val="0F4761" w:themeColor="accent1" w:themeShade="BF"/>
    </w:rPr>
  </w:style>
  <w:style w:type="paragraph" w:styleId="Citationintense">
    <w:name w:val="Intense Quote"/>
    <w:basedOn w:val="Normal"/>
    <w:next w:val="Normal"/>
    <w:link w:val="CitationintenseCar"/>
    <w:uiPriority w:val="30"/>
    <w:qFormat/>
    <w:rsid w:val="009B2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263B"/>
    <w:rPr>
      <w:i/>
      <w:iCs/>
      <w:color w:val="0F4761" w:themeColor="accent1" w:themeShade="BF"/>
    </w:rPr>
  </w:style>
  <w:style w:type="character" w:styleId="Rfrenceintense">
    <w:name w:val="Intense Reference"/>
    <w:basedOn w:val="Policepardfaut"/>
    <w:uiPriority w:val="32"/>
    <w:qFormat/>
    <w:rsid w:val="009B263B"/>
    <w:rPr>
      <w:b/>
      <w:bCs/>
      <w:smallCaps/>
      <w:color w:val="0F4761" w:themeColor="accent1" w:themeShade="BF"/>
      <w:spacing w:val="5"/>
    </w:rPr>
  </w:style>
  <w:style w:type="table" w:styleId="Grilledutableau">
    <w:name w:val="Table Grid"/>
    <w:basedOn w:val="TableauNormal"/>
    <w:uiPriority w:val="39"/>
    <w:rsid w:val="009B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3060"/>
    <w:pPr>
      <w:spacing w:before="100" w:beforeAutospacing="1" w:after="100" w:afterAutospacing="1" w:line="240" w:lineRule="auto"/>
    </w:pPr>
    <w:rPr>
      <w:rFonts w:ascii="Times New Roman" w:eastAsia="Times New Roman" w:hAnsi="Times New Roman" w:cs="Times New Roman"/>
      <w:kern w:val="0"/>
      <w:sz w:val="24"/>
      <w:szCs w:val="24"/>
      <w:lang w:eastAsia="fr-BI"/>
      <w14:ligatures w14:val="none"/>
    </w:rPr>
  </w:style>
  <w:style w:type="character" w:customStyle="1" w:styleId="marknyzvi95su">
    <w:name w:val="marknyzvi95su"/>
    <w:basedOn w:val="Policepardfaut"/>
    <w:rsid w:val="00C13060"/>
  </w:style>
  <w:style w:type="character" w:customStyle="1" w:styleId="marksruy4p3og">
    <w:name w:val="marksruy4p3og"/>
    <w:basedOn w:val="Policepardfaut"/>
    <w:rsid w:val="00545D34"/>
  </w:style>
  <w:style w:type="character" w:styleId="Lienhypertexte">
    <w:name w:val="Hyperlink"/>
    <w:basedOn w:val="Policepardfaut"/>
    <w:uiPriority w:val="99"/>
    <w:unhideWhenUsed/>
    <w:rsid w:val="00545D34"/>
    <w:rPr>
      <w:color w:val="0000FF"/>
      <w:u w:val="single"/>
    </w:rPr>
  </w:style>
  <w:style w:type="paragraph" w:customStyle="1" w:styleId="xmsonormal">
    <w:name w:val="x_msonormal"/>
    <w:basedOn w:val="Normal"/>
    <w:rsid w:val="00F06540"/>
    <w:pPr>
      <w:spacing w:before="100" w:beforeAutospacing="1" w:after="100" w:afterAutospacing="1" w:line="240" w:lineRule="auto"/>
    </w:pPr>
    <w:rPr>
      <w:rFonts w:ascii="Times New Roman" w:eastAsia="Times New Roman" w:hAnsi="Times New Roman" w:cs="Times New Roman"/>
      <w:kern w:val="0"/>
      <w:sz w:val="24"/>
      <w:szCs w:val="24"/>
      <w:lang w:eastAsia="fr-BI"/>
      <w14:ligatures w14:val="none"/>
    </w:rPr>
  </w:style>
  <w:style w:type="character" w:customStyle="1" w:styleId="marksg3mxbw58">
    <w:name w:val="marksg3mxbw58"/>
    <w:basedOn w:val="Policepardfaut"/>
    <w:rsid w:val="00F06540"/>
  </w:style>
  <w:style w:type="paragraph" w:customStyle="1" w:styleId="xmsolistparagraph">
    <w:name w:val="x_msolistparagraph"/>
    <w:basedOn w:val="Normal"/>
    <w:rsid w:val="00F06540"/>
    <w:pPr>
      <w:spacing w:before="100" w:beforeAutospacing="1" w:after="100" w:afterAutospacing="1" w:line="240" w:lineRule="auto"/>
    </w:pPr>
    <w:rPr>
      <w:rFonts w:ascii="Times New Roman" w:eastAsia="Times New Roman" w:hAnsi="Times New Roman" w:cs="Times New Roman"/>
      <w:kern w:val="0"/>
      <w:sz w:val="24"/>
      <w:szCs w:val="24"/>
      <w:lang w:eastAsia="fr-BI"/>
      <w14:ligatures w14:val="none"/>
    </w:rPr>
  </w:style>
  <w:style w:type="character" w:styleId="Mentionnonrsolue">
    <w:name w:val="Unresolved Mention"/>
    <w:basedOn w:val="Policepardfaut"/>
    <w:uiPriority w:val="99"/>
    <w:semiHidden/>
    <w:unhideWhenUsed/>
    <w:rsid w:val="0030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743">
      <w:bodyDiv w:val="1"/>
      <w:marLeft w:val="0"/>
      <w:marRight w:val="0"/>
      <w:marTop w:val="0"/>
      <w:marBottom w:val="0"/>
      <w:divBdr>
        <w:top w:val="none" w:sz="0" w:space="0" w:color="auto"/>
        <w:left w:val="none" w:sz="0" w:space="0" w:color="auto"/>
        <w:bottom w:val="none" w:sz="0" w:space="0" w:color="auto"/>
        <w:right w:val="none" w:sz="0" w:space="0" w:color="auto"/>
      </w:divBdr>
    </w:div>
    <w:div w:id="240911524">
      <w:bodyDiv w:val="1"/>
      <w:marLeft w:val="0"/>
      <w:marRight w:val="0"/>
      <w:marTop w:val="0"/>
      <w:marBottom w:val="0"/>
      <w:divBdr>
        <w:top w:val="none" w:sz="0" w:space="0" w:color="auto"/>
        <w:left w:val="none" w:sz="0" w:space="0" w:color="auto"/>
        <w:bottom w:val="none" w:sz="0" w:space="0" w:color="auto"/>
        <w:right w:val="none" w:sz="0" w:space="0" w:color="auto"/>
      </w:divBdr>
      <w:divsChild>
        <w:div w:id="1732651108">
          <w:marLeft w:val="0"/>
          <w:marRight w:val="0"/>
          <w:marTop w:val="0"/>
          <w:marBottom w:val="0"/>
          <w:divBdr>
            <w:top w:val="none" w:sz="0" w:space="0" w:color="auto"/>
            <w:left w:val="none" w:sz="0" w:space="0" w:color="auto"/>
            <w:bottom w:val="none" w:sz="0" w:space="0" w:color="auto"/>
            <w:right w:val="none" w:sz="0" w:space="0" w:color="auto"/>
          </w:divBdr>
        </w:div>
        <w:div w:id="467631848">
          <w:marLeft w:val="0"/>
          <w:marRight w:val="0"/>
          <w:marTop w:val="0"/>
          <w:marBottom w:val="0"/>
          <w:divBdr>
            <w:top w:val="none" w:sz="0" w:space="0" w:color="auto"/>
            <w:left w:val="none" w:sz="0" w:space="0" w:color="auto"/>
            <w:bottom w:val="none" w:sz="0" w:space="0" w:color="auto"/>
            <w:right w:val="none" w:sz="0" w:space="0" w:color="auto"/>
          </w:divBdr>
        </w:div>
        <w:div w:id="979650612">
          <w:marLeft w:val="0"/>
          <w:marRight w:val="0"/>
          <w:marTop w:val="0"/>
          <w:marBottom w:val="0"/>
          <w:divBdr>
            <w:top w:val="none" w:sz="0" w:space="0" w:color="auto"/>
            <w:left w:val="none" w:sz="0" w:space="0" w:color="auto"/>
            <w:bottom w:val="none" w:sz="0" w:space="0" w:color="auto"/>
            <w:right w:val="none" w:sz="0" w:space="0" w:color="auto"/>
          </w:divBdr>
        </w:div>
      </w:divsChild>
    </w:div>
    <w:div w:id="319888583">
      <w:bodyDiv w:val="1"/>
      <w:marLeft w:val="0"/>
      <w:marRight w:val="0"/>
      <w:marTop w:val="0"/>
      <w:marBottom w:val="0"/>
      <w:divBdr>
        <w:top w:val="none" w:sz="0" w:space="0" w:color="auto"/>
        <w:left w:val="none" w:sz="0" w:space="0" w:color="auto"/>
        <w:bottom w:val="none" w:sz="0" w:space="0" w:color="auto"/>
        <w:right w:val="none" w:sz="0" w:space="0" w:color="auto"/>
      </w:divBdr>
      <w:divsChild>
        <w:div w:id="209177">
          <w:marLeft w:val="0"/>
          <w:marRight w:val="0"/>
          <w:marTop w:val="0"/>
          <w:marBottom w:val="0"/>
          <w:divBdr>
            <w:top w:val="none" w:sz="0" w:space="0" w:color="auto"/>
            <w:left w:val="none" w:sz="0" w:space="0" w:color="auto"/>
            <w:bottom w:val="none" w:sz="0" w:space="0" w:color="auto"/>
            <w:right w:val="none" w:sz="0" w:space="0" w:color="auto"/>
          </w:divBdr>
        </w:div>
        <w:div w:id="728848524">
          <w:marLeft w:val="0"/>
          <w:marRight w:val="0"/>
          <w:marTop w:val="0"/>
          <w:marBottom w:val="0"/>
          <w:divBdr>
            <w:top w:val="none" w:sz="0" w:space="0" w:color="auto"/>
            <w:left w:val="none" w:sz="0" w:space="0" w:color="auto"/>
            <w:bottom w:val="none" w:sz="0" w:space="0" w:color="auto"/>
            <w:right w:val="none" w:sz="0" w:space="0" w:color="auto"/>
          </w:divBdr>
        </w:div>
      </w:divsChild>
    </w:div>
    <w:div w:id="616332892">
      <w:bodyDiv w:val="1"/>
      <w:marLeft w:val="0"/>
      <w:marRight w:val="0"/>
      <w:marTop w:val="0"/>
      <w:marBottom w:val="0"/>
      <w:divBdr>
        <w:top w:val="none" w:sz="0" w:space="0" w:color="auto"/>
        <w:left w:val="none" w:sz="0" w:space="0" w:color="auto"/>
        <w:bottom w:val="none" w:sz="0" w:space="0" w:color="auto"/>
        <w:right w:val="none" w:sz="0" w:space="0" w:color="auto"/>
      </w:divBdr>
    </w:div>
    <w:div w:id="623000874">
      <w:bodyDiv w:val="1"/>
      <w:marLeft w:val="0"/>
      <w:marRight w:val="0"/>
      <w:marTop w:val="0"/>
      <w:marBottom w:val="0"/>
      <w:divBdr>
        <w:top w:val="none" w:sz="0" w:space="0" w:color="auto"/>
        <w:left w:val="none" w:sz="0" w:space="0" w:color="auto"/>
        <w:bottom w:val="none" w:sz="0" w:space="0" w:color="auto"/>
        <w:right w:val="none" w:sz="0" w:space="0" w:color="auto"/>
      </w:divBdr>
    </w:div>
    <w:div w:id="697509819">
      <w:bodyDiv w:val="1"/>
      <w:marLeft w:val="0"/>
      <w:marRight w:val="0"/>
      <w:marTop w:val="0"/>
      <w:marBottom w:val="0"/>
      <w:divBdr>
        <w:top w:val="none" w:sz="0" w:space="0" w:color="auto"/>
        <w:left w:val="none" w:sz="0" w:space="0" w:color="auto"/>
        <w:bottom w:val="none" w:sz="0" w:space="0" w:color="auto"/>
        <w:right w:val="none" w:sz="0" w:space="0" w:color="auto"/>
      </w:divBdr>
    </w:div>
    <w:div w:id="2064718092">
      <w:bodyDiv w:val="1"/>
      <w:marLeft w:val="0"/>
      <w:marRight w:val="0"/>
      <w:marTop w:val="0"/>
      <w:marBottom w:val="0"/>
      <w:divBdr>
        <w:top w:val="none" w:sz="0" w:space="0" w:color="auto"/>
        <w:left w:val="none" w:sz="0" w:space="0" w:color="auto"/>
        <w:bottom w:val="none" w:sz="0" w:space="0" w:color="auto"/>
        <w:right w:val="none" w:sz="0" w:space="0" w:color="auto"/>
      </w:divBdr>
      <w:divsChild>
        <w:div w:id="1964261561">
          <w:marLeft w:val="0"/>
          <w:marRight w:val="0"/>
          <w:marTop w:val="0"/>
          <w:marBottom w:val="0"/>
          <w:divBdr>
            <w:top w:val="none" w:sz="0" w:space="0" w:color="auto"/>
            <w:left w:val="none" w:sz="0" w:space="0" w:color="auto"/>
            <w:bottom w:val="none" w:sz="0" w:space="0" w:color="auto"/>
            <w:right w:val="none" w:sz="0" w:space="0" w:color="auto"/>
          </w:divBdr>
        </w:div>
        <w:div w:id="30365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br.bi"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NTAMAGARA, Willy</dc:creator>
  <cp:keywords/>
  <dc:description/>
  <cp:lastModifiedBy>NTAMAGARA, Willy</cp:lastModifiedBy>
  <cp:revision>3</cp:revision>
  <dcterms:created xsi:type="dcterms:W3CDTF">2025-09-11T10:50:00Z</dcterms:created>
  <dcterms:modified xsi:type="dcterms:W3CDTF">2025-09-11T10:51:00Z</dcterms:modified>
</cp:coreProperties>
</file>