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47901" w14:textId="5D92961B" w:rsidR="00DA4915" w:rsidRDefault="00DA4915" w:rsidP="00DA4915">
      <w:pPr>
        <w:pStyle w:val="Paragraphedeliste"/>
        <w:spacing w:after="0" w:line="240" w:lineRule="auto"/>
        <w:ind w:left="174"/>
        <w:rPr>
          <w:b/>
          <w:szCs w:val="20"/>
          <w:lang w:val="fr-BE"/>
        </w:rPr>
      </w:pPr>
      <w:r w:rsidRPr="00471495">
        <w:rPr>
          <w:b/>
          <w:szCs w:val="20"/>
          <w:lang w:val="fr-BE"/>
        </w:rPr>
        <w:t>BDI23007-</w:t>
      </w:r>
      <w:r w:rsidRPr="00471495">
        <w:rPr>
          <w:b/>
          <w:spacing w:val="-2"/>
          <w:szCs w:val="20"/>
          <w:lang w:val="fr-BE"/>
        </w:rPr>
        <w:t xml:space="preserve">10066 : </w:t>
      </w:r>
      <w:r w:rsidRPr="00471495">
        <w:rPr>
          <w:b/>
          <w:szCs w:val="20"/>
          <w:lang w:val="fr-BE"/>
        </w:rPr>
        <w:t>Marché de services relatif à l’«élaboration de référentiels de formation pour les nouveaux métiers et l’amélioration des programmes existant »</w:t>
      </w:r>
    </w:p>
    <w:p w14:paraId="54D21B19" w14:textId="77777777" w:rsidR="00DA4915" w:rsidRDefault="00DA4915" w:rsidP="00DA4915">
      <w:pPr>
        <w:pStyle w:val="Paragraphedeliste"/>
        <w:spacing w:after="0" w:line="240" w:lineRule="auto"/>
        <w:ind w:left="174"/>
        <w:rPr>
          <w:b/>
          <w:szCs w:val="20"/>
          <w:lang w:val="fr-BE"/>
        </w:rPr>
      </w:pPr>
    </w:p>
    <w:tbl>
      <w:tblPr>
        <w:tblStyle w:val="Grilledutableau"/>
        <w:tblW w:w="0" w:type="auto"/>
        <w:tblLook w:val="04A0" w:firstRow="1" w:lastRow="0" w:firstColumn="1" w:lastColumn="0" w:noHBand="0" w:noVBand="1"/>
      </w:tblPr>
      <w:tblGrid>
        <w:gridCol w:w="4106"/>
        <w:gridCol w:w="4820"/>
      </w:tblGrid>
      <w:tr w:rsidR="00DA4915" w:rsidRPr="006B466B" w14:paraId="0D19C1DD" w14:textId="77777777" w:rsidTr="006A7574">
        <w:trPr>
          <w:trHeight w:val="416"/>
        </w:trPr>
        <w:tc>
          <w:tcPr>
            <w:tcW w:w="4106" w:type="dxa"/>
            <w:shd w:val="clear" w:color="auto" w:fill="FBE4D5" w:themeFill="accent2" w:themeFillTint="33"/>
            <w:vAlign w:val="center"/>
          </w:tcPr>
          <w:p w14:paraId="5D89A423" w14:textId="0207797F" w:rsidR="00DA4915" w:rsidRPr="006B466B" w:rsidRDefault="00DA4915" w:rsidP="00E3049D">
            <w:pPr>
              <w:jc w:val="center"/>
              <w:rPr>
                <w:rFonts w:ascii="Georgia" w:hAnsi="Georgia"/>
                <w:b/>
                <w:bCs/>
                <w:sz w:val="20"/>
                <w:szCs w:val="20"/>
                <w:lang w:val="fr-BE"/>
              </w:rPr>
            </w:pPr>
            <w:r w:rsidRPr="006B466B">
              <w:rPr>
                <w:rFonts w:ascii="Georgia" w:hAnsi="Georgia"/>
                <w:b/>
                <w:bCs/>
                <w:sz w:val="20"/>
                <w:szCs w:val="20"/>
                <w:lang w:val="fr-BE"/>
              </w:rPr>
              <w:t>Questions</w:t>
            </w:r>
            <w:r w:rsidR="00C06082" w:rsidRPr="006B466B">
              <w:rPr>
                <w:rFonts w:ascii="Georgia" w:hAnsi="Georgia"/>
                <w:b/>
                <w:bCs/>
                <w:sz w:val="20"/>
                <w:szCs w:val="20"/>
                <w:lang w:val="fr-BE"/>
              </w:rPr>
              <w:t xml:space="preserve"> posées</w:t>
            </w:r>
          </w:p>
        </w:tc>
        <w:tc>
          <w:tcPr>
            <w:tcW w:w="4820" w:type="dxa"/>
            <w:shd w:val="clear" w:color="auto" w:fill="FBE4D5" w:themeFill="accent2" w:themeFillTint="33"/>
            <w:vAlign w:val="center"/>
          </w:tcPr>
          <w:p w14:paraId="046AB7CC" w14:textId="4BE80DBE" w:rsidR="00DA4915" w:rsidRPr="006B466B" w:rsidRDefault="00C06082" w:rsidP="006A7574">
            <w:pPr>
              <w:rPr>
                <w:rFonts w:ascii="Georgia" w:hAnsi="Georgia"/>
                <w:b/>
                <w:bCs/>
                <w:sz w:val="20"/>
                <w:szCs w:val="20"/>
                <w:lang w:val="fr-BE"/>
              </w:rPr>
            </w:pPr>
            <w:r w:rsidRPr="006B466B">
              <w:rPr>
                <w:rFonts w:ascii="Georgia" w:hAnsi="Georgia"/>
                <w:b/>
                <w:bCs/>
                <w:sz w:val="20"/>
                <w:szCs w:val="20"/>
                <w:lang w:val="fr-BE"/>
              </w:rPr>
              <w:t>Propositions de r</w:t>
            </w:r>
            <w:r w:rsidR="00DA4915" w:rsidRPr="006B466B">
              <w:rPr>
                <w:rFonts w:ascii="Georgia" w:hAnsi="Georgia"/>
                <w:b/>
                <w:bCs/>
                <w:sz w:val="20"/>
                <w:szCs w:val="20"/>
                <w:lang w:val="fr-BE"/>
              </w:rPr>
              <w:t>éponses</w:t>
            </w:r>
          </w:p>
        </w:tc>
      </w:tr>
      <w:tr w:rsidR="00DA4915" w:rsidRPr="006B466B" w14:paraId="0D45306F" w14:textId="77777777" w:rsidTr="006A7574">
        <w:trPr>
          <w:trHeight w:val="416"/>
        </w:trPr>
        <w:tc>
          <w:tcPr>
            <w:tcW w:w="4106" w:type="dxa"/>
          </w:tcPr>
          <w:p w14:paraId="302EE9F7" w14:textId="77777777" w:rsidR="00DA4915" w:rsidRPr="006B466B" w:rsidRDefault="00DA4915" w:rsidP="00DA4915">
            <w:pPr>
              <w:pStyle w:val="Paragraphedeliste"/>
              <w:numPr>
                <w:ilvl w:val="0"/>
                <w:numId w:val="3"/>
              </w:numPr>
              <w:jc w:val="both"/>
              <w:rPr>
                <w:rFonts w:ascii="Georgia" w:hAnsi="Georgia"/>
                <w:sz w:val="20"/>
                <w:szCs w:val="20"/>
                <w:lang w:val="fr-BE"/>
              </w:rPr>
            </w:pPr>
            <w:r w:rsidRPr="006B466B">
              <w:rPr>
                <w:rFonts w:ascii="Georgia" w:hAnsi="Georgia"/>
                <w:sz w:val="20"/>
                <w:szCs w:val="20"/>
                <w:lang w:val="fr-BE"/>
              </w:rPr>
              <w:t xml:space="preserve">Quels sont les filières de transformation agricole (TAA) dont on a besoin pour l’actualisation des référentiels ? </w:t>
            </w:r>
          </w:p>
        </w:tc>
        <w:tc>
          <w:tcPr>
            <w:tcW w:w="4820" w:type="dxa"/>
            <w:vAlign w:val="center"/>
          </w:tcPr>
          <w:p w14:paraId="12D288CB" w14:textId="77777777" w:rsidR="00DA4915" w:rsidRPr="006B466B" w:rsidRDefault="00DA4915" w:rsidP="006A7574">
            <w:pPr>
              <w:rPr>
                <w:rFonts w:ascii="Georgia" w:hAnsi="Georgia"/>
                <w:sz w:val="20"/>
                <w:szCs w:val="20"/>
                <w:lang w:val="fr-BE"/>
              </w:rPr>
            </w:pPr>
            <w:r w:rsidRPr="006B466B">
              <w:rPr>
                <w:rFonts w:ascii="Georgia" w:hAnsi="Georgia"/>
                <w:sz w:val="20"/>
                <w:szCs w:val="20"/>
                <w:lang w:val="fr-BE"/>
              </w:rPr>
              <w:t>La 1</w:t>
            </w:r>
            <w:r w:rsidRPr="006B466B">
              <w:rPr>
                <w:rFonts w:ascii="Georgia" w:hAnsi="Georgia"/>
                <w:sz w:val="20"/>
                <w:szCs w:val="20"/>
                <w:vertAlign w:val="superscript"/>
                <w:lang w:val="fr-BE"/>
              </w:rPr>
              <w:t>ère</w:t>
            </w:r>
            <w:r w:rsidRPr="006B466B">
              <w:rPr>
                <w:rFonts w:ascii="Georgia" w:hAnsi="Georgia"/>
                <w:sz w:val="20"/>
                <w:szCs w:val="20"/>
                <w:lang w:val="fr-BE"/>
              </w:rPr>
              <w:t xml:space="preserve"> phase de la mission devrait permettre de les déterminer. </w:t>
            </w:r>
          </w:p>
          <w:p w14:paraId="31D681FA" w14:textId="77777777" w:rsidR="00DA4915" w:rsidRPr="006B466B" w:rsidRDefault="00DA4915" w:rsidP="006A7574">
            <w:pPr>
              <w:rPr>
                <w:rFonts w:ascii="Georgia" w:hAnsi="Georgia"/>
                <w:sz w:val="20"/>
                <w:szCs w:val="20"/>
                <w:lang w:val="fr-BE"/>
              </w:rPr>
            </w:pPr>
            <w:r w:rsidRPr="006B466B">
              <w:rPr>
                <w:rFonts w:ascii="Georgia" w:hAnsi="Georgia"/>
                <w:sz w:val="20"/>
                <w:szCs w:val="20"/>
                <w:lang w:val="fr-BE"/>
              </w:rPr>
              <w:t>Toutefois, par TAA, il faut entendre la transformation des produits</w:t>
            </w:r>
            <w:r w:rsidRPr="006B466B">
              <w:rPr>
                <w:rFonts w:ascii="Georgia" w:hAnsi="Georgia"/>
                <w:sz w:val="20"/>
                <w:szCs w:val="20"/>
                <w:lang w:val="fr-FR"/>
              </w:rPr>
              <w:t xml:space="preserve"> d’origine végétale et des produits d’origine animale</w:t>
            </w:r>
          </w:p>
        </w:tc>
      </w:tr>
      <w:tr w:rsidR="00DA4915" w:rsidRPr="006B466B" w14:paraId="5C950200" w14:textId="77777777" w:rsidTr="006A7574">
        <w:tc>
          <w:tcPr>
            <w:tcW w:w="4106" w:type="dxa"/>
          </w:tcPr>
          <w:p w14:paraId="325FD948" w14:textId="77777777" w:rsidR="00DA4915" w:rsidRPr="006B466B" w:rsidRDefault="00DA4915" w:rsidP="00DA4915">
            <w:pPr>
              <w:pStyle w:val="Paragraphedeliste"/>
              <w:numPr>
                <w:ilvl w:val="0"/>
                <w:numId w:val="3"/>
              </w:numPr>
              <w:rPr>
                <w:rFonts w:ascii="Georgia" w:hAnsi="Georgia"/>
                <w:sz w:val="20"/>
                <w:szCs w:val="20"/>
                <w:lang w:val="fr-BE"/>
              </w:rPr>
            </w:pPr>
            <w:r w:rsidRPr="006B466B">
              <w:rPr>
                <w:rFonts w:ascii="Georgia" w:hAnsi="Georgia"/>
                <w:sz w:val="20"/>
                <w:szCs w:val="20"/>
                <w:lang w:val="fr-BE"/>
              </w:rPr>
              <w:t>Les CSC mentionne à la page 33 : « </w:t>
            </w:r>
            <w:r w:rsidRPr="006B466B">
              <w:rPr>
                <w:rFonts w:ascii="Georgia" w:hAnsi="Georgia"/>
                <w:i/>
                <w:iCs/>
                <w:color w:val="575655"/>
                <w:sz w:val="20"/>
                <w:szCs w:val="20"/>
                <w:lang w:val="fr-BE"/>
              </w:rPr>
              <w:t xml:space="preserve">Les actualisations portent sur des métiers ou domaines d’activités pour lesquels le processus d’élaboration de référentiel a été initié : </w:t>
            </w:r>
            <w:r w:rsidRPr="006B466B">
              <w:rPr>
                <w:rFonts w:ascii="Georgia" w:hAnsi="Georgia"/>
                <w:i/>
                <w:iCs/>
                <w:color w:val="575655"/>
                <w:sz w:val="20"/>
                <w:szCs w:val="20"/>
                <w:u w:val="single" w:color="575655"/>
                <w:lang w:val="fr-BE"/>
              </w:rPr>
              <w:t>transformateur du rotin et filière bambou</w:t>
            </w:r>
            <w:r w:rsidRPr="006B466B">
              <w:rPr>
                <w:rFonts w:ascii="Georgia" w:hAnsi="Georgia"/>
                <w:i/>
                <w:iCs/>
                <w:color w:val="575655"/>
                <w:sz w:val="20"/>
                <w:szCs w:val="20"/>
                <w:lang w:val="fr-BE"/>
              </w:rPr>
              <w:t>. Les référentiels du premier</w:t>
            </w:r>
            <w:r w:rsidRPr="006B466B">
              <w:rPr>
                <w:rFonts w:ascii="Georgia" w:hAnsi="Georgia"/>
                <w:i/>
                <w:iCs/>
                <w:color w:val="575655"/>
                <w:spacing w:val="-13"/>
                <w:sz w:val="20"/>
                <w:szCs w:val="20"/>
                <w:lang w:val="fr-BE"/>
              </w:rPr>
              <w:t xml:space="preserve"> </w:t>
            </w:r>
            <w:r w:rsidRPr="006B466B">
              <w:rPr>
                <w:rFonts w:ascii="Georgia" w:hAnsi="Georgia"/>
                <w:i/>
                <w:iCs/>
                <w:color w:val="575655"/>
                <w:sz w:val="20"/>
                <w:szCs w:val="20"/>
                <w:lang w:val="fr-BE"/>
              </w:rPr>
              <w:t>(rotin)</w:t>
            </w:r>
            <w:r w:rsidRPr="006B466B">
              <w:rPr>
                <w:rFonts w:ascii="Georgia" w:hAnsi="Georgia"/>
                <w:i/>
                <w:iCs/>
                <w:color w:val="575655"/>
                <w:spacing w:val="-13"/>
                <w:sz w:val="20"/>
                <w:szCs w:val="20"/>
                <w:lang w:val="fr-BE"/>
              </w:rPr>
              <w:t xml:space="preserve"> </w:t>
            </w:r>
            <w:r w:rsidRPr="006B466B">
              <w:rPr>
                <w:rFonts w:ascii="Georgia" w:hAnsi="Georgia"/>
                <w:i/>
                <w:iCs/>
                <w:color w:val="575655"/>
                <w:sz w:val="20"/>
                <w:szCs w:val="20"/>
                <w:lang w:val="fr-BE"/>
              </w:rPr>
              <w:t>existent</w:t>
            </w:r>
            <w:r w:rsidRPr="006B466B">
              <w:rPr>
                <w:rFonts w:ascii="Georgia" w:hAnsi="Georgia"/>
                <w:i/>
                <w:iCs/>
                <w:color w:val="575655"/>
                <w:spacing w:val="-12"/>
                <w:sz w:val="20"/>
                <w:szCs w:val="20"/>
                <w:lang w:val="fr-BE"/>
              </w:rPr>
              <w:t xml:space="preserve"> </w:t>
            </w:r>
            <w:r w:rsidRPr="006B466B">
              <w:rPr>
                <w:rFonts w:ascii="Georgia" w:hAnsi="Georgia"/>
                <w:i/>
                <w:iCs/>
                <w:color w:val="575655"/>
                <w:sz w:val="20"/>
                <w:szCs w:val="20"/>
                <w:lang w:val="fr-BE"/>
              </w:rPr>
              <w:t>;</w:t>
            </w:r>
            <w:r w:rsidRPr="006B466B">
              <w:rPr>
                <w:rFonts w:ascii="Georgia" w:hAnsi="Georgia"/>
                <w:i/>
                <w:iCs/>
                <w:color w:val="575655"/>
                <w:spacing w:val="-13"/>
                <w:sz w:val="20"/>
                <w:szCs w:val="20"/>
                <w:lang w:val="fr-BE"/>
              </w:rPr>
              <w:t xml:space="preserve"> </w:t>
            </w:r>
            <w:r w:rsidRPr="006B466B">
              <w:rPr>
                <w:rFonts w:ascii="Georgia" w:hAnsi="Georgia"/>
                <w:i/>
                <w:iCs/>
                <w:color w:val="575655"/>
                <w:sz w:val="20"/>
                <w:szCs w:val="20"/>
                <w:lang w:val="fr-BE"/>
              </w:rPr>
              <w:t>ils</w:t>
            </w:r>
            <w:r w:rsidRPr="006B466B">
              <w:rPr>
                <w:rFonts w:ascii="Georgia" w:hAnsi="Georgia"/>
                <w:i/>
                <w:iCs/>
                <w:color w:val="575655"/>
                <w:spacing w:val="-13"/>
                <w:sz w:val="20"/>
                <w:szCs w:val="20"/>
                <w:lang w:val="fr-BE"/>
              </w:rPr>
              <w:t xml:space="preserve"> </w:t>
            </w:r>
            <w:r w:rsidRPr="006B466B">
              <w:rPr>
                <w:rFonts w:ascii="Georgia" w:hAnsi="Georgia"/>
                <w:i/>
                <w:iCs/>
                <w:color w:val="575655"/>
                <w:sz w:val="20"/>
                <w:szCs w:val="20"/>
                <w:lang w:val="fr-BE"/>
              </w:rPr>
              <w:t>pourront</w:t>
            </w:r>
            <w:r w:rsidRPr="006B466B">
              <w:rPr>
                <w:rFonts w:ascii="Georgia" w:hAnsi="Georgia"/>
                <w:i/>
                <w:iCs/>
                <w:color w:val="575655"/>
                <w:spacing w:val="-12"/>
                <w:sz w:val="20"/>
                <w:szCs w:val="20"/>
                <w:lang w:val="fr-BE"/>
              </w:rPr>
              <w:t xml:space="preserve"> </w:t>
            </w:r>
            <w:r w:rsidRPr="006B466B">
              <w:rPr>
                <w:rFonts w:ascii="Georgia" w:hAnsi="Georgia"/>
                <w:i/>
                <w:iCs/>
                <w:color w:val="575655"/>
                <w:sz w:val="20"/>
                <w:szCs w:val="20"/>
                <w:lang w:val="fr-BE"/>
              </w:rPr>
              <w:t>être</w:t>
            </w:r>
            <w:r w:rsidRPr="006B466B">
              <w:rPr>
                <w:rFonts w:ascii="Georgia" w:hAnsi="Georgia"/>
                <w:i/>
                <w:iCs/>
                <w:color w:val="575655"/>
                <w:spacing w:val="-13"/>
                <w:sz w:val="20"/>
                <w:szCs w:val="20"/>
                <w:lang w:val="fr-BE"/>
              </w:rPr>
              <w:t xml:space="preserve"> </w:t>
            </w:r>
            <w:r w:rsidRPr="006B466B">
              <w:rPr>
                <w:rFonts w:ascii="Georgia" w:hAnsi="Georgia"/>
                <w:i/>
                <w:iCs/>
                <w:color w:val="575655"/>
                <w:sz w:val="20"/>
                <w:szCs w:val="20"/>
                <w:lang w:val="fr-BE"/>
              </w:rPr>
              <w:t>actualisés.</w:t>
            </w:r>
            <w:r w:rsidRPr="006B466B">
              <w:rPr>
                <w:rFonts w:ascii="Georgia" w:hAnsi="Georgia"/>
                <w:i/>
                <w:iCs/>
                <w:color w:val="575655"/>
                <w:spacing w:val="-13"/>
                <w:sz w:val="20"/>
                <w:szCs w:val="20"/>
                <w:lang w:val="fr-BE"/>
              </w:rPr>
              <w:t xml:space="preserve"> </w:t>
            </w:r>
            <w:r w:rsidRPr="006B466B">
              <w:rPr>
                <w:rFonts w:ascii="Georgia" w:hAnsi="Georgia"/>
                <w:i/>
                <w:iCs/>
                <w:color w:val="575655"/>
                <w:sz w:val="20"/>
                <w:szCs w:val="20"/>
                <w:lang w:val="fr-BE"/>
              </w:rPr>
              <w:t>Par</w:t>
            </w:r>
            <w:r w:rsidRPr="006B466B">
              <w:rPr>
                <w:rFonts w:ascii="Georgia" w:hAnsi="Georgia"/>
                <w:i/>
                <w:iCs/>
                <w:color w:val="575655"/>
                <w:spacing w:val="-12"/>
                <w:sz w:val="20"/>
                <w:szCs w:val="20"/>
                <w:lang w:val="fr-BE"/>
              </w:rPr>
              <w:t xml:space="preserve"> </w:t>
            </w:r>
            <w:r w:rsidRPr="006B466B">
              <w:rPr>
                <w:rFonts w:ascii="Georgia" w:hAnsi="Georgia"/>
                <w:i/>
                <w:iCs/>
                <w:color w:val="575655"/>
                <w:sz w:val="20"/>
                <w:szCs w:val="20"/>
                <w:lang w:val="fr-BE"/>
              </w:rPr>
              <w:t>contre,</w:t>
            </w:r>
            <w:r w:rsidRPr="006B466B">
              <w:rPr>
                <w:rFonts w:ascii="Georgia" w:hAnsi="Georgia"/>
                <w:i/>
                <w:iCs/>
                <w:color w:val="575655"/>
                <w:spacing w:val="-13"/>
                <w:sz w:val="20"/>
                <w:szCs w:val="20"/>
                <w:lang w:val="fr-BE"/>
              </w:rPr>
              <w:t xml:space="preserve"> </w:t>
            </w:r>
            <w:r w:rsidRPr="006B466B">
              <w:rPr>
                <w:rFonts w:ascii="Georgia" w:hAnsi="Georgia"/>
                <w:i/>
                <w:iCs/>
                <w:color w:val="575655"/>
                <w:sz w:val="20"/>
                <w:szCs w:val="20"/>
                <w:lang w:val="fr-BE"/>
              </w:rPr>
              <w:t>pour</w:t>
            </w:r>
            <w:r w:rsidRPr="006B466B">
              <w:rPr>
                <w:rFonts w:ascii="Georgia" w:hAnsi="Georgia"/>
                <w:i/>
                <w:iCs/>
                <w:color w:val="575655"/>
                <w:spacing w:val="-13"/>
                <w:sz w:val="20"/>
                <w:szCs w:val="20"/>
                <w:lang w:val="fr-BE"/>
              </w:rPr>
              <w:t xml:space="preserve"> </w:t>
            </w:r>
            <w:r w:rsidRPr="006B466B">
              <w:rPr>
                <w:rFonts w:ascii="Georgia" w:hAnsi="Georgia"/>
                <w:i/>
                <w:iCs/>
                <w:color w:val="575655"/>
                <w:sz w:val="20"/>
                <w:szCs w:val="20"/>
                <w:lang w:val="fr-BE"/>
              </w:rPr>
              <w:t>la</w:t>
            </w:r>
            <w:r w:rsidRPr="006B466B">
              <w:rPr>
                <w:rFonts w:ascii="Georgia" w:hAnsi="Georgia"/>
                <w:i/>
                <w:iCs/>
                <w:color w:val="575655"/>
                <w:spacing w:val="-12"/>
                <w:sz w:val="20"/>
                <w:szCs w:val="20"/>
                <w:lang w:val="fr-BE"/>
              </w:rPr>
              <w:t xml:space="preserve"> </w:t>
            </w:r>
            <w:r w:rsidRPr="006B466B">
              <w:rPr>
                <w:rFonts w:ascii="Georgia" w:hAnsi="Georgia"/>
                <w:i/>
                <w:iCs/>
                <w:color w:val="575655"/>
                <w:sz w:val="20"/>
                <w:szCs w:val="20"/>
                <w:lang w:val="fr-BE"/>
              </w:rPr>
              <w:t>filière</w:t>
            </w:r>
            <w:r w:rsidRPr="006B466B">
              <w:rPr>
                <w:rFonts w:ascii="Georgia" w:hAnsi="Georgia"/>
                <w:i/>
                <w:iCs/>
                <w:color w:val="575655"/>
                <w:spacing w:val="-13"/>
                <w:sz w:val="20"/>
                <w:szCs w:val="20"/>
                <w:lang w:val="fr-BE"/>
              </w:rPr>
              <w:t xml:space="preserve"> </w:t>
            </w:r>
            <w:r w:rsidRPr="006B466B">
              <w:rPr>
                <w:rFonts w:ascii="Georgia" w:hAnsi="Georgia"/>
                <w:i/>
                <w:iCs/>
                <w:color w:val="575655"/>
                <w:sz w:val="20"/>
                <w:szCs w:val="20"/>
                <w:lang w:val="fr-BE"/>
              </w:rPr>
              <w:t>bambou,</w:t>
            </w:r>
            <w:r w:rsidRPr="006B466B">
              <w:rPr>
                <w:rFonts w:ascii="Georgia" w:hAnsi="Georgia"/>
                <w:i/>
                <w:iCs/>
                <w:color w:val="575655"/>
                <w:spacing w:val="-13"/>
                <w:sz w:val="20"/>
                <w:szCs w:val="20"/>
                <w:lang w:val="fr-BE"/>
              </w:rPr>
              <w:t xml:space="preserve"> </w:t>
            </w:r>
            <w:r w:rsidRPr="006B466B">
              <w:rPr>
                <w:rFonts w:ascii="Georgia" w:hAnsi="Georgia"/>
                <w:i/>
                <w:iCs/>
                <w:color w:val="575655"/>
                <w:sz w:val="20"/>
                <w:szCs w:val="20"/>
                <w:lang w:val="fr-BE"/>
              </w:rPr>
              <w:t>l’on</w:t>
            </w:r>
            <w:r w:rsidRPr="006B466B">
              <w:rPr>
                <w:rFonts w:ascii="Georgia" w:hAnsi="Georgia"/>
                <w:i/>
                <w:iCs/>
                <w:color w:val="575655"/>
                <w:spacing w:val="-12"/>
                <w:sz w:val="20"/>
                <w:szCs w:val="20"/>
                <w:lang w:val="fr-BE"/>
              </w:rPr>
              <w:t xml:space="preserve"> </w:t>
            </w:r>
            <w:r w:rsidRPr="006B466B">
              <w:rPr>
                <w:rFonts w:ascii="Georgia" w:hAnsi="Georgia"/>
                <w:i/>
                <w:iCs/>
                <w:color w:val="575655"/>
                <w:sz w:val="20"/>
                <w:szCs w:val="20"/>
                <w:lang w:val="fr-BE"/>
              </w:rPr>
              <w:t>ne</w:t>
            </w:r>
            <w:r w:rsidRPr="006B466B">
              <w:rPr>
                <w:rFonts w:ascii="Georgia" w:hAnsi="Georgia"/>
                <w:i/>
                <w:iCs/>
                <w:color w:val="575655"/>
                <w:spacing w:val="-13"/>
                <w:sz w:val="20"/>
                <w:szCs w:val="20"/>
                <w:lang w:val="fr-BE"/>
              </w:rPr>
              <w:t xml:space="preserve"> </w:t>
            </w:r>
            <w:r w:rsidRPr="006B466B">
              <w:rPr>
                <w:rFonts w:ascii="Georgia" w:hAnsi="Georgia"/>
                <w:i/>
                <w:iCs/>
                <w:color w:val="575655"/>
                <w:sz w:val="20"/>
                <w:szCs w:val="20"/>
                <w:lang w:val="fr-BE"/>
              </w:rPr>
              <w:t>dispose pas encore de de fiches techniques bien que les référentiels ont été élaborés pour le niveau CFA ».</w:t>
            </w:r>
          </w:p>
          <w:p w14:paraId="221F7986" w14:textId="77777777" w:rsidR="00DA4915" w:rsidRPr="006B466B" w:rsidRDefault="00DA4915" w:rsidP="00E3049D">
            <w:pPr>
              <w:rPr>
                <w:rFonts w:ascii="Georgia" w:hAnsi="Georgia"/>
                <w:sz w:val="20"/>
                <w:szCs w:val="20"/>
                <w:lang w:val="fr-BE"/>
              </w:rPr>
            </w:pPr>
            <w:r w:rsidRPr="006B466B">
              <w:rPr>
                <w:rFonts w:ascii="Georgia" w:hAnsi="Georgia"/>
                <w:sz w:val="20"/>
                <w:szCs w:val="20"/>
                <w:lang w:val="fr-BE"/>
              </w:rPr>
              <w:t xml:space="preserve">Est- ce que ces documents (non finalisés) sont accessibles aux soumissionnaires pour appréciation ?  </w:t>
            </w:r>
          </w:p>
        </w:tc>
        <w:tc>
          <w:tcPr>
            <w:tcW w:w="4820" w:type="dxa"/>
            <w:vAlign w:val="center"/>
          </w:tcPr>
          <w:p w14:paraId="2C85BF68" w14:textId="77777777" w:rsidR="00DA4915" w:rsidRPr="006B466B" w:rsidRDefault="00DA4915" w:rsidP="006A7574">
            <w:pPr>
              <w:rPr>
                <w:rFonts w:ascii="Georgia" w:hAnsi="Georgia"/>
                <w:sz w:val="20"/>
                <w:szCs w:val="20"/>
                <w:lang w:val="fr-BE"/>
              </w:rPr>
            </w:pPr>
            <w:r w:rsidRPr="006B466B">
              <w:rPr>
                <w:rFonts w:ascii="Georgia" w:hAnsi="Georgia"/>
                <w:sz w:val="20"/>
                <w:szCs w:val="20"/>
                <w:lang w:val="fr-BE"/>
              </w:rPr>
              <w:t>Objet de la première phase.</w:t>
            </w:r>
          </w:p>
          <w:p w14:paraId="220CB553" w14:textId="77777777" w:rsidR="00DA4915" w:rsidRPr="006B466B" w:rsidRDefault="00DA4915" w:rsidP="006A7574">
            <w:pPr>
              <w:rPr>
                <w:rFonts w:ascii="Georgia" w:hAnsi="Georgia"/>
                <w:sz w:val="20"/>
                <w:szCs w:val="20"/>
                <w:lang w:val="fr-BE"/>
              </w:rPr>
            </w:pPr>
            <w:r w:rsidRPr="006B466B">
              <w:rPr>
                <w:rFonts w:ascii="Georgia" w:hAnsi="Georgia"/>
                <w:sz w:val="20"/>
                <w:szCs w:val="20"/>
                <w:lang w:val="fr-BE"/>
              </w:rPr>
              <w:t>Toutefois disponibles auprès des structures du MENRS</w:t>
            </w:r>
          </w:p>
        </w:tc>
      </w:tr>
      <w:tr w:rsidR="00DA4915" w:rsidRPr="006B466B" w14:paraId="40C985C9" w14:textId="77777777" w:rsidTr="006A7574">
        <w:tc>
          <w:tcPr>
            <w:tcW w:w="4106" w:type="dxa"/>
          </w:tcPr>
          <w:p w14:paraId="5B7A9377" w14:textId="77777777" w:rsidR="00DA4915" w:rsidRPr="006B466B" w:rsidRDefault="00DA4915" w:rsidP="00DA4915">
            <w:pPr>
              <w:pStyle w:val="Paragraphedeliste"/>
              <w:numPr>
                <w:ilvl w:val="0"/>
                <w:numId w:val="3"/>
              </w:numPr>
              <w:rPr>
                <w:rFonts w:ascii="Georgia" w:hAnsi="Georgia"/>
                <w:sz w:val="20"/>
                <w:szCs w:val="20"/>
                <w:lang w:val="fr-BE"/>
              </w:rPr>
            </w:pPr>
            <w:r w:rsidRPr="006B466B">
              <w:rPr>
                <w:rFonts w:ascii="Georgia" w:hAnsi="Georgia"/>
                <w:sz w:val="20"/>
                <w:szCs w:val="20"/>
                <w:lang w:val="fr-BE"/>
              </w:rPr>
              <w:t>Est-il possible de proposer une équipe technique élargie en appui du chef de projet afin d'accompagner et de superviser le travail des panels pendant les 7 mois de production  (étape 2) ?</w:t>
            </w:r>
          </w:p>
        </w:tc>
        <w:tc>
          <w:tcPr>
            <w:tcW w:w="4820" w:type="dxa"/>
            <w:vAlign w:val="center"/>
          </w:tcPr>
          <w:p w14:paraId="0878116D" w14:textId="77777777" w:rsidR="00DA4915" w:rsidRPr="006B466B" w:rsidRDefault="00DA4915" w:rsidP="006A7574">
            <w:pPr>
              <w:rPr>
                <w:rFonts w:ascii="Georgia" w:hAnsi="Georgia"/>
                <w:sz w:val="20"/>
                <w:szCs w:val="20"/>
                <w:lang w:val="fr-BE"/>
              </w:rPr>
            </w:pPr>
            <w:r w:rsidRPr="006B466B">
              <w:rPr>
                <w:rFonts w:ascii="Georgia" w:hAnsi="Georgia"/>
                <w:sz w:val="20"/>
                <w:szCs w:val="20"/>
                <w:lang w:val="fr-BE"/>
              </w:rPr>
              <w:t>Le CSC prévoit en plus du chef de mission des experts thématiques, des professionnels et des méthodologues.</w:t>
            </w:r>
          </w:p>
          <w:p w14:paraId="01414A3C" w14:textId="77777777" w:rsidR="00DA4915" w:rsidRPr="006B466B" w:rsidRDefault="00DA4915" w:rsidP="006A7574">
            <w:pPr>
              <w:rPr>
                <w:rFonts w:ascii="Georgia" w:hAnsi="Georgia"/>
                <w:sz w:val="20"/>
                <w:szCs w:val="20"/>
                <w:lang w:val="fr-BE"/>
              </w:rPr>
            </w:pPr>
            <w:r w:rsidRPr="006B466B">
              <w:rPr>
                <w:rFonts w:ascii="Georgia" w:hAnsi="Georgia"/>
                <w:sz w:val="20"/>
                <w:szCs w:val="20"/>
                <w:lang w:val="fr-BE"/>
              </w:rPr>
              <w:t>Il revient au soumissionnaire d’organiser l’équipe qu’il met en place sans pour autant dépassé le nombre d’homme-jour maximal</w:t>
            </w:r>
          </w:p>
        </w:tc>
      </w:tr>
      <w:tr w:rsidR="00DA4915" w:rsidRPr="006B466B" w14:paraId="79E48FB2" w14:textId="77777777" w:rsidTr="006A7574">
        <w:tc>
          <w:tcPr>
            <w:tcW w:w="4106" w:type="dxa"/>
          </w:tcPr>
          <w:p w14:paraId="0E1E4D62" w14:textId="77777777" w:rsidR="00DA4915" w:rsidRPr="006B466B" w:rsidRDefault="00DA4915" w:rsidP="00DA4915">
            <w:pPr>
              <w:pStyle w:val="Paragraphedeliste"/>
              <w:numPr>
                <w:ilvl w:val="0"/>
                <w:numId w:val="3"/>
              </w:numPr>
              <w:rPr>
                <w:rFonts w:ascii="Georgia" w:hAnsi="Georgia"/>
                <w:sz w:val="20"/>
                <w:szCs w:val="20"/>
                <w:lang w:val="fr-BE"/>
              </w:rPr>
            </w:pPr>
            <w:r w:rsidRPr="006B466B">
              <w:rPr>
                <w:rFonts w:ascii="Georgia" w:hAnsi="Georgia"/>
                <w:sz w:val="20"/>
                <w:szCs w:val="20"/>
                <w:lang w:val="fr-BE"/>
              </w:rPr>
              <w:t xml:space="preserve"> Le prestataire de services,  devrait-il être responsable de la gestion des panels-métiers, y compris leurs rémunérations ?</w:t>
            </w:r>
          </w:p>
        </w:tc>
        <w:tc>
          <w:tcPr>
            <w:tcW w:w="4820" w:type="dxa"/>
            <w:vAlign w:val="center"/>
          </w:tcPr>
          <w:p w14:paraId="3B8B73FB" w14:textId="77777777" w:rsidR="00DA4915" w:rsidRPr="006B466B" w:rsidRDefault="00DA4915" w:rsidP="006A7574">
            <w:pPr>
              <w:rPr>
                <w:rFonts w:ascii="Georgia" w:hAnsi="Georgia"/>
                <w:sz w:val="20"/>
                <w:szCs w:val="20"/>
                <w:lang w:val="fr-BE"/>
              </w:rPr>
            </w:pPr>
            <w:r w:rsidRPr="006B466B">
              <w:rPr>
                <w:rFonts w:ascii="Georgia" w:hAnsi="Georgia"/>
                <w:sz w:val="20"/>
                <w:szCs w:val="20"/>
                <w:lang w:val="fr-BE"/>
              </w:rPr>
              <w:t xml:space="preserve">Oui, entièrement. </w:t>
            </w:r>
          </w:p>
          <w:p w14:paraId="6FED33AE" w14:textId="77777777" w:rsidR="00DA4915" w:rsidRPr="006B466B" w:rsidRDefault="00DA4915" w:rsidP="006A7574">
            <w:pPr>
              <w:rPr>
                <w:rFonts w:ascii="Georgia" w:hAnsi="Georgia"/>
                <w:sz w:val="20"/>
                <w:szCs w:val="20"/>
                <w:lang w:val="fr-BE"/>
              </w:rPr>
            </w:pPr>
            <w:r w:rsidRPr="006B466B">
              <w:rPr>
                <w:rFonts w:ascii="Georgia" w:hAnsi="Georgia"/>
                <w:sz w:val="20"/>
                <w:szCs w:val="20"/>
                <w:lang w:val="fr-BE"/>
              </w:rPr>
              <w:t>Le projet ne veillera que sur l’équation de leur profil à la mission</w:t>
            </w:r>
          </w:p>
        </w:tc>
      </w:tr>
      <w:tr w:rsidR="00DA4915" w:rsidRPr="006B466B" w14:paraId="4AC52183" w14:textId="77777777" w:rsidTr="006A7574">
        <w:tc>
          <w:tcPr>
            <w:tcW w:w="4106" w:type="dxa"/>
          </w:tcPr>
          <w:p w14:paraId="506998AC" w14:textId="77777777" w:rsidR="00DA4915" w:rsidRPr="006B466B" w:rsidRDefault="00DA4915" w:rsidP="00DA4915">
            <w:pPr>
              <w:pStyle w:val="Paragraphedeliste"/>
              <w:numPr>
                <w:ilvl w:val="0"/>
                <w:numId w:val="3"/>
              </w:numPr>
              <w:rPr>
                <w:rFonts w:ascii="Georgia" w:hAnsi="Georgia"/>
                <w:sz w:val="20"/>
                <w:szCs w:val="20"/>
                <w:lang w:val="fr-BE"/>
              </w:rPr>
            </w:pPr>
            <w:r w:rsidRPr="006B466B">
              <w:rPr>
                <w:rFonts w:ascii="Georgia" w:hAnsi="Georgia"/>
                <w:sz w:val="20"/>
                <w:szCs w:val="20"/>
                <w:lang w:val="fr-BE"/>
              </w:rPr>
              <w:t xml:space="preserve"> Si oui, est- il possible de proposer des postes supplémentaires afin de renforcer la coordination locale et le suivi administrative des panels (tout en restant dans le budget/charge de travail estimés)?   </w:t>
            </w:r>
          </w:p>
        </w:tc>
        <w:tc>
          <w:tcPr>
            <w:tcW w:w="4820" w:type="dxa"/>
            <w:vAlign w:val="center"/>
          </w:tcPr>
          <w:p w14:paraId="7E12E5CF" w14:textId="77777777" w:rsidR="00DA4915" w:rsidRPr="006B466B" w:rsidRDefault="00DA4915" w:rsidP="006A7574">
            <w:pPr>
              <w:rPr>
                <w:rFonts w:ascii="Georgia" w:hAnsi="Georgia"/>
                <w:sz w:val="20"/>
                <w:szCs w:val="20"/>
                <w:lang w:val="fr-BE"/>
              </w:rPr>
            </w:pPr>
            <w:r w:rsidRPr="006B466B">
              <w:rPr>
                <w:rFonts w:ascii="Georgia" w:hAnsi="Georgia"/>
                <w:sz w:val="20"/>
                <w:szCs w:val="20"/>
                <w:lang w:val="fr-BE"/>
              </w:rPr>
              <w:t xml:space="preserve">Oui, si c’est sans incidence sur l’estimation d’HJ, le nombre d’homme-jour ne doit pas être dépassé. </w:t>
            </w:r>
          </w:p>
          <w:p w14:paraId="3607228C" w14:textId="77777777" w:rsidR="00DA4915" w:rsidRPr="006B466B" w:rsidRDefault="00DA4915" w:rsidP="006A7574">
            <w:pPr>
              <w:rPr>
                <w:rFonts w:ascii="Georgia" w:hAnsi="Georgia"/>
                <w:sz w:val="20"/>
                <w:szCs w:val="20"/>
                <w:lang w:val="fr-BE"/>
              </w:rPr>
            </w:pPr>
            <w:r w:rsidRPr="006B466B">
              <w:rPr>
                <w:rFonts w:ascii="Georgia" w:hAnsi="Georgia"/>
                <w:sz w:val="20"/>
                <w:szCs w:val="20"/>
                <w:lang w:val="fr-BE"/>
              </w:rPr>
              <w:t>Toutefois, le soumissionnaire reste responsable vis-à-vis du Projet</w:t>
            </w:r>
          </w:p>
        </w:tc>
      </w:tr>
      <w:tr w:rsidR="00DA4915" w:rsidRPr="006B466B" w14:paraId="7594D968" w14:textId="77777777" w:rsidTr="006A7574">
        <w:tc>
          <w:tcPr>
            <w:tcW w:w="4106" w:type="dxa"/>
          </w:tcPr>
          <w:p w14:paraId="07A37177" w14:textId="77777777" w:rsidR="00DA4915" w:rsidRPr="006B466B" w:rsidRDefault="00DA4915" w:rsidP="00DA4915">
            <w:pPr>
              <w:pStyle w:val="Paragraphedeliste"/>
              <w:numPr>
                <w:ilvl w:val="0"/>
                <w:numId w:val="3"/>
              </w:numPr>
              <w:rPr>
                <w:rFonts w:ascii="Georgia" w:hAnsi="Georgia"/>
                <w:sz w:val="20"/>
                <w:szCs w:val="20"/>
                <w:lang w:val="fr-BE"/>
              </w:rPr>
            </w:pPr>
            <w:r w:rsidRPr="006B466B">
              <w:rPr>
                <w:rFonts w:ascii="Georgia" w:hAnsi="Georgia"/>
                <w:sz w:val="20"/>
                <w:szCs w:val="20"/>
                <w:lang w:val="fr-BE"/>
              </w:rPr>
              <w:t xml:space="preserve"> Veillez confirmer que les coûts associées au déplacements du chef de projet (billets d’avion et perdiem),  ainsi que les rémunérations des membres des panels doivent faire partie de l’offre financière des soumissionnaires.  </w:t>
            </w:r>
          </w:p>
        </w:tc>
        <w:tc>
          <w:tcPr>
            <w:tcW w:w="4820" w:type="dxa"/>
            <w:vAlign w:val="center"/>
          </w:tcPr>
          <w:p w14:paraId="244491A9" w14:textId="77777777" w:rsidR="00DA4915" w:rsidRPr="006B466B" w:rsidRDefault="00DA4915" w:rsidP="006A7574">
            <w:pPr>
              <w:rPr>
                <w:rFonts w:ascii="Georgia" w:hAnsi="Georgia"/>
                <w:sz w:val="20"/>
                <w:szCs w:val="20"/>
                <w:lang w:val="fr-BE"/>
              </w:rPr>
            </w:pPr>
            <w:r w:rsidRPr="006B466B">
              <w:rPr>
                <w:rFonts w:ascii="Georgia" w:hAnsi="Georgia"/>
                <w:sz w:val="20"/>
                <w:szCs w:val="20"/>
                <w:lang w:val="fr-BE"/>
              </w:rPr>
              <w:t>Confirmé</w:t>
            </w:r>
          </w:p>
        </w:tc>
      </w:tr>
      <w:tr w:rsidR="00DA4915" w:rsidRPr="006B466B" w14:paraId="2D85C684" w14:textId="77777777" w:rsidTr="006A7574">
        <w:tc>
          <w:tcPr>
            <w:tcW w:w="4106" w:type="dxa"/>
          </w:tcPr>
          <w:p w14:paraId="6A6562E4" w14:textId="77777777" w:rsidR="00DA4915" w:rsidRPr="006B466B" w:rsidRDefault="00DA4915" w:rsidP="00DA4915">
            <w:pPr>
              <w:pStyle w:val="Paragraphedeliste"/>
              <w:numPr>
                <w:ilvl w:val="0"/>
                <w:numId w:val="3"/>
              </w:numPr>
              <w:rPr>
                <w:rFonts w:ascii="Georgia" w:hAnsi="Georgia"/>
                <w:sz w:val="20"/>
                <w:szCs w:val="20"/>
                <w:lang w:val="fr-BE"/>
              </w:rPr>
            </w:pPr>
            <w:r w:rsidRPr="006B466B">
              <w:rPr>
                <w:rFonts w:ascii="Georgia" w:hAnsi="Georgia"/>
                <w:sz w:val="20"/>
                <w:szCs w:val="20"/>
                <w:lang w:val="fr-BE"/>
              </w:rPr>
              <w:t xml:space="preserve">Tenu compte des profils demandés, de la disponibilité du chef de projet et de la densité/portée du travail, est-ce-que une démarrage en mai 2026 est-il envisageable ?    </w:t>
            </w:r>
          </w:p>
        </w:tc>
        <w:tc>
          <w:tcPr>
            <w:tcW w:w="4820" w:type="dxa"/>
            <w:vAlign w:val="center"/>
          </w:tcPr>
          <w:p w14:paraId="4E8FA543" w14:textId="77777777" w:rsidR="00DA4915" w:rsidRPr="006B466B" w:rsidRDefault="00DA4915" w:rsidP="006A7574">
            <w:pPr>
              <w:rPr>
                <w:rFonts w:ascii="Georgia" w:hAnsi="Georgia"/>
                <w:sz w:val="20"/>
                <w:szCs w:val="20"/>
                <w:lang w:val="fr-BE"/>
              </w:rPr>
            </w:pPr>
            <w:r w:rsidRPr="006B466B">
              <w:rPr>
                <w:rFonts w:ascii="Georgia" w:hAnsi="Georgia"/>
                <w:sz w:val="20"/>
                <w:szCs w:val="20"/>
                <w:lang w:val="fr-BE"/>
              </w:rPr>
              <w:t>Non,</w:t>
            </w:r>
          </w:p>
          <w:p w14:paraId="77C3CC69" w14:textId="77777777" w:rsidR="00DA4915" w:rsidRPr="006B466B" w:rsidRDefault="00DA4915" w:rsidP="006A7574">
            <w:pPr>
              <w:rPr>
                <w:rFonts w:ascii="Georgia" w:hAnsi="Georgia"/>
                <w:sz w:val="20"/>
                <w:szCs w:val="20"/>
                <w:lang w:val="fr-BE"/>
              </w:rPr>
            </w:pPr>
            <w:r w:rsidRPr="006B466B">
              <w:rPr>
                <w:rFonts w:ascii="Georgia" w:hAnsi="Georgia"/>
                <w:sz w:val="20"/>
                <w:szCs w:val="20"/>
                <w:lang w:val="fr-BE"/>
              </w:rPr>
              <w:t>Le démarrage doit se faire dans le premier trimestre 2026, dès attribution</w:t>
            </w:r>
          </w:p>
        </w:tc>
      </w:tr>
      <w:tr w:rsidR="00C87D3C" w:rsidRPr="006B466B" w14:paraId="012AA49E" w14:textId="77777777" w:rsidTr="006A7574">
        <w:tc>
          <w:tcPr>
            <w:tcW w:w="4106" w:type="dxa"/>
          </w:tcPr>
          <w:p w14:paraId="2D4001D7" w14:textId="77777777" w:rsidR="00C87D3C" w:rsidRPr="006B466B" w:rsidRDefault="00C87D3C" w:rsidP="00C87D3C">
            <w:pPr>
              <w:pStyle w:val="Paragraphedeliste"/>
              <w:numPr>
                <w:ilvl w:val="0"/>
                <w:numId w:val="3"/>
              </w:numPr>
              <w:rPr>
                <w:rFonts w:ascii="Georgia" w:hAnsi="Georgia"/>
                <w:sz w:val="20"/>
                <w:szCs w:val="20"/>
                <w:lang w:val="fr-BE"/>
              </w:rPr>
            </w:pPr>
            <w:r w:rsidRPr="006B466B">
              <w:rPr>
                <w:rFonts w:ascii="Georgia" w:hAnsi="Georgia"/>
                <w:sz w:val="20"/>
                <w:szCs w:val="20"/>
                <w:lang w:val="fr-BE"/>
              </w:rPr>
              <w:t>À l'article 3.4.3 du Cahier Spécial des Charges du marché sous rubrique (BDI23007-10066), il est mentionné ; "</w:t>
            </w:r>
            <w:r w:rsidRPr="006B466B">
              <w:rPr>
                <w:rFonts w:ascii="Georgia" w:hAnsi="Georgia"/>
                <w:b/>
                <w:bCs/>
                <w:sz w:val="20"/>
                <w:szCs w:val="20"/>
                <w:lang w:val="fr-BE"/>
              </w:rPr>
              <w:t>Le présent marché est un marché à bordereau de prix, …"</w:t>
            </w:r>
          </w:p>
          <w:p w14:paraId="0B93710C" w14:textId="77777777" w:rsidR="00C87D3C" w:rsidRPr="006B466B" w:rsidRDefault="00C87D3C" w:rsidP="00C87D3C">
            <w:pPr>
              <w:pStyle w:val="Paragraphedeliste"/>
              <w:ind w:left="360"/>
              <w:rPr>
                <w:rFonts w:ascii="Georgia" w:hAnsi="Georgia"/>
                <w:sz w:val="20"/>
                <w:szCs w:val="20"/>
                <w:lang w:val="fr-BE"/>
              </w:rPr>
            </w:pPr>
            <w:r w:rsidRPr="006B466B">
              <w:rPr>
                <w:rFonts w:ascii="Georgia" w:hAnsi="Georgia"/>
                <w:sz w:val="20"/>
                <w:szCs w:val="20"/>
                <w:lang w:val="fr-BE"/>
              </w:rPr>
              <w:lastRenderedPageBreak/>
              <w:t>À l'article 4.6, il est mentionné : " Le cautionnement est fixé à 5 % du montant total, hors TVA, du marché</w:t>
            </w:r>
          </w:p>
          <w:p w14:paraId="2D520293" w14:textId="77777777" w:rsidR="00F75239" w:rsidRPr="006B466B" w:rsidRDefault="00F75239" w:rsidP="00F75239">
            <w:pPr>
              <w:pStyle w:val="Paragraphedeliste"/>
              <w:ind w:left="360"/>
              <w:rPr>
                <w:rFonts w:ascii="Georgia" w:hAnsi="Georgia"/>
                <w:sz w:val="20"/>
                <w:szCs w:val="20"/>
                <w:lang w:val="fr-BE"/>
              </w:rPr>
            </w:pPr>
            <w:r w:rsidRPr="006B466B">
              <w:rPr>
                <w:rFonts w:ascii="Georgia" w:hAnsi="Georgia"/>
                <w:sz w:val="20"/>
                <w:szCs w:val="20"/>
                <w:lang w:val="fr-BE"/>
              </w:rPr>
              <w:t>N'y a-t-il pas incompatibilité entre ces deux règles ? Comment un cautionnement peut-il être calculé sur un marché dont on ne connaît pas la valeur globale puisque étant "à bordereau" sa valeur globale ne peut être définie avant exécution ? Faut-il prévoir un cautionnement ? Si oui, quel est le montant estimé de ce marché ?</w:t>
            </w:r>
          </w:p>
          <w:p w14:paraId="3AB6F335" w14:textId="77777777" w:rsidR="00C87D3C" w:rsidRPr="006B466B" w:rsidRDefault="00C87D3C" w:rsidP="00C87D3C">
            <w:pPr>
              <w:pStyle w:val="Paragraphedeliste"/>
              <w:ind w:left="360"/>
              <w:rPr>
                <w:rFonts w:ascii="Georgia" w:hAnsi="Georgia"/>
                <w:sz w:val="20"/>
                <w:szCs w:val="20"/>
                <w:lang w:val="fr-BE"/>
              </w:rPr>
            </w:pPr>
          </w:p>
        </w:tc>
        <w:tc>
          <w:tcPr>
            <w:tcW w:w="4820" w:type="dxa"/>
            <w:vAlign w:val="center"/>
          </w:tcPr>
          <w:p w14:paraId="4655B4FB" w14:textId="6A0E9CA1" w:rsidR="00F75239" w:rsidRPr="006B466B" w:rsidRDefault="00F75239" w:rsidP="006A7574">
            <w:pPr>
              <w:rPr>
                <w:rFonts w:ascii="Georgia" w:hAnsi="Georgia"/>
                <w:sz w:val="20"/>
                <w:szCs w:val="20"/>
                <w:lang w:val="fr-BE"/>
              </w:rPr>
            </w:pPr>
            <w:r w:rsidRPr="006B466B">
              <w:rPr>
                <w:rFonts w:ascii="Georgia" w:hAnsi="Georgia"/>
                <w:sz w:val="20"/>
                <w:szCs w:val="20"/>
                <w:lang w:val="fr-BE"/>
              </w:rPr>
              <w:lastRenderedPageBreak/>
              <w:t>Non, il n'y a pas d'incompatibilité entre ces deux règles. Un marché à bordereau de prix  </w:t>
            </w:r>
            <w:r w:rsidRPr="006B466B">
              <w:rPr>
                <w:rFonts w:ascii="Georgia" w:hAnsi="Georgia"/>
                <w:b/>
                <w:bCs/>
                <w:sz w:val="20"/>
                <w:szCs w:val="20"/>
                <w:lang w:val="fr-BE"/>
              </w:rPr>
              <w:t xml:space="preserve"> signifie que seul le prix unitaire est forfaitaire. Le prix à payer sera obtenu en appliquant les prix unitaires mentionné dans l’inventaire </w:t>
            </w:r>
            <w:r w:rsidRPr="006B466B">
              <w:rPr>
                <w:rFonts w:ascii="Georgia" w:hAnsi="Georgia"/>
                <w:b/>
                <w:bCs/>
                <w:sz w:val="20"/>
                <w:szCs w:val="20"/>
                <w:lang w:val="fr-BE"/>
              </w:rPr>
              <w:lastRenderedPageBreak/>
              <w:t>aux quantités réellement exécutées. </w:t>
            </w:r>
            <w:r w:rsidRPr="006B466B">
              <w:rPr>
                <w:rFonts w:ascii="Georgia" w:hAnsi="Georgia"/>
                <w:sz w:val="20"/>
                <w:szCs w:val="20"/>
                <w:lang w:val="fr-BE"/>
              </w:rPr>
              <w:t>La valeur globale du marché sera bien le montant total que vous allez proposer pour l'exécution du marché.</w:t>
            </w:r>
          </w:p>
          <w:p w14:paraId="610CCA3D" w14:textId="77777777" w:rsidR="00F75239" w:rsidRPr="006B466B" w:rsidRDefault="00F75239" w:rsidP="006A7574">
            <w:pPr>
              <w:rPr>
                <w:rFonts w:ascii="Georgia" w:hAnsi="Georgia"/>
                <w:sz w:val="20"/>
                <w:szCs w:val="20"/>
                <w:lang w:val="fr-BE"/>
              </w:rPr>
            </w:pPr>
          </w:p>
          <w:p w14:paraId="42B763D2" w14:textId="77777777" w:rsidR="00F75239" w:rsidRPr="006B466B" w:rsidRDefault="00F75239" w:rsidP="006A7574">
            <w:pPr>
              <w:rPr>
                <w:rFonts w:ascii="Georgia" w:hAnsi="Georgia"/>
                <w:sz w:val="20"/>
                <w:szCs w:val="20"/>
                <w:lang w:val="fr-BE"/>
              </w:rPr>
            </w:pPr>
            <w:r w:rsidRPr="006B466B">
              <w:rPr>
                <w:rFonts w:ascii="Georgia" w:hAnsi="Georgia"/>
                <w:sz w:val="20"/>
                <w:szCs w:val="20"/>
                <w:lang w:val="fr-BE"/>
              </w:rPr>
              <w:t>Le cautionnement est fixé à 5% du montant global attribué. Il n'est fourni que lorsque votre offre est acceptée pour l'exécution du marché et ne doit pas être fourni au moment du dépôt de l'offre.</w:t>
            </w:r>
          </w:p>
          <w:p w14:paraId="107D4B14" w14:textId="77777777" w:rsidR="00F75239" w:rsidRPr="006B466B" w:rsidRDefault="00F75239" w:rsidP="006A7574">
            <w:pPr>
              <w:rPr>
                <w:rFonts w:ascii="Georgia" w:hAnsi="Georgia"/>
                <w:sz w:val="20"/>
                <w:szCs w:val="20"/>
                <w:lang w:val="fr-BE"/>
              </w:rPr>
            </w:pPr>
          </w:p>
          <w:p w14:paraId="31B6054D" w14:textId="77777777" w:rsidR="00F75239" w:rsidRPr="006B466B" w:rsidRDefault="00F75239" w:rsidP="006A7574">
            <w:pPr>
              <w:rPr>
                <w:rFonts w:ascii="Georgia" w:hAnsi="Georgia"/>
                <w:sz w:val="20"/>
                <w:szCs w:val="20"/>
                <w:lang w:val="fr-BE"/>
              </w:rPr>
            </w:pPr>
            <w:r w:rsidRPr="006B466B">
              <w:rPr>
                <w:rFonts w:ascii="Georgia" w:hAnsi="Georgia"/>
                <w:sz w:val="20"/>
                <w:szCs w:val="20"/>
                <w:lang w:val="fr-BE"/>
              </w:rPr>
              <w:t>Le montant estimé est confidentiel et ne peut être communiqué, car il constitue un des critères d'attribution du marché.</w:t>
            </w:r>
          </w:p>
          <w:p w14:paraId="179D1B3D" w14:textId="77777777" w:rsidR="00C87D3C" w:rsidRPr="006B466B" w:rsidRDefault="00C87D3C" w:rsidP="006A7574">
            <w:pPr>
              <w:rPr>
                <w:rFonts w:ascii="Georgia" w:hAnsi="Georgia"/>
                <w:sz w:val="20"/>
                <w:szCs w:val="20"/>
                <w:lang w:val="fr-BE"/>
              </w:rPr>
            </w:pPr>
          </w:p>
        </w:tc>
      </w:tr>
      <w:tr w:rsidR="00F42ABA" w:rsidRPr="006B466B" w14:paraId="34DEDDFE" w14:textId="77777777" w:rsidTr="006A7574">
        <w:tc>
          <w:tcPr>
            <w:tcW w:w="4106" w:type="dxa"/>
          </w:tcPr>
          <w:p w14:paraId="0C397A8D" w14:textId="77777777" w:rsidR="00F42ABA" w:rsidRPr="006B466B" w:rsidRDefault="00F42ABA" w:rsidP="00F42ABA">
            <w:pPr>
              <w:pStyle w:val="xxxmsolistparagraph"/>
              <w:numPr>
                <w:ilvl w:val="0"/>
                <w:numId w:val="3"/>
              </w:numPr>
              <w:shd w:val="clear" w:color="auto" w:fill="FFFFFF"/>
              <w:spacing w:before="0" w:beforeAutospacing="0" w:after="0" w:afterAutospacing="0"/>
              <w:rPr>
                <w:rFonts w:ascii="Georgia" w:hAnsi="Georgia" w:cs="Segoe UI"/>
                <w:color w:val="0A2F41"/>
                <w:sz w:val="20"/>
                <w:szCs w:val="20"/>
              </w:rPr>
            </w:pPr>
            <w:r w:rsidRPr="006B466B">
              <w:rPr>
                <w:rFonts w:ascii="Georgia" w:hAnsi="Georgia" w:cs="Calibri"/>
                <w:color w:val="0A2F41"/>
                <w:sz w:val="20"/>
                <w:szCs w:val="20"/>
                <w:bdr w:val="none" w:sz="0" w:space="0" w:color="auto" w:frame="1"/>
              </w:rPr>
              <w:lastRenderedPageBreak/>
              <w:t>Une déclaration de notre expert-comptable confirmant les chiffres disponibles à la BNB est-elle suffisante ?</w:t>
            </w:r>
          </w:p>
          <w:p w14:paraId="141F3071" w14:textId="6C5654AC" w:rsidR="00F42ABA" w:rsidRPr="006B466B" w:rsidRDefault="00F42ABA" w:rsidP="00F42ABA">
            <w:pPr>
              <w:pStyle w:val="xxxmsolistparagraph"/>
              <w:shd w:val="clear" w:color="auto" w:fill="FFFFFF"/>
              <w:spacing w:before="0" w:beforeAutospacing="0" w:after="0" w:afterAutospacing="0"/>
              <w:ind w:left="360"/>
              <w:rPr>
                <w:rFonts w:ascii="Georgia" w:hAnsi="Georgia" w:cs="Segoe UI"/>
                <w:color w:val="0A2F41"/>
                <w:sz w:val="20"/>
                <w:szCs w:val="20"/>
              </w:rPr>
            </w:pPr>
            <w:r w:rsidRPr="006B466B">
              <w:rPr>
                <w:rFonts w:ascii="Georgia" w:hAnsi="Georgia" w:cs="Calibri"/>
                <w:color w:val="0A2F41"/>
                <w:sz w:val="20"/>
                <w:szCs w:val="20"/>
                <w:bdr w:val="none" w:sz="0" w:space="0" w:color="auto" w:frame="1"/>
              </w:rPr>
              <w:t>La ou les annexes sous le point 6.7 doivent-elles être remises.  Il ne semble pas en être fait mention dans la liste exhaustive (6.8)</w:t>
            </w:r>
          </w:p>
          <w:p w14:paraId="3942BDE4" w14:textId="77777777" w:rsidR="00F42ABA" w:rsidRPr="006B466B" w:rsidRDefault="00F42ABA" w:rsidP="00F42ABA">
            <w:pPr>
              <w:pStyle w:val="Paragraphedeliste"/>
              <w:ind w:left="360"/>
              <w:rPr>
                <w:rFonts w:ascii="Georgia" w:hAnsi="Georgia"/>
                <w:sz w:val="20"/>
                <w:szCs w:val="20"/>
                <w:lang w:val="fr-BE"/>
              </w:rPr>
            </w:pPr>
          </w:p>
        </w:tc>
        <w:tc>
          <w:tcPr>
            <w:tcW w:w="4820" w:type="dxa"/>
            <w:vAlign w:val="center"/>
          </w:tcPr>
          <w:p w14:paraId="420FAB6F" w14:textId="77777777" w:rsidR="007F79DD" w:rsidRPr="006B466B" w:rsidRDefault="007F79DD" w:rsidP="006A7574">
            <w:pPr>
              <w:rPr>
                <w:rFonts w:ascii="Georgia" w:hAnsi="Georgia"/>
                <w:sz w:val="20"/>
                <w:szCs w:val="20"/>
                <w:lang w:val="fr-BE"/>
              </w:rPr>
            </w:pPr>
            <w:r w:rsidRPr="006B466B">
              <w:rPr>
                <w:rFonts w:ascii="Georgia" w:hAnsi="Georgia"/>
                <w:sz w:val="20"/>
                <w:szCs w:val="20"/>
                <w:lang w:val="fr-BE"/>
              </w:rPr>
              <w:t>La capacité économique et financière est prouvée par un des documents énoncés au point 6.5 du cahier spécial des charges à savoir : </w:t>
            </w:r>
          </w:p>
          <w:p w14:paraId="6E309790" w14:textId="77777777" w:rsidR="007F79DD" w:rsidRPr="006B466B" w:rsidRDefault="007F79DD" w:rsidP="006A7574">
            <w:pPr>
              <w:rPr>
                <w:rFonts w:ascii="Georgia" w:hAnsi="Georgia"/>
                <w:sz w:val="20"/>
                <w:szCs w:val="20"/>
                <w:lang w:val="fr-BE"/>
              </w:rPr>
            </w:pPr>
          </w:p>
          <w:p w14:paraId="59337223" w14:textId="77777777" w:rsidR="007F79DD" w:rsidRPr="006B466B" w:rsidRDefault="007F79DD" w:rsidP="006A7574">
            <w:pPr>
              <w:numPr>
                <w:ilvl w:val="0"/>
                <w:numId w:val="5"/>
              </w:numPr>
              <w:rPr>
                <w:rFonts w:ascii="Georgia" w:hAnsi="Georgia"/>
                <w:sz w:val="20"/>
                <w:szCs w:val="20"/>
                <w:lang w:val="fr-BE"/>
              </w:rPr>
            </w:pPr>
            <w:r w:rsidRPr="006B466B">
              <w:rPr>
                <w:rFonts w:ascii="Georgia" w:hAnsi="Georgia"/>
                <w:sz w:val="20"/>
                <w:szCs w:val="20"/>
                <w:lang w:val="fr-BE"/>
              </w:rPr>
              <w:t>Fournir les déclarations du chiffre d’affaires à l’Office Burundais des Recettes (OBR) pour les soumissionnaires locaux ou les entités compétentes étatiques pour les soumissionnaires étrangers.</w:t>
            </w:r>
          </w:p>
          <w:p w14:paraId="25AE8840" w14:textId="77777777" w:rsidR="007F79DD" w:rsidRPr="006B466B" w:rsidRDefault="007F79DD" w:rsidP="006A7574">
            <w:pPr>
              <w:numPr>
                <w:ilvl w:val="0"/>
                <w:numId w:val="5"/>
              </w:numPr>
              <w:rPr>
                <w:rFonts w:ascii="Georgia" w:hAnsi="Georgia"/>
                <w:sz w:val="20"/>
                <w:szCs w:val="20"/>
                <w:lang w:val="fr-BE"/>
              </w:rPr>
            </w:pPr>
            <w:r w:rsidRPr="006B466B">
              <w:rPr>
                <w:rFonts w:ascii="Georgia" w:hAnsi="Georgia"/>
                <w:b/>
                <w:bCs/>
                <w:sz w:val="20"/>
                <w:szCs w:val="20"/>
                <w:lang w:val="fr-BE"/>
              </w:rPr>
              <w:t>OU </w:t>
            </w:r>
            <w:r w:rsidRPr="006B466B">
              <w:rPr>
                <w:rFonts w:ascii="Georgia" w:hAnsi="Georgia"/>
                <w:sz w:val="20"/>
                <w:szCs w:val="20"/>
                <w:lang w:val="fr-BE"/>
              </w:rPr>
              <w:t>attestation de capacité financière (ligne de crédit) – Modèle en annexe 6.7.1 (délivrée par la banque suivant le modèle);</w:t>
            </w:r>
          </w:p>
          <w:p w14:paraId="33ADC96E" w14:textId="77777777" w:rsidR="007F79DD" w:rsidRPr="006B466B" w:rsidRDefault="007F79DD" w:rsidP="006A7574">
            <w:pPr>
              <w:numPr>
                <w:ilvl w:val="0"/>
                <w:numId w:val="5"/>
              </w:numPr>
              <w:rPr>
                <w:rFonts w:ascii="Georgia" w:hAnsi="Georgia"/>
                <w:sz w:val="20"/>
                <w:szCs w:val="20"/>
                <w:lang w:val="fr-BE"/>
              </w:rPr>
            </w:pPr>
            <w:r w:rsidRPr="006B466B">
              <w:rPr>
                <w:rFonts w:ascii="Georgia" w:hAnsi="Georgia"/>
                <w:b/>
                <w:bCs/>
                <w:sz w:val="20"/>
                <w:szCs w:val="20"/>
                <w:lang w:val="fr-BE"/>
              </w:rPr>
              <w:t>OU</w:t>
            </w:r>
            <w:r w:rsidRPr="006B466B">
              <w:rPr>
                <w:rFonts w:ascii="Georgia" w:hAnsi="Georgia"/>
                <w:sz w:val="20"/>
                <w:szCs w:val="20"/>
                <w:lang w:val="fr-BE"/>
              </w:rPr>
              <w:t> attestation de capacité financière (fonds propres) – Modèle en annexe 6.7.2 (délivrée par la banque suivant le modèle);</w:t>
            </w:r>
          </w:p>
          <w:p w14:paraId="2D15540F" w14:textId="77777777" w:rsidR="007F79DD" w:rsidRPr="006B466B" w:rsidRDefault="007F79DD" w:rsidP="006A7574">
            <w:pPr>
              <w:rPr>
                <w:rFonts w:ascii="Georgia" w:hAnsi="Georgia"/>
                <w:sz w:val="20"/>
                <w:szCs w:val="20"/>
                <w:lang w:val="fr-BE"/>
              </w:rPr>
            </w:pPr>
          </w:p>
          <w:p w14:paraId="264687C9" w14:textId="77777777" w:rsidR="007F79DD" w:rsidRPr="006B466B" w:rsidRDefault="007F79DD" w:rsidP="006A7574">
            <w:pPr>
              <w:rPr>
                <w:rFonts w:ascii="Georgia" w:hAnsi="Georgia"/>
                <w:sz w:val="20"/>
                <w:szCs w:val="20"/>
                <w:lang w:val="fr-BE"/>
              </w:rPr>
            </w:pPr>
            <w:r w:rsidRPr="006B466B">
              <w:rPr>
                <w:rFonts w:ascii="Georgia" w:hAnsi="Georgia"/>
                <w:sz w:val="20"/>
                <w:szCs w:val="20"/>
                <w:lang w:val="fr-BE"/>
              </w:rPr>
              <w:t>Un de ces documents doit être transmis dans les documents demandés au point 6.8.1 pour la sélection qualitative.</w:t>
            </w:r>
          </w:p>
          <w:p w14:paraId="507BB516" w14:textId="77777777" w:rsidR="00F42ABA" w:rsidRPr="006B466B" w:rsidRDefault="00F42ABA" w:rsidP="006A7574">
            <w:pPr>
              <w:rPr>
                <w:rFonts w:ascii="Georgia" w:hAnsi="Georgia"/>
                <w:sz w:val="20"/>
                <w:szCs w:val="20"/>
                <w:lang w:val="fr-BE"/>
              </w:rPr>
            </w:pPr>
          </w:p>
        </w:tc>
      </w:tr>
      <w:tr w:rsidR="00BE70BF" w:rsidRPr="006B466B" w14:paraId="42C21852" w14:textId="77777777" w:rsidTr="006A7574">
        <w:tc>
          <w:tcPr>
            <w:tcW w:w="4106" w:type="dxa"/>
          </w:tcPr>
          <w:p w14:paraId="4EFC3B72" w14:textId="01FF1D08" w:rsidR="00BE70BF" w:rsidRPr="006B466B" w:rsidRDefault="002F4C76" w:rsidP="00BE70BF">
            <w:pPr>
              <w:pStyle w:val="xxxmsolistparagraph"/>
              <w:numPr>
                <w:ilvl w:val="0"/>
                <w:numId w:val="3"/>
              </w:numPr>
              <w:rPr>
                <w:rFonts w:ascii="Georgia" w:hAnsi="Georgia" w:cs="Calibri"/>
                <w:color w:val="0A2F41"/>
                <w:sz w:val="20"/>
                <w:szCs w:val="20"/>
                <w:bdr w:val="none" w:sz="0" w:space="0" w:color="auto" w:frame="1"/>
              </w:rPr>
            </w:pPr>
            <w:r w:rsidRPr="006B466B">
              <w:rPr>
                <w:rFonts w:ascii="Georgia" w:hAnsi="Georgia" w:cs="Calibri"/>
                <w:color w:val="0A2F41"/>
                <w:sz w:val="20"/>
                <w:szCs w:val="20"/>
                <w:bdr w:val="none" w:sz="0" w:space="0" w:color="auto" w:frame="1"/>
              </w:rPr>
              <w:t>J</w:t>
            </w:r>
            <w:r w:rsidR="00BE70BF" w:rsidRPr="006B466B">
              <w:rPr>
                <w:rFonts w:ascii="Georgia" w:hAnsi="Georgia" w:cs="Calibri"/>
                <w:color w:val="0A2F41"/>
                <w:sz w:val="20"/>
                <w:szCs w:val="20"/>
                <w:bdr w:val="none" w:sz="0" w:space="0" w:color="auto" w:frame="1"/>
              </w:rPr>
              <w:t>e suis en train d'étudier le "CSC BDI23007-10066 : Marché de Services relatif à l’élaboration de référentiels de formation pour les nouveaux métiers et l’amélioration des programmes".</w:t>
            </w:r>
          </w:p>
          <w:p w14:paraId="3D816FDD" w14:textId="77777777" w:rsidR="00BE70BF" w:rsidRPr="006B466B" w:rsidRDefault="00BE70BF" w:rsidP="00BE70BF">
            <w:pPr>
              <w:pStyle w:val="xxxmsolistparagraph"/>
              <w:ind w:left="360"/>
              <w:rPr>
                <w:rFonts w:ascii="Georgia" w:hAnsi="Georgia" w:cs="Calibri"/>
                <w:color w:val="0A2F41"/>
                <w:sz w:val="20"/>
                <w:szCs w:val="20"/>
                <w:bdr w:val="none" w:sz="0" w:space="0" w:color="auto" w:frame="1"/>
              </w:rPr>
            </w:pPr>
            <w:r w:rsidRPr="006B466B">
              <w:rPr>
                <w:rFonts w:ascii="Georgia" w:hAnsi="Georgia" w:cs="Calibri"/>
                <w:color w:val="0A2F41"/>
                <w:sz w:val="20"/>
                <w:szCs w:val="20"/>
                <w:bdr w:val="none" w:sz="0" w:space="0" w:color="auto" w:frame="1"/>
              </w:rPr>
              <w:t>Je viens demander de précision sur cette situation : A la page 58, il est question d'une attestation de capacité financière qui implique l'intervention d'une banque. A la page 60 "Documents à remettre", à propos de preuve de capacité économique et financière, il est mentionné seulement la présentation d'une "Déclaration du chiffre d'affaires aux entités étatiques compétentes". Mon interprétation est que la déclaration du chiffre d'affaires est suffisante pour justifier la capacité économique et financière.</w:t>
            </w:r>
          </w:p>
          <w:p w14:paraId="3D036F61" w14:textId="1BCA8D05" w:rsidR="00BE70BF" w:rsidRPr="006B466B" w:rsidRDefault="00BE70BF" w:rsidP="002109B1">
            <w:pPr>
              <w:pStyle w:val="xxxmsolistparagraph"/>
              <w:ind w:left="360"/>
              <w:rPr>
                <w:rFonts w:ascii="Georgia" w:hAnsi="Georgia" w:cs="Calibri"/>
                <w:color w:val="0A2F41"/>
                <w:sz w:val="20"/>
                <w:szCs w:val="20"/>
                <w:bdr w:val="none" w:sz="0" w:space="0" w:color="auto" w:frame="1"/>
              </w:rPr>
            </w:pPr>
            <w:r w:rsidRPr="006B466B">
              <w:rPr>
                <w:rFonts w:ascii="Georgia" w:hAnsi="Georgia" w:cs="Calibri"/>
                <w:color w:val="0A2F41"/>
                <w:sz w:val="20"/>
                <w:szCs w:val="20"/>
                <w:bdr w:val="none" w:sz="0" w:space="0" w:color="auto" w:frame="1"/>
              </w:rPr>
              <w:t>Je vous prie de m'indiquer l'attitude à tenir.</w:t>
            </w:r>
          </w:p>
        </w:tc>
        <w:tc>
          <w:tcPr>
            <w:tcW w:w="4820" w:type="dxa"/>
            <w:vAlign w:val="center"/>
          </w:tcPr>
          <w:p w14:paraId="06CBDD92" w14:textId="77777777" w:rsidR="002F4C76" w:rsidRPr="006B466B" w:rsidRDefault="002F4C76" w:rsidP="006A7574">
            <w:pPr>
              <w:rPr>
                <w:rFonts w:ascii="Georgia" w:hAnsi="Georgia"/>
                <w:sz w:val="20"/>
                <w:szCs w:val="20"/>
                <w:lang w:val="fr-BE"/>
              </w:rPr>
            </w:pPr>
            <w:r w:rsidRPr="006B466B">
              <w:rPr>
                <w:rFonts w:ascii="Georgia" w:hAnsi="Georgia"/>
                <w:sz w:val="20"/>
                <w:szCs w:val="20"/>
                <w:lang w:val="fr-BE"/>
              </w:rPr>
              <w:t>La capacité économique et financière est prouvée par un des documents énumérés au point 6.5 - dossier de sélection capacité économique et financière à la page 56 du cahier spécial des charges (CSC).</w:t>
            </w:r>
          </w:p>
          <w:p w14:paraId="47D49E1A" w14:textId="77777777" w:rsidR="00BE70BF" w:rsidRPr="006B466B" w:rsidRDefault="00BE70BF" w:rsidP="006A7574">
            <w:pPr>
              <w:rPr>
                <w:rFonts w:ascii="Georgia" w:hAnsi="Georgia"/>
                <w:sz w:val="20"/>
                <w:szCs w:val="20"/>
                <w:lang w:val="fr-BE"/>
              </w:rPr>
            </w:pPr>
          </w:p>
        </w:tc>
      </w:tr>
      <w:tr w:rsidR="002109B1" w:rsidRPr="006B466B" w14:paraId="12699B9A" w14:textId="77777777" w:rsidTr="006A7574">
        <w:tc>
          <w:tcPr>
            <w:tcW w:w="4106" w:type="dxa"/>
          </w:tcPr>
          <w:p w14:paraId="204CB057" w14:textId="5521C480" w:rsidR="002109B1" w:rsidRPr="006B466B" w:rsidRDefault="002109B1" w:rsidP="00BE70BF">
            <w:pPr>
              <w:pStyle w:val="xxxmsolistparagraph"/>
              <w:numPr>
                <w:ilvl w:val="0"/>
                <w:numId w:val="3"/>
              </w:numPr>
              <w:rPr>
                <w:rFonts w:ascii="Georgia" w:hAnsi="Georgia" w:cs="Calibri"/>
                <w:color w:val="0A2F41"/>
                <w:sz w:val="20"/>
                <w:szCs w:val="20"/>
                <w:bdr w:val="none" w:sz="0" w:space="0" w:color="auto" w:frame="1"/>
              </w:rPr>
            </w:pPr>
            <w:r w:rsidRPr="006B466B">
              <w:rPr>
                <w:rFonts w:ascii="Georgia" w:hAnsi="Georgia" w:cs="Calibri"/>
                <w:color w:val="0A2F41"/>
                <w:sz w:val="20"/>
                <w:szCs w:val="20"/>
                <w:bdr w:val="none" w:sz="0" w:space="0" w:color="auto" w:frame="1"/>
              </w:rPr>
              <w:lastRenderedPageBreak/>
              <w:t>Pourriez</w:t>
            </w:r>
            <w:r w:rsidRPr="006B466B">
              <w:rPr>
                <w:rFonts w:ascii="Georgia" w:hAnsi="Georgia" w:cs="Calibri"/>
                <w:b/>
                <w:bCs/>
                <w:color w:val="0A2F41"/>
                <w:sz w:val="20"/>
                <w:szCs w:val="20"/>
                <w:bdr w:val="none" w:sz="0" w:space="0" w:color="auto" w:frame="1"/>
              </w:rPr>
              <w:t xml:space="preserve">-vous préciser si les documents sources (référentiels existants, rapports de </w:t>
            </w:r>
            <w:r w:rsidRPr="006B466B">
              <w:rPr>
                <w:rFonts w:ascii="Georgia" w:hAnsi="Georgia" w:cs="Calibri"/>
                <w:color w:val="0A2F41"/>
                <w:sz w:val="20"/>
                <w:szCs w:val="20"/>
                <w:bdr w:val="none" w:sz="0" w:space="0" w:color="auto" w:frame="1"/>
              </w:rPr>
              <w:t>diagnostic</w:t>
            </w:r>
            <w:r w:rsidRPr="006B466B">
              <w:rPr>
                <w:rFonts w:ascii="Georgia" w:hAnsi="Georgia" w:cs="Calibri"/>
                <w:b/>
                <w:bCs/>
                <w:color w:val="0A2F41"/>
                <w:sz w:val="20"/>
                <w:szCs w:val="20"/>
                <w:bdr w:val="none" w:sz="0" w:space="0" w:color="auto" w:frame="1"/>
              </w:rPr>
              <w:t>, fiches métiers antérieures) seront mis à disposition du prestataire retenu avant le démarrage effectif des travaux ?</w:t>
            </w:r>
          </w:p>
        </w:tc>
        <w:tc>
          <w:tcPr>
            <w:tcW w:w="4820" w:type="dxa"/>
            <w:vAlign w:val="center"/>
          </w:tcPr>
          <w:p w14:paraId="3915BFBE" w14:textId="084C9650" w:rsidR="002109B1" w:rsidRPr="006B466B" w:rsidRDefault="00DA0FA1" w:rsidP="006A7574">
            <w:pPr>
              <w:rPr>
                <w:rFonts w:ascii="Georgia" w:hAnsi="Georgia"/>
                <w:sz w:val="20"/>
                <w:szCs w:val="20"/>
                <w:lang w:val="fr-BE"/>
              </w:rPr>
            </w:pPr>
            <w:r w:rsidRPr="006B466B">
              <w:rPr>
                <w:rFonts w:ascii="Georgia" w:hAnsi="Georgia"/>
                <w:sz w:val="20"/>
                <w:szCs w:val="20"/>
                <w:lang w:val="fr-FR"/>
              </w:rPr>
              <w:t>La liste de la documentation à rendre disponible sera établie lors de la réunion de cadrage et les documents rendus disponibles</w:t>
            </w:r>
          </w:p>
        </w:tc>
      </w:tr>
      <w:tr w:rsidR="00DA0FA1" w:rsidRPr="006B466B" w14:paraId="1FE3B37F" w14:textId="77777777" w:rsidTr="006A7574">
        <w:tc>
          <w:tcPr>
            <w:tcW w:w="4106" w:type="dxa"/>
          </w:tcPr>
          <w:p w14:paraId="7E773FC6" w14:textId="77777777" w:rsidR="00DA0FA1" w:rsidRPr="006B466B" w:rsidRDefault="00DA0FA1" w:rsidP="00DA0FA1">
            <w:pPr>
              <w:ind w:left="125"/>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b/>
                <w:bCs/>
                <w:kern w:val="0"/>
                <w:sz w:val="20"/>
                <w:szCs w:val="20"/>
                <w:lang w:val="fr-FR" w:eastAsia="fr-FR"/>
                <w14:ligatures w14:val="none"/>
              </w:rPr>
              <w:t>Afin d’établir une estimation réaliste des ressources à mobiliser, nous souhaiterions obtenir votre vision et vos attentes précises sur les points suivants :</w:t>
            </w:r>
          </w:p>
          <w:p w14:paraId="3FD6926E" w14:textId="77777777" w:rsidR="00DA0FA1" w:rsidRPr="006B466B" w:rsidRDefault="00DA0FA1" w:rsidP="00DA0FA1">
            <w:pPr>
              <w:rPr>
                <w:rFonts w:ascii="Georgia" w:eastAsia="Times New Roman" w:hAnsi="Georgia" w:cs="Times New Roman"/>
                <w:b/>
                <w:bCs/>
                <w:kern w:val="0"/>
                <w:sz w:val="20"/>
                <w:szCs w:val="20"/>
                <w:lang w:val="fr-FR" w:eastAsia="fr-FR"/>
                <w14:ligatures w14:val="none"/>
              </w:rPr>
            </w:pPr>
          </w:p>
          <w:p w14:paraId="25BC5769" w14:textId="77777777" w:rsidR="00DA0FA1" w:rsidRPr="006B466B" w:rsidRDefault="00DA0FA1" w:rsidP="00DA0FA1">
            <w:pPr>
              <w:numPr>
                <w:ilvl w:val="0"/>
                <w:numId w:val="3"/>
              </w:numPr>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kern w:val="0"/>
                <w:sz w:val="20"/>
                <w:szCs w:val="20"/>
                <w:lang w:val="fr-FR" w:eastAsia="fr-FR"/>
                <w14:ligatures w14:val="none"/>
              </w:rPr>
              <w:t>Pourriez-vous préciser si l’« écriture » mentionnée dans le CSC implique :</w:t>
            </w:r>
          </w:p>
          <w:p w14:paraId="45721BA1" w14:textId="77777777" w:rsidR="00DA0FA1" w:rsidRPr="006B466B" w:rsidRDefault="00DA0FA1" w:rsidP="00DA0FA1">
            <w:pPr>
              <w:ind w:left="720"/>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kern w:val="0"/>
                <w:sz w:val="20"/>
                <w:szCs w:val="20"/>
                <w:lang w:val="fr-FR" w:eastAsia="fr-FR"/>
                <w14:ligatures w14:val="none"/>
              </w:rPr>
              <w:t>- des contributions ponctuelles des méthodologues nationaux sur les contenus,</w:t>
            </w:r>
          </w:p>
          <w:p w14:paraId="459ACA14" w14:textId="77777777" w:rsidR="00DA0FA1" w:rsidRPr="006B466B" w:rsidRDefault="00DA0FA1" w:rsidP="00DA0FA1">
            <w:pPr>
              <w:ind w:left="720"/>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kern w:val="0"/>
                <w:sz w:val="20"/>
                <w:szCs w:val="20"/>
                <w:lang w:val="fr-FR" w:eastAsia="fr-FR"/>
                <w14:ligatures w14:val="none"/>
              </w:rPr>
              <w:t>- ou une participation exhaustive et systématique à toutes les étapes de rédaction des référentiels ?</w:t>
            </w:r>
          </w:p>
          <w:p w14:paraId="5E472BE5" w14:textId="77777777" w:rsidR="00DA0FA1" w:rsidRPr="006B466B" w:rsidRDefault="00DA0FA1" w:rsidP="00DA0FA1">
            <w:pPr>
              <w:numPr>
                <w:ilvl w:val="0"/>
                <w:numId w:val="3"/>
              </w:numPr>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kern w:val="0"/>
                <w:sz w:val="20"/>
                <w:szCs w:val="20"/>
                <w:lang w:val="fr-FR" w:eastAsia="fr-FR"/>
                <w14:ligatures w14:val="none"/>
              </w:rPr>
              <w:t>Pourriez-vous préciser le rôle des méthodologues nationaux dans le déroulé du processus de développement curriculaire (niveau de mobilisation attendu) ?</w:t>
            </w:r>
          </w:p>
          <w:p w14:paraId="6B6BC6BB" w14:textId="77777777" w:rsidR="00DA0FA1" w:rsidRPr="006B466B" w:rsidRDefault="00DA0FA1" w:rsidP="00DA0FA1">
            <w:pPr>
              <w:rPr>
                <w:rFonts w:ascii="Georgia" w:eastAsia="Times New Roman" w:hAnsi="Georgia" w:cs="Times New Roman"/>
                <w:kern w:val="0"/>
                <w:sz w:val="20"/>
                <w:szCs w:val="20"/>
                <w:lang w:val="fr-FR" w:eastAsia="fr-FR"/>
                <w14:ligatures w14:val="none"/>
              </w:rPr>
            </w:pPr>
          </w:p>
          <w:p w14:paraId="20B3EC45" w14:textId="77777777" w:rsidR="00DA0FA1" w:rsidRPr="006B466B" w:rsidRDefault="00DA0FA1" w:rsidP="00DA0FA1">
            <w:pPr>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kern w:val="0"/>
                <w:sz w:val="20"/>
                <w:szCs w:val="20"/>
                <w:lang w:val="fr-FR" w:eastAsia="fr-FR"/>
                <w14:ligatures w14:val="none"/>
              </w:rPr>
              <w:t>En termes de volumétrie, pouvez-vous confirmer que :</w:t>
            </w:r>
          </w:p>
          <w:p w14:paraId="317BE21E" w14:textId="77777777" w:rsidR="00DA0FA1" w:rsidRPr="006B466B" w:rsidRDefault="00DA0FA1" w:rsidP="00DA0FA1">
            <w:pPr>
              <w:numPr>
                <w:ilvl w:val="0"/>
                <w:numId w:val="3"/>
              </w:numPr>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kern w:val="0"/>
                <w:sz w:val="20"/>
                <w:szCs w:val="20"/>
                <w:lang w:val="fr-FR" w:eastAsia="fr-FR"/>
                <w14:ligatures w14:val="none"/>
              </w:rPr>
              <w:t xml:space="preserve">L’exigence est fixe et non modifiable : </w:t>
            </w:r>
            <w:r w:rsidRPr="006B466B">
              <w:rPr>
                <w:rFonts w:ascii="Georgia" w:eastAsia="Times New Roman" w:hAnsi="Georgia" w:cs="Times New Roman"/>
                <w:b/>
                <w:bCs/>
                <w:kern w:val="0"/>
                <w:sz w:val="20"/>
                <w:szCs w:val="20"/>
                <w:lang w:val="fr-FR" w:eastAsia="fr-FR"/>
                <w14:ligatures w14:val="none"/>
              </w:rPr>
              <w:t>1 méthodologue + 3 professionnels par métier</w:t>
            </w:r>
            <w:r w:rsidRPr="006B466B">
              <w:rPr>
                <w:rFonts w:ascii="Georgia" w:eastAsia="Times New Roman" w:hAnsi="Georgia" w:cs="Times New Roman"/>
                <w:kern w:val="0"/>
                <w:sz w:val="20"/>
                <w:szCs w:val="20"/>
                <w:lang w:val="fr-FR" w:eastAsia="fr-FR"/>
                <w14:ligatures w14:val="none"/>
              </w:rPr>
              <w:t xml:space="preserve"> (soit 40 personnes pour les 10 métiers) ou si le prestataire peut proposer une modulation selon les spécificités des métiers (notamment pour les métiers artisanaux où le tissu professionnel est variable) ?</w:t>
            </w:r>
          </w:p>
          <w:p w14:paraId="789E6493" w14:textId="77777777" w:rsidR="00DA0FA1" w:rsidRPr="006B466B" w:rsidRDefault="00DA0FA1" w:rsidP="00DA0FA1">
            <w:pPr>
              <w:ind w:left="720"/>
              <w:rPr>
                <w:rFonts w:ascii="Georgia" w:eastAsia="Times New Roman" w:hAnsi="Georgia" w:cs="Times New Roman"/>
                <w:kern w:val="0"/>
                <w:sz w:val="20"/>
                <w:szCs w:val="20"/>
                <w:lang w:val="fr-FR" w:eastAsia="fr-FR"/>
                <w14:ligatures w14:val="none"/>
              </w:rPr>
            </w:pPr>
          </w:p>
          <w:p w14:paraId="6F8546C6" w14:textId="77777777" w:rsidR="00DA0FA1" w:rsidRPr="006B466B" w:rsidRDefault="00DA0FA1" w:rsidP="00DA0FA1">
            <w:pPr>
              <w:ind w:left="125"/>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kern w:val="0"/>
                <w:sz w:val="20"/>
                <w:szCs w:val="20"/>
                <w:lang w:val="fr-FR" w:eastAsia="fr-FR"/>
                <w14:ligatures w14:val="none"/>
              </w:rPr>
              <w:t xml:space="preserve">Concernant le forfait : pourriez-vous clarifier </w:t>
            </w:r>
            <w:r w:rsidRPr="006B466B">
              <w:rPr>
                <w:rFonts w:ascii="Georgia" w:eastAsia="Times New Roman" w:hAnsi="Georgia" w:cs="Times New Roman"/>
                <w:b/>
                <w:bCs/>
                <w:kern w:val="0"/>
                <w:sz w:val="20"/>
                <w:szCs w:val="20"/>
                <w:lang w:val="fr-FR" w:eastAsia="fr-FR"/>
                <w14:ligatures w14:val="none"/>
              </w:rPr>
              <w:t>ce que doit exactement couvrir ce forfait</w:t>
            </w:r>
            <w:r w:rsidRPr="006B466B">
              <w:rPr>
                <w:rFonts w:ascii="Georgia" w:eastAsia="Times New Roman" w:hAnsi="Georgia" w:cs="Times New Roman"/>
                <w:kern w:val="0"/>
                <w:sz w:val="20"/>
                <w:szCs w:val="20"/>
                <w:lang w:val="fr-FR" w:eastAsia="fr-FR"/>
                <w14:ligatures w14:val="none"/>
              </w:rPr>
              <w:t>, notamment :</w:t>
            </w:r>
          </w:p>
          <w:p w14:paraId="66F8FF02" w14:textId="77777777" w:rsidR="00DA0FA1" w:rsidRPr="006B466B" w:rsidRDefault="00DA0FA1" w:rsidP="00DA0FA1">
            <w:pPr>
              <w:numPr>
                <w:ilvl w:val="0"/>
                <w:numId w:val="3"/>
              </w:numPr>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kern w:val="0"/>
                <w:sz w:val="20"/>
                <w:szCs w:val="20"/>
                <w:lang w:val="fr-FR" w:eastAsia="fr-FR"/>
                <w14:ligatures w14:val="none"/>
              </w:rPr>
              <w:t>Temps de consultation des professionnels (nombre de sessions attendues) ?</w:t>
            </w:r>
          </w:p>
          <w:p w14:paraId="795BCAE9" w14:textId="77777777" w:rsidR="00DA0FA1" w:rsidRPr="006B466B" w:rsidRDefault="00DA0FA1" w:rsidP="00DA0FA1">
            <w:pPr>
              <w:numPr>
                <w:ilvl w:val="0"/>
                <w:numId w:val="3"/>
              </w:numPr>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kern w:val="0"/>
                <w:sz w:val="20"/>
                <w:szCs w:val="20"/>
                <w:lang w:val="fr-FR" w:eastAsia="fr-FR"/>
                <w14:ligatures w14:val="none"/>
              </w:rPr>
              <w:t>Contribution rédactionnelle ou de validation aussi bien des méthodologues que des professionnels par métier ?</w:t>
            </w:r>
          </w:p>
          <w:p w14:paraId="51844F05" w14:textId="77777777" w:rsidR="00DA0FA1" w:rsidRPr="006B466B" w:rsidRDefault="00DA0FA1" w:rsidP="00DA0FA1">
            <w:pPr>
              <w:numPr>
                <w:ilvl w:val="0"/>
                <w:numId w:val="3"/>
              </w:numPr>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kern w:val="0"/>
                <w:sz w:val="20"/>
                <w:szCs w:val="20"/>
                <w:lang w:val="fr-FR" w:eastAsia="fr-FR"/>
                <w14:ligatures w14:val="none"/>
              </w:rPr>
              <w:t>Volume attendu d’interactions (réunions, relectures, ateliers internes) ?</w:t>
            </w:r>
          </w:p>
          <w:p w14:paraId="5BD84EC1" w14:textId="77777777" w:rsidR="00DA0FA1" w:rsidRPr="006B466B" w:rsidRDefault="00DA0FA1" w:rsidP="00DA0FA1">
            <w:pPr>
              <w:numPr>
                <w:ilvl w:val="0"/>
                <w:numId w:val="3"/>
              </w:numPr>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kern w:val="0"/>
                <w:sz w:val="20"/>
                <w:szCs w:val="20"/>
                <w:lang w:val="fr-FR" w:eastAsia="fr-FR"/>
                <w14:ligatures w14:val="none"/>
              </w:rPr>
              <w:t>Coûts indirects liés à leur mobilisation ?</w:t>
            </w:r>
          </w:p>
          <w:p w14:paraId="14521716" w14:textId="77777777" w:rsidR="00DA0FA1" w:rsidRPr="006B466B" w:rsidRDefault="00DA0FA1" w:rsidP="00DA0FA1">
            <w:pPr>
              <w:rPr>
                <w:rFonts w:ascii="Georgia" w:eastAsia="Times New Roman" w:hAnsi="Georgia" w:cs="Times New Roman"/>
                <w:kern w:val="0"/>
                <w:sz w:val="20"/>
                <w:szCs w:val="20"/>
                <w:lang w:val="fr-FR" w:eastAsia="fr-FR"/>
                <w14:ligatures w14:val="none"/>
              </w:rPr>
            </w:pPr>
          </w:p>
          <w:p w14:paraId="2C4C59B8" w14:textId="77777777" w:rsidR="00DA0FA1" w:rsidRPr="006B466B" w:rsidRDefault="00DA0FA1" w:rsidP="00DA0FA1">
            <w:pPr>
              <w:ind w:left="125"/>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kern w:val="0"/>
                <w:sz w:val="20"/>
                <w:szCs w:val="20"/>
                <w:lang w:val="fr-FR" w:eastAsia="fr-FR"/>
                <w14:ligatures w14:val="none"/>
              </w:rPr>
              <w:t>Pourriez-vous confirmer si :</w:t>
            </w:r>
          </w:p>
          <w:p w14:paraId="081AC090" w14:textId="77777777" w:rsidR="00DA0FA1" w:rsidRPr="006B466B" w:rsidRDefault="00DA0FA1" w:rsidP="00DA0FA1">
            <w:pPr>
              <w:numPr>
                <w:ilvl w:val="0"/>
                <w:numId w:val="3"/>
              </w:numPr>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kern w:val="0"/>
                <w:sz w:val="20"/>
                <w:szCs w:val="20"/>
                <w:lang w:val="fr-FR" w:eastAsia="fr-FR"/>
                <w14:ligatures w14:val="none"/>
              </w:rPr>
              <w:t xml:space="preserve">Ces ressources doivent être </w:t>
            </w:r>
            <w:r w:rsidRPr="006B466B">
              <w:rPr>
                <w:rFonts w:ascii="Georgia" w:eastAsia="Times New Roman" w:hAnsi="Georgia" w:cs="Times New Roman"/>
                <w:b/>
                <w:bCs/>
                <w:kern w:val="0"/>
                <w:sz w:val="20"/>
                <w:szCs w:val="20"/>
                <w:lang w:val="fr-FR" w:eastAsia="fr-FR"/>
                <w14:ligatures w14:val="none"/>
              </w:rPr>
              <w:t>intégralement financées</w:t>
            </w:r>
            <w:r w:rsidRPr="006B466B">
              <w:rPr>
                <w:rFonts w:ascii="Georgia" w:eastAsia="Times New Roman" w:hAnsi="Georgia" w:cs="Times New Roman"/>
                <w:kern w:val="0"/>
                <w:sz w:val="20"/>
                <w:szCs w:val="20"/>
                <w:lang w:val="fr-FR" w:eastAsia="fr-FR"/>
                <w14:ligatures w14:val="none"/>
              </w:rPr>
              <w:t xml:space="preserve"> par le prestataire dans le cadre du forfait et si </w:t>
            </w:r>
            <w:r w:rsidRPr="006B466B">
              <w:rPr>
                <w:rFonts w:ascii="Georgia" w:eastAsia="Times New Roman" w:hAnsi="Georgia" w:cs="Times New Roman"/>
                <w:kern w:val="0"/>
                <w:sz w:val="20"/>
                <w:szCs w:val="20"/>
                <w:lang w:val="fr-FR" w:eastAsia="fr-FR"/>
                <w14:ligatures w14:val="none"/>
              </w:rPr>
              <w:lastRenderedPageBreak/>
              <w:t xml:space="preserve">leur intervention doit ou non être comptabilisée dans les </w:t>
            </w:r>
            <w:r w:rsidRPr="006B466B">
              <w:rPr>
                <w:rFonts w:ascii="Georgia" w:eastAsia="Times New Roman" w:hAnsi="Georgia" w:cs="Times New Roman"/>
                <w:b/>
                <w:bCs/>
                <w:kern w:val="0"/>
                <w:sz w:val="20"/>
                <w:szCs w:val="20"/>
                <w:lang w:val="fr-FR" w:eastAsia="fr-FR"/>
                <w14:ligatures w14:val="none"/>
              </w:rPr>
              <w:t>430 personnes-jours maximum</w:t>
            </w:r>
            <w:r w:rsidRPr="006B466B">
              <w:rPr>
                <w:rFonts w:ascii="Georgia" w:eastAsia="Times New Roman" w:hAnsi="Georgia" w:cs="Times New Roman"/>
                <w:kern w:val="0"/>
                <w:sz w:val="20"/>
                <w:szCs w:val="20"/>
                <w:lang w:val="fr-FR" w:eastAsia="fr-FR"/>
                <w14:ligatures w14:val="none"/>
              </w:rPr>
              <w:t xml:space="preserve"> prévus au CSC ?</w:t>
            </w:r>
          </w:p>
          <w:p w14:paraId="055A0A31" w14:textId="77777777" w:rsidR="00DA0FA1" w:rsidRPr="006B466B" w:rsidRDefault="00DA0FA1" w:rsidP="00DA0FA1">
            <w:pPr>
              <w:ind w:left="360"/>
              <w:rPr>
                <w:rFonts w:ascii="Georgia" w:eastAsia="Times New Roman" w:hAnsi="Georgia" w:cs="Times New Roman"/>
                <w:kern w:val="0"/>
                <w:sz w:val="20"/>
                <w:szCs w:val="20"/>
                <w:lang w:val="fr-FR" w:eastAsia="fr-FR"/>
                <w14:ligatures w14:val="none"/>
              </w:rPr>
            </w:pPr>
          </w:p>
          <w:p w14:paraId="07DC7373" w14:textId="6A459DEA" w:rsidR="00DA0FA1" w:rsidRPr="006B466B" w:rsidRDefault="00DA0FA1" w:rsidP="00DA0FA1">
            <w:pPr>
              <w:pStyle w:val="xxxmsolistparagraph"/>
              <w:numPr>
                <w:ilvl w:val="0"/>
                <w:numId w:val="3"/>
              </w:numPr>
              <w:rPr>
                <w:rFonts w:ascii="Georgia" w:hAnsi="Georgia" w:cs="Calibri"/>
                <w:color w:val="0A2F41"/>
                <w:sz w:val="20"/>
                <w:szCs w:val="20"/>
                <w:bdr w:val="none" w:sz="0" w:space="0" w:color="auto" w:frame="1"/>
              </w:rPr>
            </w:pPr>
            <w:r w:rsidRPr="006B466B">
              <w:rPr>
                <w:rFonts w:ascii="Georgia" w:hAnsi="Georgia"/>
                <w:sz w:val="20"/>
                <w:szCs w:val="20"/>
                <w:lang w:eastAsia="en-US"/>
              </w:rPr>
              <w:t>Enfin, pourriez-vous préciser si les CV des méthodologues nationaux et professionnels métier sont attendus au stade de l’offre ? après attribution ? ou s’il suffit à ce stade de décrire le processus d’identification et de mobilisation en s’appuyant sur la contribution et ressources des commanditaires ?</w:t>
            </w:r>
          </w:p>
        </w:tc>
        <w:tc>
          <w:tcPr>
            <w:tcW w:w="4820" w:type="dxa"/>
            <w:vAlign w:val="center"/>
          </w:tcPr>
          <w:p w14:paraId="5619BFD6" w14:textId="77777777" w:rsidR="00DA0FA1" w:rsidRPr="006B466B" w:rsidRDefault="00DA0FA1" w:rsidP="006A7574">
            <w:pPr>
              <w:rPr>
                <w:rFonts w:ascii="Georgia" w:hAnsi="Georgia"/>
                <w:sz w:val="20"/>
                <w:szCs w:val="20"/>
                <w:lang w:val="fr-FR"/>
              </w:rPr>
            </w:pPr>
          </w:p>
          <w:p w14:paraId="34E164FD" w14:textId="77777777" w:rsidR="00DA0FA1" w:rsidRPr="006B466B" w:rsidRDefault="00DA0FA1" w:rsidP="006A7574">
            <w:pPr>
              <w:ind w:left="720"/>
              <w:rPr>
                <w:rFonts w:ascii="Georgia" w:hAnsi="Georgia"/>
                <w:sz w:val="20"/>
                <w:szCs w:val="20"/>
                <w:lang w:val="fr-FR"/>
              </w:rPr>
            </w:pPr>
            <w:r w:rsidRPr="006B466B">
              <w:rPr>
                <w:rFonts w:ascii="Georgia" w:hAnsi="Georgia"/>
                <w:sz w:val="20"/>
                <w:szCs w:val="20"/>
                <w:lang w:val="fr-FR"/>
              </w:rPr>
              <w:t>A définir par le soumissionnaire selon son approche</w:t>
            </w:r>
          </w:p>
          <w:p w14:paraId="45EC0C23" w14:textId="77777777" w:rsidR="00DA0FA1" w:rsidRPr="006B466B" w:rsidRDefault="00DA0FA1" w:rsidP="006A7574">
            <w:pPr>
              <w:rPr>
                <w:rFonts w:ascii="Georgia" w:hAnsi="Georgia"/>
                <w:sz w:val="20"/>
                <w:szCs w:val="20"/>
                <w:lang w:val="fr-FR"/>
              </w:rPr>
            </w:pPr>
          </w:p>
          <w:p w14:paraId="1F24AD14" w14:textId="397D53B9" w:rsidR="00DA0FA1" w:rsidRPr="006B466B" w:rsidRDefault="00DA0FA1" w:rsidP="006A7574">
            <w:pPr>
              <w:ind w:left="720"/>
              <w:rPr>
                <w:rFonts w:ascii="Georgia" w:hAnsi="Georgia"/>
                <w:sz w:val="20"/>
                <w:szCs w:val="20"/>
                <w:lang w:val="fr-FR"/>
              </w:rPr>
            </w:pPr>
            <w:r w:rsidRPr="006B466B">
              <w:rPr>
                <w:rFonts w:ascii="Georgia" w:hAnsi="Georgia"/>
                <w:sz w:val="20"/>
                <w:szCs w:val="20"/>
                <w:lang w:val="fr-FR"/>
              </w:rPr>
              <w:t>A définir par le soumissionnaire selon son approche</w:t>
            </w:r>
          </w:p>
          <w:p w14:paraId="5D109182" w14:textId="77777777" w:rsidR="00DA0FA1" w:rsidRPr="006B466B" w:rsidRDefault="00DA0FA1" w:rsidP="006A7574">
            <w:pPr>
              <w:rPr>
                <w:rFonts w:ascii="Georgia" w:hAnsi="Georgia"/>
                <w:sz w:val="20"/>
                <w:szCs w:val="20"/>
                <w:lang w:val="fr-FR"/>
              </w:rPr>
            </w:pPr>
          </w:p>
          <w:p w14:paraId="5FAB1FBC" w14:textId="77777777" w:rsidR="00DA0FA1" w:rsidRPr="006B466B" w:rsidRDefault="00DA0FA1" w:rsidP="006A7574">
            <w:pPr>
              <w:ind w:left="720"/>
              <w:rPr>
                <w:rFonts w:ascii="Georgia" w:hAnsi="Georgia"/>
                <w:sz w:val="20"/>
                <w:szCs w:val="20"/>
                <w:lang w:val="fr-FR"/>
              </w:rPr>
            </w:pPr>
            <w:r w:rsidRPr="006B466B">
              <w:rPr>
                <w:rFonts w:ascii="Georgia" w:hAnsi="Georgia"/>
                <w:sz w:val="20"/>
                <w:szCs w:val="20"/>
                <w:lang w:val="fr-FR"/>
              </w:rPr>
              <w:t>A l’appréciation du soumissionnaire dans la limite de la masse horaire FIXE du CSC</w:t>
            </w:r>
          </w:p>
          <w:p w14:paraId="42ED64A2" w14:textId="77777777" w:rsidR="00DA0FA1" w:rsidRPr="006B466B" w:rsidRDefault="00DA0FA1" w:rsidP="006A7574">
            <w:pPr>
              <w:rPr>
                <w:rFonts w:ascii="Georgia" w:hAnsi="Georgia"/>
                <w:sz w:val="20"/>
                <w:szCs w:val="20"/>
                <w:lang w:val="fr-FR"/>
              </w:rPr>
            </w:pPr>
          </w:p>
          <w:p w14:paraId="283A85ED" w14:textId="77777777" w:rsidR="00DA0FA1" w:rsidRPr="006B466B" w:rsidRDefault="00DA0FA1" w:rsidP="006A7574">
            <w:pPr>
              <w:rPr>
                <w:rFonts w:ascii="Georgia" w:hAnsi="Georgia"/>
                <w:sz w:val="20"/>
                <w:szCs w:val="20"/>
                <w:lang w:val="fr-FR"/>
              </w:rPr>
            </w:pPr>
          </w:p>
          <w:p w14:paraId="68309E3A" w14:textId="77777777" w:rsidR="00DA0FA1" w:rsidRPr="006B466B" w:rsidRDefault="00DA0FA1" w:rsidP="006A7574">
            <w:pPr>
              <w:rPr>
                <w:rFonts w:ascii="Georgia" w:hAnsi="Georgia"/>
                <w:sz w:val="20"/>
                <w:szCs w:val="20"/>
                <w:lang w:val="fr-FR"/>
              </w:rPr>
            </w:pPr>
          </w:p>
          <w:p w14:paraId="2C32FBB3" w14:textId="77777777" w:rsidR="00DA0FA1" w:rsidRPr="006B466B" w:rsidRDefault="00DA0FA1" w:rsidP="006A7574">
            <w:pPr>
              <w:ind w:left="720"/>
              <w:rPr>
                <w:rFonts w:ascii="Georgia" w:hAnsi="Georgia"/>
                <w:sz w:val="20"/>
                <w:szCs w:val="20"/>
                <w:lang w:val="fr-FR"/>
              </w:rPr>
            </w:pPr>
            <w:r w:rsidRPr="006B466B">
              <w:rPr>
                <w:rFonts w:ascii="Georgia" w:hAnsi="Georgia"/>
                <w:sz w:val="20"/>
                <w:szCs w:val="20"/>
                <w:lang w:val="fr-FR"/>
              </w:rPr>
              <w:t>A l’appréciation du soumissionnaire dans la limite de la masse horaire FIXE du CSC</w:t>
            </w:r>
          </w:p>
          <w:p w14:paraId="3AEED9B2" w14:textId="77777777" w:rsidR="00DA0FA1" w:rsidRPr="006B466B" w:rsidRDefault="00DA0FA1" w:rsidP="006A7574">
            <w:pPr>
              <w:ind w:left="720"/>
              <w:rPr>
                <w:rFonts w:ascii="Georgia" w:hAnsi="Georgia"/>
                <w:sz w:val="20"/>
                <w:szCs w:val="20"/>
                <w:lang w:val="fr-FR"/>
              </w:rPr>
            </w:pPr>
            <w:r w:rsidRPr="006B466B">
              <w:rPr>
                <w:rFonts w:ascii="Georgia" w:hAnsi="Georgia"/>
                <w:sz w:val="20"/>
                <w:szCs w:val="20"/>
                <w:lang w:val="fr-FR"/>
              </w:rPr>
              <w:t>A l’appréciation du soumissionnaire dans la limite de la masse horaire FIXE du CSC</w:t>
            </w:r>
          </w:p>
          <w:p w14:paraId="78224911" w14:textId="77777777" w:rsidR="00DA0FA1" w:rsidRPr="006B466B" w:rsidRDefault="00DA0FA1" w:rsidP="006A7574">
            <w:pPr>
              <w:ind w:left="720"/>
              <w:rPr>
                <w:rFonts w:ascii="Georgia" w:hAnsi="Georgia"/>
                <w:sz w:val="20"/>
                <w:szCs w:val="20"/>
                <w:lang w:val="fr-FR"/>
              </w:rPr>
            </w:pPr>
            <w:r w:rsidRPr="006B466B">
              <w:rPr>
                <w:rFonts w:ascii="Georgia" w:hAnsi="Georgia"/>
                <w:sz w:val="20"/>
                <w:szCs w:val="20"/>
                <w:lang w:val="fr-FR"/>
              </w:rPr>
              <w:t>A l’appréciation du soumissionnaire dans la limite de la masse horaire FIXE du CSC</w:t>
            </w:r>
          </w:p>
          <w:p w14:paraId="565A1559" w14:textId="77777777" w:rsidR="00DA0FA1" w:rsidRPr="006B466B" w:rsidRDefault="00DA0FA1" w:rsidP="006A7574">
            <w:pPr>
              <w:ind w:left="720"/>
              <w:rPr>
                <w:rFonts w:ascii="Georgia" w:hAnsi="Georgia"/>
                <w:sz w:val="20"/>
                <w:szCs w:val="20"/>
                <w:lang w:val="fr-FR"/>
              </w:rPr>
            </w:pPr>
            <w:r w:rsidRPr="006B466B">
              <w:rPr>
                <w:rFonts w:ascii="Georgia" w:hAnsi="Georgia"/>
                <w:sz w:val="20"/>
                <w:szCs w:val="20"/>
                <w:lang w:val="fr-FR"/>
              </w:rPr>
              <w:t>A intégrer dans les HJ</w:t>
            </w:r>
          </w:p>
          <w:p w14:paraId="58F1E10E" w14:textId="77777777" w:rsidR="00DA0FA1" w:rsidRPr="006B466B" w:rsidRDefault="00DA0FA1" w:rsidP="006A7574">
            <w:pPr>
              <w:rPr>
                <w:rFonts w:ascii="Georgia" w:hAnsi="Georgia"/>
                <w:sz w:val="20"/>
                <w:szCs w:val="20"/>
                <w:lang w:val="fr-FR"/>
              </w:rPr>
            </w:pPr>
          </w:p>
          <w:p w14:paraId="5253BB3D" w14:textId="77777777" w:rsidR="00DA0FA1" w:rsidRPr="006B466B" w:rsidRDefault="00DA0FA1" w:rsidP="006A7574">
            <w:pPr>
              <w:rPr>
                <w:rFonts w:ascii="Georgia" w:hAnsi="Georgia"/>
                <w:sz w:val="20"/>
                <w:szCs w:val="20"/>
                <w:lang w:val="fr-FR"/>
              </w:rPr>
            </w:pPr>
          </w:p>
          <w:p w14:paraId="7142F53D" w14:textId="77777777" w:rsidR="00DA0FA1" w:rsidRPr="006B466B" w:rsidRDefault="00DA0FA1" w:rsidP="006A7574">
            <w:pPr>
              <w:ind w:left="720"/>
              <w:rPr>
                <w:rFonts w:ascii="Georgia" w:hAnsi="Georgia"/>
                <w:sz w:val="20"/>
                <w:szCs w:val="20"/>
                <w:lang w:val="fr-FR"/>
              </w:rPr>
            </w:pPr>
            <w:r w:rsidRPr="006B466B">
              <w:rPr>
                <w:rFonts w:ascii="Georgia" w:hAnsi="Georgia"/>
                <w:sz w:val="20"/>
                <w:szCs w:val="20"/>
                <w:lang w:val="fr-FR"/>
              </w:rPr>
              <w:t>Confirmé</w:t>
            </w:r>
          </w:p>
          <w:p w14:paraId="30C71C72" w14:textId="77777777" w:rsidR="00DA0FA1" w:rsidRPr="006B466B" w:rsidRDefault="00DA0FA1" w:rsidP="006A7574">
            <w:pPr>
              <w:rPr>
                <w:rFonts w:ascii="Georgia" w:hAnsi="Georgia"/>
                <w:sz w:val="20"/>
                <w:szCs w:val="20"/>
                <w:lang w:val="fr-FR"/>
              </w:rPr>
            </w:pPr>
          </w:p>
          <w:p w14:paraId="619B21D8" w14:textId="77777777" w:rsidR="00DA0FA1" w:rsidRPr="006B466B" w:rsidRDefault="00DA0FA1" w:rsidP="006A7574">
            <w:pPr>
              <w:rPr>
                <w:rFonts w:ascii="Georgia" w:hAnsi="Georgia"/>
                <w:sz w:val="20"/>
                <w:szCs w:val="20"/>
                <w:lang w:val="fr-FR"/>
              </w:rPr>
            </w:pPr>
          </w:p>
          <w:p w14:paraId="176E52E8" w14:textId="77777777" w:rsidR="00DA0FA1" w:rsidRPr="006B466B" w:rsidRDefault="00DA0FA1" w:rsidP="006A7574">
            <w:pPr>
              <w:rPr>
                <w:rFonts w:ascii="Georgia" w:hAnsi="Georgia"/>
                <w:sz w:val="20"/>
                <w:szCs w:val="20"/>
                <w:lang w:val="fr-FR"/>
              </w:rPr>
            </w:pPr>
          </w:p>
          <w:p w14:paraId="2F45B2A8" w14:textId="7E6F5649" w:rsidR="00DA0FA1" w:rsidRPr="006B466B" w:rsidRDefault="00DA0FA1" w:rsidP="006A7574">
            <w:pPr>
              <w:rPr>
                <w:rFonts w:ascii="Georgia" w:hAnsi="Georgia"/>
                <w:sz w:val="20"/>
                <w:szCs w:val="20"/>
                <w:lang w:val="fr-FR"/>
              </w:rPr>
            </w:pPr>
            <w:r w:rsidRPr="006B466B">
              <w:rPr>
                <w:rFonts w:ascii="Georgia" w:hAnsi="Georgia"/>
                <w:sz w:val="20"/>
                <w:szCs w:val="20"/>
                <w:lang w:val="fr-FR"/>
              </w:rPr>
              <w:t>Liste indicative (si disponible) – Processus, critères et processus d’identification et de sélection avec validation du commanditaire.</w:t>
            </w:r>
          </w:p>
        </w:tc>
      </w:tr>
      <w:tr w:rsidR="00682063" w:rsidRPr="006B466B" w14:paraId="7EA01278" w14:textId="77777777" w:rsidTr="006A7574">
        <w:tc>
          <w:tcPr>
            <w:tcW w:w="4106" w:type="dxa"/>
          </w:tcPr>
          <w:p w14:paraId="039FC5E8" w14:textId="33D0BB4A" w:rsidR="00682063" w:rsidRPr="006B466B" w:rsidRDefault="00682063" w:rsidP="00682063">
            <w:pPr>
              <w:pStyle w:val="xxxmsolistparagraph"/>
              <w:numPr>
                <w:ilvl w:val="0"/>
                <w:numId w:val="3"/>
              </w:numPr>
              <w:rPr>
                <w:rFonts w:ascii="Georgia" w:hAnsi="Georgia"/>
                <w:sz w:val="20"/>
                <w:szCs w:val="20"/>
                <w:lang w:eastAsia="en-US"/>
              </w:rPr>
            </w:pPr>
            <w:r w:rsidRPr="006B466B">
              <w:rPr>
                <w:rFonts w:ascii="Georgia" w:hAnsi="Georgia"/>
                <w:sz w:val="20"/>
                <w:szCs w:val="20"/>
                <w:lang w:eastAsia="en-US"/>
              </w:rPr>
              <w:lastRenderedPageBreak/>
              <w:t>Afin d’assurer une compréhension correcte de l’ampleur du marché, pourriez-vous préciser :</w:t>
            </w:r>
          </w:p>
          <w:p w14:paraId="2378131A" w14:textId="77777777" w:rsidR="00682063" w:rsidRPr="006B466B" w:rsidRDefault="00682063" w:rsidP="0012137F">
            <w:pPr>
              <w:pStyle w:val="xxxmsolistparagraph"/>
              <w:ind w:left="360"/>
              <w:rPr>
                <w:rFonts w:ascii="Georgia" w:hAnsi="Georgia"/>
                <w:sz w:val="20"/>
                <w:szCs w:val="20"/>
                <w:lang w:eastAsia="en-US"/>
              </w:rPr>
            </w:pPr>
            <w:r w:rsidRPr="006B466B">
              <w:rPr>
                <w:rFonts w:ascii="Georgia" w:hAnsi="Georgia"/>
                <w:sz w:val="20"/>
                <w:szCs w:val="20"/>
                <w:lang w:eastAsia="en-US"/>
              </w:rPr>
              <w:t>Le budget estimatif global, afin de calibrer convenablement le dimensionnement des ressources ;</w:t>
            </w:r>
          </w:p>
          <w:p w14:paraId="5081914B" w14:textId="77777777" w:rsidR="00682063" w:rsidRPr="006B466B" w:rsidRDefault="00682063" w:rsidP="00682063">
            <w:pPr>
              <w:pStyle w:val="xxxmsolistparagraph"/>
              <w:numPr>
                <w:ilvl w:val="0"/>
                <w:numId w:val="3"/>
              </w:numPr>
              <w:rPr>
                <w:rFonts w:ascii="Georgia" w:hAnsi="Georgia"/>
                <w:sz w:val="20"/>
                <w:szCs w:val="20"/>
                <w:lang w:eastAsia="en-US"/>
              </w:rPr>
            </w:pPr>
            <w:r w:rsidRPr="006B466B">
              <w:rPr>
                <w:rFonts w:ascii="Georgia" w:hAnsi="Georgia"/>
                <w:sz w:val="20"/>
                <w:szCs w:val="20"/>
                <w:lang w:eastAsia="en-US"/>
              </w:rPr>
              <w:t>Si le montant estimé inclut ou non :</w:t>
            </w:r>
          </w:p>
          <w:p w14:paraId="15AFD86E" w14:textId="77777777" w:rsidR="00682063" w:rsidRPr="006B466B" w:rsidRDefault="00682063" w:rsidP="0012137F">
            <w:pPr>
              <w:pStyle w:val="xxxmsolistparagraph"/>
              <w:ind w:left="360"/>
              <w:rPr>
                <w:rFonts w:ascii="Georgia" w:hAnsi="Georgia"/>
                <w:sz w:val="20"/>
                <w:szCs w:val="20"/>
                <w:lang w:eastAsia="en-US"/>
              </w:rPr>
            </w:pPr>
            <w:r w:rsidRPr="006B466B">
              <w:rPr>
                <w:rFonts w:ascii="Georgia" w:hAnsi="Georgia"/>
                <w:sz w:val="20"/>
                <w:szCs w:val="20"/>
                <w:lang w:eastAsia="en-US"/>
              </w:rPr>
              <w:t>- les ateliers de validation pris en charge par l’autorité contractante,</w:t>
            </w:r>
          </w:p>
          <w:p w14:paraId="160EBE98" w14:textId="77777777" w:rsidR="00682063" w:rsidRPr="006B466B" w:rsidRDefault="00682063" w:rsidP="0012137F">
            <w:pPr>
              <w:pStyle w:val="xxxmsolistparagraph"/>
              <w:ind w:left="360"/>
              <w:rPr>
                <w:rFonts w:ascii="Georgia" w:hAnsi="Georgia"/>
                <w:sz w:val="20"/>
                <w:szCs w:val="20"/>
                <w:lang w:eastAsia="en-US"/>
              </w:rPr>
            </w:pPr>
            <w:r w:rsidRPr="006B466B">
              <w:rPr>
                <w:rFonts w:ascii="Georgia" w:hAnsi="Georgia"/>
                <w:sz w:val="20"/>
                <w:szCs w:val="20"/>
                <w:lang w:eastAsia="en-US"/>
              </w:rPr>
              <w:t>- les frais de mobilisation des panels nationaux,</w:t>
            </w:r>
          </w:p>
          <w:p w14:paraId="4EB27D66" w14:textId="77777777" w:rsidR="00682063" w:rsidRPr="006B466B" w:rsidRDefault="00682063" w:rsidP="0012137F">
            <w:pPr>
              <w:pStyle w:val="xxxmsolistparagraph"/>
              <w:ind w:left="360"/>
              <w:rPr>
                <w:rFonts w:ascii="Georgia" w:hAnsi="Georgia"/>
                <w:sz w:val="20"/>
                <w:szCs w:val="20"/>
                <w:lang w:eastAsia="en-US"/>
              </w:rPr>
            </w:pPr>
            <w:r w:rsidRPr="006B466B">
              <w:rPr>
                <w:rFonts w:ascii="Georgia" w:hAnsi="Georgia"/>
                <w:sz w:val="20"/>
                <w:szCs w:val="20"/>
                <w:lang w:eastAsia="en-US"/>
              </w:rPr>
              <w:t>- les transports/déplacements,</w:t>
            </w:r>
          </w:p>
          <w:p w14:paraId="30818407" w14:textId="77777777" w:rsidR="00682063" w:rsidRPr="006B466B" w:rsidRDefault="00682063" w:rsidP="0012137F">
            <w:pPr>
              <w:pStyle w:val="xxxmsolistparagraph"/>
              <w:ind w:left="360"/>
              <w:rPr>
                <w:rFonts w:ascii="Georgia" w:hAnsi="Georgia"/>
                <w:sz w:val="20"/>
                <w:szCs w:val="20"/>
                <w:lang w:eastAsia="en-US"/>
              </w:rPr>
            </w:pPr>
            <w:r w:rsidRPr="006B466B">
              <w:rPr>
                <w:rFonts w:ascii="Georgia" w:hAnsi="Georgia"/>
                <w:sz w:val="20"/>
                <w:szCs w:val="20"/>
                <w:lang w:eastAsia="en-US"/>
              </w:rPr>
              <w:t>- les frais de reprographie/édition des référentiels.</w:t>
            </w:r>
          </w:p>
          <w:p w14:paraId="68E4D182" w14:textId="73B2CF71" w:rsidR="00682063" w:rsidRPr="006B466B" w:rsidRDefault="00682063" w:rsidP="006D2C5C">
            <w:pPr>
              <w:pStyle w:val="xxxmsolistparagraph"/>
              <w:ind w:left="360"/>
              <w:rPr>
                <w:rFonts w:ascii="Georgia" w:hAnsi="Georgia"/>
                <w:b/>
                <w:bCs/>
                <w:sz w:val="20"/>
                <w:szCs w:val="20"/>
                <w:lang w:eastAsia="fr-FR"/>
              </w:rPr>
            </w:pPr>
            <w:r w:rsidRPr="006B466B">
              <w:rPr>
                <w:rFonts w:ascii="Georgia" w:hAnsi="Georgia"/>
                <w:sz w:val="20"/>
                <w:szCs w:val="20"/>
                <w:lang w:eastAsia="en-US"/>
              </w:rPr>
              <w:t>Le forfait prévu pour les transports/déplacements inclut-il les frais liés à la mobilisation de l’équipe d’experts sur le terrain (perdiem inclus) ainsi que les frais liés à la mobilisation des différents panels (perdiem inclus) ? Est-ce que les transports locaux sont également couverts ? Ou bien s’agit-il seulement des déplacements internationaux ?</w:t>
            </w:r>
          </w:p>
        </w:tc>
        <w:tc>
          <w:tcPr>
            <w:tcW w:w="4820" w:type="dxa"/>
            <w:vAlign w:val="center"/>
          </w:tcPr>
          <w:p w14:paraId="493BA810" w14:textId="77777777" w:rsidR="006D2C5C" w:rsidRPr="006B466B" w:rsidRDefault="006D2C5C" w:rsidP="006A7574">
            <w:pPr>
              <w:rPr>
                <w:rFonts w:ascii="Georgia" w:hAnsi="Georgia"/>
                <w:sz w:val="20"/>
                <w:szCs w:val="20"/>
                <w:lang w:val="fr-FR"/>
              </w:rPr>
            </w:pPr>
            <w:r w:rsidRPr="006B466B">
              <w:rPr>
                <w:rFonts w:ascii="Georgia" w:hAnsi="Georgia"/>
                <w:sz w:val="20"/>
                <w:szCs w:val="20"/>
                <w:lang w:val="fr-FR"/>
              </w:rPr>
              <w:t>Le budget estimatif ne peut être communiqué. C’est un critère d’attribution du marché en plus de la qualité technique de votre offre.</w:t>
            </w:r>
          </w:p>
          <w:p w14:paraId="10AB4CAD" w14:textId="77777777" w:rsidR="006D2C5C" w:rsidRPr="006B466B" w:rsidRDefault="006D2C5C" w:rsidP="006A7574">
            <w:pPr>
              <w:rPr>
                <w:rFonts w:ascii="Georgia" w:hAnsi="Georgia"/>
                <w:sz w:val="20"/>
                <w:szCs w:val="20"/>
                <w:lang w:val="fr-FR"/>
              </w:rPr>
            </w:pPr>
          </w:p>
          <w:p w14:paraId="16A951AE" w14:textId="77777777" w:rsidR="006D2C5C" w:rsidRPr="006B466B" w:rsidRDefault="006D2C5C" w:rsidP="006A7574">
            <w:pPr>
              <w:rPr>
                <w:rFonts w:ascii="Georgia" w:hAnsi="Georgia"/>
                <w:sz w:val="20"/>
                <w:szCs w:val="20"/>
                <w:lang w:val="fr-FR"/>
              </w:rPr>
            </w:pPr>
            <w:r w:rsidRPr="006B466B">
              <w:rPr>
                <w:rFonts w:ascii="Georgia" w:hAnsi="Georgia"/>
                <w:sz w:val="20"/>
                <w:szCs w:val="20"/>
                <w:lang w:val="fr-FR"/>
              </w:rPr>
              <w:t>Le commanditaire ne prendra en charge que la logistique des ateliers : location de salle, per diem et autres frais des participants invités. Tous les frais relatifs aux panels nationaux seront mentionnés dans l’offre du prestataire et nous invitons à respecter la quantité totale h/j.</w:t>
            </w:r>
          </w:p>
          <w:p w14:paraId="48B964B8" w14:textId="77777777" w:rsidR="006D2C5C" w:rsidRPr="006B466B" w:rsidRDefault="006D2C5C" w:rsidP="006A7574">
            <w:pPr>
              <w:rPr>
                <w:rFonts w:ascii="Georgia" w:hAnsi="Georgia"/>
                <w:sz w:val="20"/>
                <w:szCs w:val="20"/>
                <w:lang w:val="fr-FR"/>
              </w:rPr>
            </w:pPr>
          </w:p>
          <w:p w14:paraId="78AF48F7" w14:textId="77777777" w:rsidR="006D2C5C" w:rsidRPr="006B466B" w:rsidRDefault="006D2C5C" w:rsidP="006A7574">
            <w:pPr>
              <w:rPr>
                <w:rFonts w:ascii="Georgia" w:hAnsi="Georgia"/>
                <w:sz w:val="20"/>
                <w:szCs w:val="20"/>
                <w:lang w:val="fr-FR"/>
              </w:rPr>
            </w:pPr>
            <w:r w:rsidRPr="006B466B">
              <w:rPr>
                <w:rFonts w:ascii="Georgia" w:hAnsi="Georgia"/>
                <w:sz w:val="20"/>
                <w:szCs w:val="20"/>
                <w:lang w:val="fr-FR"/>
              </w:rPr>
              <w:t>Les frais d’édition des documents finaux seront à la charge du commanditaire.</w:t>
            </w:r>
          </w:p>
          <w:p w14:paraId="2D4657B9" w14:textId="778F13E1" w:rsidR="00682063" w:rsidRPr="006B466B" w:rsidRDefault="006D2C5C" w:rsidP="006A7574">
            <w:pPr>
              <w:rPr>
                <w:rFonts w:ascii="Georgia" w:hAnsi="Georgia"/>
                <w:sz w:val="20"/>
                <w:szCs w:val="20"/>
                <w:lang w:val="fr-FR"/>
              </w:rPr>
            </w:pPr>
            <w:r w:rsidRPr="006B466B">
              <w:rPr>
                <w:rFonts w:ascii="Georgia" w:hAnsi="Georgia"/>
                <w:sz w:val="20"/>
                <w:szCs w:val="20"/>
                <w:lang w:val="fr-FR"/>
              </w:rPr>
              <w:t>Tous ces frais sont pris en charge dans l’offre du prestataire</w:t>
            </w:r>
          </w:p>
        </w:tc>
      </w:tr>
      <w:tr w:rsidR="002B6036" w:rsidRPr="006B466B" w14:paraId="24C53157" w14:textId="77777777" w:rsidTr="006A7574">
        <w:tc>
          <w:tcPr>
            <w:tcW w:w="4106" w:type="dxa"/>
          </w:tcPr>
          <w:p w14:paraId="07830F54" w14:textId="77777777" w:rsidR="002B6036" w:rsidRPr="006B466B" w:rsidRDefault="002B6036" w:rsidP="002B6036">
            <w:pPr>
              <w:ind w:left="125"/>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b/>
                <w:bCs/>
                <w:kern w:val="0"/>
                <w:sz w:val="20"/>
                <w:szCs w:val="20"/>
                <w:lang w:val="fr-FR" w:eastAsia="fr-FR"/>
                <w14:ligatures w14:val="none"/>
              </w:rPr>
              <w:t>Afin d’éviter une interprétation erronée, pourriez-vous préciser :</w:t>
            </w:r>
          </w:p>
          <w:p w14:paraId="292B44D6" w14:textId="49EFCC5A" w:rsidR="002B6036" w:rsidRPr="006B466B" w:rsidRDefault="002B6036" w:rsidP="002B6036">
            <w:pPr>
              <w:pStyle w:val="xxxmsolistparagraph"/>
              <w:numPr>
                <w:ilvl w:val="0"/>
                <w:numId w:val="3"/>
              </w:numPr>
              <w:rPr>
                <w:rFonts w:ascii="Georgia" w:hAnsi="Georgia"/>
                <w:sz w:val="20"/>
                <w:szCs w:val="20"/>
                <w:lang w:eastAsia="en-US"/>
              </w:rPr>
            </w:pPr>
            <w:r w:rsidRPr="006B466B">
              <w:rPr>
                <w:rFonts w:ascii="Georgia" w:hAnsi="Georgia"/>
                <w:b/>
                <w:bCs/>
                <w:sz w:val="20"/>
                <w:szCs w:val="20"/>
                <w:lang w:eastAsia="en-US"/>
              </w:rPr>
              <w:t>Si</w:t>
            </w:r>
            <w:r w:rsidRPr="006B466B">
              <w:rPr>
                <w:rFonts w:ascii="Georgia" w:hAnsi="Georgia"/>
                <w:sz w:val="20"/>
                <w:szCs w:val="20"/>
                <w:lang w:eastAsia="en-US"/>
              </w:rPr>
              <w:t xml:space="preserve"> des </w:t>
            </w:r>
            <w:r w:rsidRPr="006B466B">
              <w:rPr>
                <w:rFonts w:ascii="Georgia" w:hAnsi="Georgia"/>
                <w:b/>
                <w:bCs/>
                <w:sz w:val="20"/>
                <w:szCs w:val="20"/>
                <w:lang w:eastAsia="en-US"/>
              </w:rPr>
              <w:t>références/attestations professionnelles</w:t>
            </w:r>
            <w:r w:rsidRPr="006B466B">
              <w:rPr>
                <w:rFonts w:ascii="Georgia" w:hAnsi="Georgia"/>
                <w:sz w:val="20"/>
                <w:szCs w:val="20"/>
                <w:lang w:eastAsia="en-US"/>
              </w:rPr>
              <w:t xml:space="preserve"> devront être fournies au stade de l’offre pour chaque expert, ou seulement pour les profils explicitement mentionnés (chef de </w:t>
            </w:r>
            <w:r w:rsidRPr="006B466B">
              <w:rPr>
                <w:rFonts w:ascii="Georgia" w:hAnsi="Georgia"/>
                <w:sz w:val="20"/>
                <w:szCs w:val="20"/>
                <w:lang w:eastAsia="en-US"/>
              </w:rPr>
              <w:lastRenderedPageBreak/>
              <w:t>mission et spécialiste graphisme/design) ?</w:t>
            </w:r>
          </w:p>
        </w:tc>
        <w:tc>
          <w:tcPr>
            <w:tcW w:w="4820" w:type="dxa"/>
            <w:vAlign w:val="center"/>
          </w:tcPr>
          <w:p w14:paraId="309807D8" w14:textId="77777777" w:rsidR="002B6036" w:rsidRPr="006B466B" w:rsidRDefault="002B6036" w:rsidP="006A7574">
            <w:pPr>
              <w:rPr>
                <w:rFonts w:ascii="Georgia" w:hAnsi="Georgia"/>
                <w:sz w:val="20"/>
                <w:szCs w:val="20"/>
                <w:lang w:val="fr-FR"/>
              </w:rPr>
            </w:pPr>
            <w:r w:rsidRPr="006B466B">
              <w:rPr>
                <w:rFonts w:ascii="Georgia" w:hAnsi="Georgia"/>
                <w:sz w:val="20"/>
                <w:szCs w:val="20"/>
                <w:lang w:val="fr-FR"/>
              </w:rPr>
              <w:lastRenderedPageBreak/>
              <w:t xml:space="preserve">Les attestations de bonne fin justifiant les expériences mentionnées dans les </w:t>
            </w:r>
            <w:proofErr w:type="spellStart"/>
            <w:r w:rsidRPr="006B466B">
              <w:rPr>
                <w:rFonts w:ascii="Georgia" w:hAnsi="Georgia"/>
                <w:sz w:val="20"/>
                <w:szCs w:val="20"/>
                <w:lang w:val="fr-FR"/>
              </w:rPr>
              <w:t>CVs</w:t>
            </w:r>
            <w:proofErr w:type="spellEnd"/>
            <w:r w:rsidRPr="006B466B">
              <w:rPr>
                <w:rFonts w:ascii="Georgia" w:hAnsi="Georgia"/>
                <w:sz w:val="20"/>
                <w:szCs w:val="20"/>
                <w:lang w:val="fr-FR"/>
              </w:rPr>
              <w:t xml:space="preserve"> doivent être fournies pour chaque poste identifié dans les </w:t>
            </w:r>
            <w:proofErr w:type="spellStart"/>
            <w:r w:rsidRPr="006B466B">
              <w:rPr>
                <w:rFonts w:ascii="Georgia" w:hAnsi="Georgia"/>
                <w:sz w:val="20"/>
                <w:szCs w:val="20"/>
                <w:lang w:val="fr-FR"/>
              </w:rPr>
              <w:t>TdRs</w:t>
            </w:r>
            <w:proofErr w:type="spellEnd"/>
            <w:r w:rsidRPr="006B466B">
              <w:rPr>
                <w:rFonts w:ascii="Georgia" w:hAnsi="Georgia"/>
                <w:sz w:val="20"/>
                <w:szCs w:val="20"/>
                <w:lang w:val="fr-FR"/>
              </w:rPr>
              <w:t xml:space="preserve"> et doivent être transmises avec votre offre.</w:t>
            </w:r>
          </w:p>
          <w:p w14:paraId="7BFC9AA2" w14:textId="77777777" w:rsidR="002B6036" w:rsidRPr="006B466B" w:rsidRDefault="002B6036" w:rsidP="006A7574">
            <w:pPr>
              <w:rPr>
                <w:rFonts w:ascii="Georgia" w:hAnsi="Georgia"/>
                <w:sz w:val="20"/>
                <w:szCs w:val="20"/>
                <w:lang w:val="fr-FR"/>
              </w:rPr>
            </w:pPr>
          </w:p>
        </w:tc>
      </w:tr>
      <w:tr w:rsidR="002B6036" w:rsidRPr="006B466B" w14:paraId="375D0C7C" w14:textId="77777777" w:rsidTr="006A7574">
        <w:tc>
          <w:tcPr>
            <w:tcW w:w="4106" w:type="dxa"/>
          </w:tcPr>
          <w:p w14:paraId="35B3C4A8" w14:textId="199D6DBC" w:rsidR="002B6036" w:rsidRPr="006B466B" w:rsidRDefault="00DF04F5" w:rsidP="00DF04F5">
            <w:pPr>
              <w:pStyle w:val="xxxmsolistparagraph"/>
              <w:numPr>
                <w:ilvl w:val="0"/>
                <w:numId w:val="3"/>
              </w:numPr>
              <w:rPr>
                <w:rFonts w:ascii="Georgia" w:hAnsi="Georgia"/>
                <w:sz w:val="20"/>
                <w:szCs w:val="20"/>
                <w:lang w:eastAsia="fr-FR"/>
              </w:rPr>
            </w:pPr>
            <w:r w:rsidRPr="006B466B">
              <w:rPr>
                <w:rFonts w:ascii="Georgia" w:hAnsi="Georgia"/>
                <w:sz w:val="20"/>
                <w:szCs w:val="20"/>
                <w:lang w:eastAsia="en-US"/>
              </w:rPr>
              <w:t>Considérant la durée de la phase 2 « Elaboration de la version provisoire des référentiels » de 7 mois et du nombre important de livrables à produire, pouvez-vous nous confirmer si le titulaire devra préfinancer intégralement les dépenses liées à chaque phase avant validation ou si des paiements intermédiaires partiels (par livrable ou jalon) peuvent être envisagés</w:t>
            </w:r>
            <w:r w:rsidRPr="006B466B">
              <w:rPr>
                <w:rFonts w:ascii="Georgia" w:hAnsi="Georgia"/>
                <w:sz w:val="20"/>
                <w:szCs w:val="20"/>
                <w:lang w:eastAsia="fr-FR"/>
              </w:rPr>
              <w:t> </w:t>
            </w:r>
          </w:p>
        </w:tc>
        <w:tc>
          <w:tcPr>
            <w:tcW w:w="4820" w:type="dxa"/>
            <w:vAlign w:val="center"/>
          </w:tcPr>
          <w:p w14:paraId="4C8C2465" w14:textId="2A7069B3" w:rsidR="002B6036" w:rsidRPr="006B466B" w:rsidRDefault="00DF04F5" w:rsidP="006A7574">
            <w:pPr>
              <w:rPr>
                <w:rFonts w:ascii="Georgia" w:hAnsi="Georgia"/>
                <w:sz w:val="20"/>
                <w:szCs w:val="20"/>
                <w:lang w:val="fr-FR"/>
              </w:rPr>
            </w:pPr>
            <w:r w:rsidRPr="006B466B">
              <w:rPr>
                <w:rFonts w:ascii="Georgia" w:hAnsi="Georgia"/>
                <w:sz w:val="20"/>
                <w:szCs w:val="20"/>
                <w:lang w:val="fr-FR"/>
              </w:rPr>
              <w:t>Voir CSC : 4.15.3</w:t>
            </w:r>
          </w:p>
        </w:tc>
      </w:tr>
      <w:tr w:rsidR="005655FB" w:rsidRPr="006B466B" w14:paraId="1C40E1F6" w14:textId="77777777" w:rsidTr="006A7574">
        <w:tc>
          <w:tcPr>
            <w:tcW w:w="4106" w:type="dxa"/>
          </w:tcPr>
          <w:p w14:paraId="349FE8F9" w14:textId="77777777" w:rsidR="005655FB" w:rsidRPr="006B466B" w:rsidRDefault="005655FB" w:rsidP="005655FB">
            <w:pPr>
              <w:ind w:left="125"/>
              <w:rPr>
                <w:rFonts w:ascii="Georgia" w:eastAsia="Times New Roman" w:hAnsi="Georgia" w:cs="Times New Roman"/>
                <w:kern w:val="0"/>
                <w:sz w:val="20"/>
                <w:szCs w:val="20"/>
                <w:lang w:val="fr-FR" w:eastAsia="fr-FR"/>
                <w14:ligatures w14:val="none"/>
              </w:rPr>
            </w:pPr>
            <w:r w:rsidRPr="006B466B">
              <w:rPr>
                <w:rFonts w:ascii="Georgia" w:eastAsia="Times New Roman" w:hAnsi="Georgia" w:cs="Times New Roman"/>
                <w:kern w:val="0"/>
                <w:sz w:val="20"/>
                <w:szCs w:val="20"/>
                <w:lang w:val="fr-FR" w:eastAsia="fr-FR"/>
                <w14:ligatures w14:val="none"/>
              </w:rPr>
              <w:t xml:space="preserve">Compte tenu du niveau de complexité du dossier et du temps nécessaire à la mobilisation des expertises techniques et des délais d’acheminement, serait-il envisageable de reporter la date limite de remise des offres, actuellement fixée au 23 décembre 2025, à la mi-janvier 2026 ? </w:t>
            </w:r>
          </w:p>
          <w:p w14:paraId="32C4EEB0" w14:textId="75B96DCC" w:rsidR="005655FB" w:rsidRPr="006B466B" w:rsidRDefault="005655FB" w:rsidP="005655FB">
            <w:pPr>
              <w:pStyle w:val="xxxmsolistparagraph"/>
              <w:numPr>
                <w:ilvl w:val="0"/>
                <w:numId w:val="3"/>
              </w:numPr>
              <w:rPr>
                <w:rFonts w:ascii="Georgia" w:hAnsi="Georgia"/>
                <w:sz w:val="20"/>
                <w:szCs w:val="20"/>
                <w:lang w:eastAsia="en-US"/>
              </w:rPr>
            </w:pPr>
            <w:r w:rsidRPr="006B466B">
              <w:rPr>
                <w:rFonts w:ascii="Georgia" w:hAnsi="Georgia"/>
                <w:sz w:val="20"/>
                <w:szCs w:val="20"/>
                <w:lang w:eastAsia="en-US"/>
              </w:rPr>
              <w:t>Ce report nous permettrait de finaliser les analyses techniques et méthodologiques dans des conditions optimales, d’assurer une meilleure qualité de notre proposition et de garantir le bon acheminement de notre offre.</w:t>
            </w:r>
          </w:p>
        </w:tc>
        <w:tc>
          <w:tcPr>
            <w:tcW w:w="4820" w:type="dxa"/>
            <w:vAlign w:val="center"/>
          </w:tcPr>
          <w:p w14:paraId="4805A968" w14:textId="3F0E84C0" w:rsidR="005655FB" w:rsidRPr="006B466B" w:rsidRDefault="005655FB" w:rsidP="006A7574">
            <w:pPr>
              <w:rPr>
                <w:rFonts w:ascii="Georgia" w:hAnsi="Georgia"/>
                <w:sz w:val="20"/>
                <w:szCs w:val="20"/>
                <w:lang w:val="fr-FR"/>
              </w:rPr>
            </w:pPr>
            <w:r w:rsidRPr="006B466B">
              <w:rPr>
                <w:rFonts w:ascii="Georgia" w:hAnsi="Georgia"/>
                <w:sz w:val="20"/>
                <w:szCs w:val="20"/>
                <w:lang w:val="fr-FR"/>
              </w:rPr>
              <w:t>Voir CSC : 3.4.4. Il n’ y aura pas de prolongation de délai de soumission des offres.</w:t>
            </w:r>
          </w:p>
        </w:tc>
      </w:tr>
      <w:tr w:rsidR="006B466B" w:rsidRPr="006B466B" w14:paraId="2AD04567" w14:textId="77777777" w:rsidTr="006A7574">
        <w:tc>
          <w:tcPr>
            <w:tcW w:w="4106" w:type="dxa"/>
          </w:tcPr>
          <w:p w14:paraId="7D14783D" w14:textId="77777777" w:rsidR="000C6FCA" w:rsidRPr="000C6FCA" w:rsidRDefault="000C6FCA" w:rsidP="000C6FCA">
            <w:pPr>
              <w:pStyle w:val="Paragraphedeliste"/>
              <w:numPr>
                <w:ilvl w:val="0"/>
                <w:numId w:val="3"/>
              </w:numPr>
              <w:rPr>
                <w:rFonts w:ascii="Georgia" w:eastAsia="Times New Roman" w:hAnsi="Georgia" w:cs="Times New Roman"/>
                <w:kern w:val="0"/>
                <w:sz w:val="20"/>
                <w:szCs w:val="20"/>
                <w:lang w:val="fr-BE" w:eastAsia="fr-FR"/>
                <w14:ligatures w14:val="none"/>
              </w:rPr>
            </w:pPr>
            <w:r w:rsidRPr="000C6FCA">
              <w:rPr>
                <w:rFonts w:ascii="Georgia" w:eastAsia="Times New Roman" w:hAnsi="Georgia" w:cs="Times New Roman"/>
                <w:kern w:val="0"/>
                <w:sz w:val="20"/>
                <w:szCs w:val="20"/>
                <w:lang w:val="fr-BE" w:eastAsia="fr-FR"/>
                <w14:ligatures w14:val="none"/>
              </w:rPr>
              <w:t xml:space="preserve">Nous sollicitons également une </w:t>
            </w:r>
            <w:r w:rsidRPr="000C6FCA">
              <w:rPr>
                <w:rFonts w:ascii="Georgia" w:eastAsia="Times New Roman" w:hAnsi="Georgia" w:cs="Times New Roman"/>
                <w:b/>
                <w:bCs/>
                <w:kern w:val="0"/>
                <w:sz w:val="20"/>
                <w:szCs w:val="20"/>
                <w:lang w:val="fr-BE" w:eastAsia="fr-FR"/>
                <w14:ligatures w14:val="none"/>
              </w:rPr>
              <w:t>extension du délai</w:t>
            </w:r>
            <w:r w:rsidRPr="000C6FCA">
              <w:rPr>
                <w:rFonts w:ascii="Georgia" w:eastAsia="Times New Roman" w:hAnsi="Georgia" w:cs="Times New Roman"/>
                <w:kern w:val="0"/>
                <w:sz w:val="20"/>
                <w:szCs w:val="20"/>
                <w:lang w:val="fr-BE" w:eastAsia="fr-FR"/>
                <w14:ligatures w14:val="none"/>
              </w:rPr>
              <w:t> afin de nous permettre de préparer une proposition de haute qualité répondant pleinement à vos attentes. Forts de notre expérience dans des projets similaires, nous comprenons qu'un temps de préparation adéquat est essentiel pour garantir une réponse approfondie et pertinente.</w:t>
            </w:r>
          </w:p>
          <w:p w14:paraId="19E89C54" w14:textId="0E546D2B" w:rsidR="006B466B" w:rsidRPr="000C6FCA" w:rsidRDefault="006B466B" w:rsidP="000C6FCA">
            <w:pPr>
              <w:pStyle w:val="Paragraphedeliste"/>
              <w:ind w:left="360"/>
              <w:rPr>
                <w:rFonts w:ascii="Georgia" w:eastAsia="Times New Roman" w:hAnsi="Georgia" w:cs="Times New Roman"/>
                <w:kern w:val="0"/>
                <w:sz w:val="20"/>
                <w:szCs w:val="20"/>
                <w:lang w:val="fr-FR" w:eastAsia="fr-FR"/>
                <w14:ligatures w14:val="none"/>
              </w:rPr>
            </w:pPr>
          </w:p>
        </w:tc>
        <w:tc>
          <w:tcPr>
            <w:tcW w:w="4820" w:type="dxa"/>
            <w:vAlign w:val="center"/>
          </w:tcPr>
          <w:p w14:paraId="6050DBE0" w14:textId="77777777" w:rsidR="000C6FCA" w:rsidRPr="000C6FCA" w:rsidRDefault="000C6FCA" w:rsidP="006A7574">
            <w:pPr>
              <w:rPr>
                <w:rFonts w:ascii="Georgia" w:hAnsi="Georgia"/>
                <w:sz w:val="20"/>
                <w:szCs w:val="20"/>
                <w:lang w:val="fr-BE"/>
              </w:rPr>
            </w:pPr>
            <w:r w:rsidRPr="000C6FCA">
              <w:rPr>
                <w:rFonts w:ascii="Georgia" w:hAnsi="Georgia"/>
                <w:sz w:val="20"/>
                <w:szCs w:val="20"/>
                <w:lang w:val="fr-BE"/>
              </w:rPr>
              <w:t>Nous restons sur le délai initial de soumission des offres (Cf. paragraphe 3.4.4 du CSC), aucune demande de prolongation n'est acceptable</w:t>
            </w:r>
          </w:p>
          <w:p w14:paraId="0BC1F492" w14:textId="77777777" w:rsidR="006B466B" w:rsidRPr="000C6FCA" w:rsidRDefault="006B466B" w:rsidP="006A7574">
            <w:pPr>
              <w:rPr>
                <w:rFonts w:ascii="Georgia" w:hAnsi="Georgia"/>
                <w:sz w:val="20"/>
                <w:szCs w:val="20"/>
                <w:lang w:val="fr-BE"/>
              </w:rPr>
            </w:pPr>
          </w:p>
        </w:tc>
      </w:tr>
      <w:tr w:rsidR="006B466B" w:rsidRPr="006B466B" w14:paraId="7CDB3517" w14:textId="77777777" w:rsidTr="006A7574">
        <w:tc>
          <w:tcPr>
            <w:tcW w:w="4106" w:type="dxa"/>
          </w:tcPr>
          <w:p w14:paraId="7D14AB5D" w14:textId="12606AE6" w:rsidR="006B466B" w:rsidRPr="00DF30F5" w:rsidRDefault="000C6FCA" w:rsidP="005655FB">
            <w:pPr>
              <w:ind w:left="125"/>
              <w:rPr>
                <w:rFonts w:ascii="Georgia" w:eastAsia="Times New Roman" w:hAnsi="Georgia" w:cs="Times New Roman"/>
                <w:kern w:val="0"/>
                <w:sz w:val="20"/>
                <w:szCs w:val="20"/>
                <w:lang w:val="fr-BE" w:eastAsia="fr-FR"/>
                <w14:ligatures w14:val="none"/>
              </w:rPr>
            </w:pPr>
            <w:r>
              <w:rPr>
                <w:rFonts w:ascii="Georgia" w:eastAsia="Times New Roman" w:hAnsi="Georgia" w:cs="Times New Roman"/>
                <w:kern w:val="0"/>
                <w:sz w:val="20"/>
                <w:szCs w:val="20"/>
                <w:lang w:val="fr-FR" w:eastAsia="fr-FR"/>
                <w14:ligatures w14:val="none"/>
              </w:rPr>
              <w:t>27.</w:t>
            </w:r>
            <w:r w:rsidR="00DF30F5" w:rsidRPr="00DF30F5">
              <w:rPr>
                <w:rFonts w:ascii="Arial" w:hAnsi="Arial" w:cs="Arial"/>
                <w:color w:val="002060"/>
                <w:sz w:val="20"/>
                <w:szCs w:val="20"/>
                <w:lang w:val="fr-BE"/>
              </w:rPr>
              <w:t xml:space="preserve"> </w:t>
            </w:r>
            <w:r w:rsidR="00DF30F5" w:rsidRPr="00DF30F5">
              <w:rPr>
                <w:rFonts w:ascii="Georgia" w:eastAsia="Times New Roman" w:hAnsi="Georgia" w:cs="Times New Roman"/>
                <w:kern w:val="0"/>
                <w:sz w:val="20"/>
                <w:szCs w:val="20"/>
                <w:lang w:val="fr-BE" w:eastAsia="fr-FR"/>
                <w14:ligatures w14:val="none"/>
              </w:rPr>
              <w:t>La prise en compte des équipements et des plateaux de travaux pratiques dans le cadre des formations selon les nouvelles mises à jour des référentiels existants et de nouveaux référentiels</w:t>
            </w:r>
          </w:p>
        </w:tc>
        <w:tc>
          <w:tcPr>
            <w:tcW w:w="4820" w:type="dxa"/>
            <w:vAlign w:val="center"/>
          </w:tcPr>
          <w:p w14:paraId="38AAEAD1" w14:textId="77777777" w:rsidR="00DF30F5" w:rsidRPr="00DF30F5" w:rsidRDefault="00DF30F5" w:rsidP="006A7574">
            <w:pPr>
              <w:rPr>
                <w:rFonts w:ascii="Georgia" w:hAnsi="Georgia"/>
                <w:sz w:val="20"/>
                <w:szCs w:val="20"/>
                <w:lang w:val="fr-BE"/>
              </w:rPr>
            </w:pPr>
            <w:r w:rsidRPr="00DF30F5">
              <w:rPr>
                <w:rFonts w:ascii="Georgia" w:hAnsi="Georgia"/>
                <w:sz w:val="20"/>
                <w:szCs w:val="20"/>
                <w:lang w:val="fr-BE"/>
              </w:rPr>
              <w:t xml:space="preserve">La logistique (consommables, per diem et déplacement des participants) de la formation sur les nouveaux référentiels sera assurée par </w:t>
            </w:r>
            <w:proofErr w:type="spellStart"/>
            <w:r w:rsidRPr="00DF30F5">
              <w:rPr>
                <w:rFonts w:ascii="Georgia" w:hAnsi="Georgia"/>
                <w:sz w:val="20"/>
                <w:szCs w:val="20"/>
                <w:lang w:val="fr-BE"/>
              </w:rPr>
              <w:t>Enabel</w:t>
            </w:r>
            <w:proofErr w:type="spellEnd"/>
            <w:r w:rsidRPr="00DF30F5">
              <w:rPr>
                <w:rFonts w:ascii="Georgia" w:hAnsi="Georgia"/>
                <w:sz w:val="20"/>
                <w:szCs w:val="20"/>
                <w:lang w:val="fr-BE"/>
              </w:rPr>
              <w:t>. Mais pas pour les consultants. (CSC pp.35-36 livrables attendus et durée.)</w:t>
            </w:r>
          </w:p>
          <w:p w14:paraId="1CFEFA76" w14:textId="77777777" w:rsidR="006B466B" w:rsidRPr="00DF30F5" w:rsidRDefault="006B466B" w:rsidP="006A7574">
            <w:pPr>
              <w:rPr>
                <w:rFonts w:ascii="Georgia" w:hAnsi="Georgia"/>
                <w:sz w:val="20"/>
                <w:szCs w:val="20"/>
                <w:lang w:val="fr-BE"/>
              </w:rPr>
            </w:pPr>
          </w:p>
        </w:tc>
      </w:tr>
      <w:tr w:rsidR="006B466B" w:rsidRPr="006B466B" w14:paraId="5BAB83E5" w14:textId="77777777" w:rsidTr="006A7574">
        <w:tc>
          <w:tcPr>
            <w:tcW w:w="4106" w:type="dxa"/>
          </w:tcPr>
          <w:p w14:paraId="6A7F088C" w14:textId="1553E68D" w:rsidR="006B466B" w:rsidRPr="00DF30F5" w:rsidRDefault="00DF30F5" w:rsidP="005655FB">
            <w:pPr>
              <w:ind w:left="125"/>
              <w:rPr>
                <w:rFonts w:ascii="Georgia" w:eastAsia="Times New Roman" w:hAnsi="Georgia" w:cs="Times New Roman"/>
                <w:kern w:val="0"/>
                <w:sz w:val="20"/>
                <w:szCs w:val="20"/>
                <w:lang w:val="fr-BE" w:eastAsia="fr-FR"/>
                <w14:ligatures w14:val="none"/>
              </w:rPr>
            </w:pPr>
            <w:r>
              <w:rPr>
                <w:rFonts w:ascii="Georgia" w:eastAsia="Times New Roman" w:hAnsi="Georgia" w:cs="Times New Roman"/>
                <w:kern w:val="0"/>
                <w:sz w:val="20"/>
                <w:szCs w:val="20"/>
                <w:lang w:val="fr-FR" w:eastAsia="fr-FR"/>
                <w14:ligatures w14:val="none"/>
              </w:rPr>
              <w:t>28.</w:t>
            </w:r>
            <w:r w:rsidRPr="00DF30F5">
              <w:rPr>
                <w:rFonts w:ascii="Arial" w:hAnsi="Arial" w:cs="Arial"/>
                <w:color w:val="002060"/>
                <w:sz w:val="20"/>
                <w:szCs w:val="20"/>
                <w:lang w:val="fr-BE"/>
              </w:rPr>
              <w:t xml:space="preserve"> </w:t>
            </w:r>
            <w:r w:rsidRPr="00DF30F5">
              <w:rPr>
                <w:rFonts w:ascii="Georgia" w:eastAsia="Times New Roman" w:hAnsi="Georgia" w:cs="Times New Roman"/>
                <w:kern w:val="0"/>
                <w:sz w:val="20"/>
                <w:szCs w:val="20"/>
                <w:lang w:val="fr-BE" w:eastAsia="fr-FR"/>
                <w14:ligatures w14:val="none"/>
              </w:rPr>
              <w:t>Nous souhaitons savoir dans ce cadre si l’ENABEL prévoit l’acquisition d’équipements et ou bien prévoit que notre mise à jour des référentiels métiers d’inclure des nouveaux équipements techniques ou plateau de formation</w:t>
            </w:r>
          </w:p>
        </w:tc>
        <w:tc>
          <w:tcPr>
            <w:tcW w:w="4820" w:type="dxa"/>
            <w:vAlign w:val="center"/>
          </w:tcPr>
          <w:p w14:paraId="48B739F1" w14:textId="77777777" w:rsidR="00E31218" w:rsidRDefault="00E31218" w:rsidP="006A7574">
            <w:pPr>
              <w:rPr>
                <w:rFonts w:ascii="Georgia" w:hAnsi="Georgia"/>
                <w:sz w:val="20"/>
                <w:szCs w:val="20"/>
                <w:lang w:val="fr-BE"/>
              </w:rPr>
            </w:pPr>
          </w:p>
          <w:p w14:paraId="7D03BA2F" w14:textId="741AF1B2" w:rsidR="00E31218" w:rsidRPr="00E31218" w:rsidRDefault="00E31218" w:rsidP="006A7574">
            <w:pPr>
              <w:rPr>
                <w:rFonts w:ascii="Georgia" w:hAnsi="Georgia"/>
                <w:sz w:val="20"/>
                <w:szCs w:val="20"/>
                <w:lang w:val="fr-BE"/>
              </w:rPr>
            </w:pPr>
            <w:r w:rsidRPr="00E31218">
              <w:rPr>
                <w:rFonts w:ascii="Georgia" w:hAnsi="Georgia"/>
                <w:sz w:val="20"/>
                <w:szCs w:val="20"/>
                <w:lang w:val="fr-BE"/>
              </w:rPr>
              <w:t>Le CSC ne prévoit pas l’acquisition d’équipements techniques ou plateaux de formation par le prestataire.</w:t>
            </w:r>
          </w:p>
          <w:p w14:paraId="2677C41E" w14:textId="77777777" w:rsidR="006B466B" w:rsidRPr="00E31218" w:rsidRDefault="006B466B" w:rsidP="006A7574">
            <w:pPr>
              <w:rPr>
                <w:rFonts w:ascii="Georgia" w:hAnsi="Georgia"/>
                <w:sz w:val="20"/>
                <w:szCs w:val="20"/>
                <w:lang w:val="fr-BE"/>
              </w:rPr>
            </w:pPr>
          </w:p>
        </w:tc>
      </w:tr>
      <w:tr w:rsidR="006B466B" w:rsidRPr="006B466B" w14:paraId="15D3439B" w14:textId="77777777" w:rsidTr="006A7574">
        <w:tc>
          <w:tcPr>
            <w:tcW w:w="4106" w:type="dxa"/>
          </w:tcPr>
          <w:p w14:paraId="2E3DA5E9" w14:textId="38014569" w:rsidR="00231F4C" w:rsidRPr="00231F4C" w:rsidRDefault="00E31218" w:rsidP="00231F4C">
            <w:pPr>
              <w:rPr>
                <w:rFonts w:ascii="Georgia" w:eastAsia="Times New Roman" w:hAnsi="Georgia" w:cs="Times New Roman"/>
                <w:kern w:val="0"/>
                <w:sz w:val="20"/>
                <w:szCs w:val="20"/>
                <w:lang w:val="fr-BE" w:eastAsia="fr-FR"/>
                <w14:ligatures w14:val="none"/>
              </w:rPr>
            </w:pPr>
            <w:r>
              <w:rPr>
                <w:rFonts w:ascii="Georgia" w:eastAsia="Times New Roman" w:hAnsi="Georgia" w:cs="Times New Roman"/>
                <w:kern w:val="0"/>
                <w:sz w:val="20"/>
                <w:szCs w:val="20"/>
                <w:lang w:val="fr-FR" w:eastAsia="fr-FR"/>
                <w14:ligatures w14:val="none"/>
              </w:rPr>
              <w:t>29.</w:t>
            </w:r>
            <w:r w:rsidR="00231F4C" w:rsidRPr="00231F4C">
              <w:rPr>
                <w:rFonts w:ascii="Arial" w:eastAsia="Times New Roman" w:hAnsi="Arial" w:cs="Arial"/>
                <w:color w:val="002060"/>
                <w:kern w:val="0"/>
                <w:sz w:val="20"/>
                <w:szCs w:val="20"/>
                <w:lang w:val="fr-BE" w:eastAsia="fr-BE"/>
                <w14:ligatures w14:val="none"/>
              </w:rPr>
              <w:t xml:space="preserve"> </w:t>
            </w:r>
            <w:r w:rsidR="00231F4C" w:rsidRPr="00231F4C">
              <w:rPr>
                <w:rFonts w:ascii="Georgia" w:eastAsia="Times New Roman" w:hAnsi="Georgia" w:cs="Times New Roman"/>
                <w:kern w:val="0"/>
                <w:sz w:val="20"/>
                <w:szCs w:val="20"/>
                <w:lang w:val="fr-BE" w:eastAsia="fr-FR"/>
                <w14:ligatures w14:val="none"/>
              </w:rPr>
              <w:t>Serait-il possible d’inclure des experts nationaux répondant aux critères d’éligibilité</w:t>
            </w:r>
            <w:r w:rsidR="00231F4C">
              <w:rPr>
                <w:rFonts w:ascii="Georgia" w:eastAsia="Times New Roman" w:hAnsi="Georgia" w:cs="Times New Roman"/>
                <w:kern w:val="0"/>
                <w:sz w:val="20"/>
                <w:szCs w:val="20"/>
                <w:lang w:val="fr-BE" w:eastAsia="fr-FR"/>
                <w14:ligatures w14:val="none"/>
              </w:rPr>
              <w:t xml:space="preserve">. </w:t>
            </w:r>
            <w:r w:rsidR="00231F4C" w:rsidRPr="00231F4C">
              <w:rPr>
                <w:rFonts w:ascii="Georgia" w:eastAsia="Times New Roman" w:hAnsi="Georgia" w:cs="Times New Roman"/>
                <w:kern w:val="0"/>
                <w:sz w:val="20"/>
                <w:szCs w:val="20"/>
                <w:lang w:val="fr-BE" w:eastAsia="fr-FR"/>
                <w14:ligatures w14:val="none"/>
              </w:rPr>
              <w:t xml:space="preserve">Les experts clés prévus dans les </w:t>
            </w:r>
            <w:r w:rsidR="00231F4C" w:rsidRPr="00231F4C">
              <w:rPr>
                <w:rFonts w:ascii="Georgia" w:eastAsia="Times New Roman" w:hAnsi="Georgia" w:cs="Times New Roman"/>
                <w:kern w:val="0"/>
                <w:sz w:val="20"/>
                <w:szCs w:val="20"/>
                <w:lang w:val="fr-BE" w:eastAsia="fr-FR"/>
                <w14:ligatures w14:val="none"/>
              </w:rPr>
              <w:lastRenderedPageBreak/>
              <w:t>termes de références peuvent-ils être d’origine Burundaise s’ils répondent aux critères, ou bien tous les experts clés seront étranger pour des raisons de transferts de compétences et de savoir -faire</w:t>
            </w:r>
          </w:p>
          <w:p w14:paraId="143A4FDA" w14:textId="0E129BC9" w:rsidR="006B466B" w:rsidRPr="006B466B" w:rsidRDefault="006B466B" w:rsidP="005655FB">
            <w:pPr>
              <w:ind w:left="125"/>
              <w:rPr>
                <w:rFonts w:ascii="Georgia" w:eastAsia="Times New Roman" w:hAnsi="Georgia" w:cs="Times New Roman"/>
                <w:kern w:val="0"/>
                <w:sz w:val="20"/>
                <w:szCs w:val="20"/>
                <w:lang w:val="fr-FR" w:eastAsia="fr-FR"/>
                <w14:ligatures w14:val="none"/>
              </w:rPr>
            </w:pPr>
          </w:p>
        </w:tc>
        <w:tc>
          <w:tcPr>
            <w:tcW w:w="4820" w:type="dxa"/>
            <w:vAlign w:val="center"/>
          </w:tcPr>
          <w:p w14:paraId="280E8818" w14:textId="77777777" w:rsidR="00113D1C" w:rsidRDefault="00113D1C" w:rsidP="006A7574">
            <w:pPr>
              <w:rPr>
                <w:rFonts w:ascii="Georgia" w:hAnsi="Georgia"/>
                <w:sz w:val="20"/>
                <w:szCs w:val="20"/>
                <w:lang w:val="fr-BE"/>
              </w:rPr>
            </w:pPr>
          </w:p>
          <w:p w14:paraId="3BC06EF9" w14:textId="47ABE21F" w:rsidR="00113D1C" w:rsidRPr="00113D1C" w:rsidRDefault="00113D1C" w:rsidP="006A7574">
            <w:pPr>
              <w:rPr>
                <w:rFonts w:ascii="Georgia" w:hAnsi="Georgia"/>
                <w:sz w:val="20"/>
                <w:szCs w:val="20"/>
                <w:lang w:val="fr-BE"/>
              </w:rPr>
            </w:pPr>
            <w:r w:rsidRPr="00113D1C">
              <w:rPr>
                <w:rFonts w:ascii="Georgia" w:hAnsi="Georgia"/>
                <w:sz w:val="20"/>
                <w:szCs w:val="20"/>
                <w:lang w:val="fr-BE"/>
              </w:rPr>
              <w:lastRenderedPageBreak/>
              <w:t>Le CSC ne mentionne nulle part la nationalité des Experts à l’exception du panel de méthodologues et des professionnels.</w:t>
            </w:r>
          </w:p>
          <w:p w14:paraId="1C161293" w14:textId="77777777" w:rsidR="006B466B" w:rsidRPr="00113D1C" w:rsidRDefault="006B466B" w:rsidP="006A7574">
            <w:pPr>
              <w:rPr>
                <w:rFonts w:ascii="Georgia" w:hAnsi="Georgia"/>
                <w:sz w:val="20"/>
                <w:szCs w:val="20"/>
                <w:lang w:val="fr-BE"/>
              </w:rPr>
            </w:pPr>
          </w:p>
        </w:tc>
      </w:tr>
      <w:tr w:rsidR="006B466B" w:rsidRPr="006B466B" w14:paraId="6225E18E" w14:textId="77777777" w:rsidTr="006A7574">
        <w:tc>
          <w:tcPr>
            <w:tcW w:w="4106" w:type="dxa"/>
          </w:tcPr>
          <w:p w14:paraId="1F295EDF" w14:textId="77777777" w:rsidR="007F159E" w:rsidRPr="007F159E" w:rsidRDefault="007F159E" w:rsidP="007F159E">
            <w:pPr>
              <w:rPr>
                <w:rFonts w:ascii="Georgia" w:eastAsia="Times New Roman" w:hAnsi="Georgia" w:cs="Times New Roman"/>
                <w:kern w:val="0"/>
                <w:sz w:val="20"/>
                <w:szCs w:val="20"/>
                <w:lang w:val="fr-BE" w:eastAsia="fr-FR"/>
                <w14:ligatures w14:val="none"/>
              </w:rPr>
            </w:pPr>
            <w:r>
              <w:rPr>
                <w:rFonts w:ascii="Georgia" w:eastAsia="Times New Roman" w:hAnsi="Georgia" w:cs="Times New Roman"/>
                <w:kern w:val="0"/>
                <w:sz w:val="20"/>
                <w:szCs w:val="20"/>
                <w:lang w:val="fr-FR" w:eastAsia="fr-FR"/>
                <w14:ligatures w14:val="none"/>
              </w:rPr>
              <w:lastRenderedPageBreak/>
              <w:t xml:space="preserve">30. </w:t>
            </w:r>
            <w:r w:rsidRPr="007F159E">
              <w:rPr>
                <w:rFonts w:ascii="Georgia" w:eastAsia="Times New Roman" w:hAnsi="Georgia" w:cs="Times New Roman"/>
                <w:kern w:val="0"/>
                <w:sz w:val="20"/>
                <w:szCs w:val="20"/>
                <w:lang w:val="fr-BE" w:eastAsia="fr-FR"/>
                <w14:ligatures w14:val="none"/>
              </w:rPr>
              <w:t>la prise en charge du Panel des méthodologues nationaux et des 3 professionnels par métier</w:t>
            </w:r>
          </w:p>
          <w:p w14:paraId="112953C7" w14:textId="77777777" w:rsidR="007F159E" w:rsidRPr="007F159E" w:rsidRDefault="007F159E" w:rsidP="007F159E">
            <w:pPr>
              <w:rPr>
                <w:rFonts w:ascii="Georgia" w:eastAsia="Times New Roman" w:hAnsi="Georgia" w:cs="Times New Roman"/>
                <w:kern w:val="0"/>
                <w:sz w:val="20"/>
                <w:szCs w:val="20"/>
                <w:lang w:val="fr-BE" w:eastAsia="fr-FR"/>
                <w14:ligatures w14:val="none"/>
              </w:rPr>
            </w:pPr>
            <w:r w:rsidRPr="007F159E">
              <w:rPr>
                <w:rFonts w:ascii="Georgia" w:eastAsia="Times New Roman" w:hAnsi="Georgia" w:cs="Times New Roman"/>
                <w:kern w:val="0"/>
                <w:sz w:val="20"/>
                <w:szCs w:val="20"/>
                <w:lang w:val="fr-BE" w:eastAsia="fr-FR"/>
                <w14:ligatures w14:val="none"/>
              </w:rPr>
              <w:t>Ces panels par métier sont à prendre en compte dans notre offre financière. Nous souhaitons plus de clarification quant à ce point. Ce panel serait-il recruté par nous issue du personnel de la formation professionnel existant ou bien il sera désigné lors de la mise en œuvre du projet. Ce personnel n’est pas désigné, ni leur expérience spécifique, nombre d’années d’expérience et expérience en matière de formation - et niveau de qualification. Ce point mérite une clarification pour leur prise en charge dans notre offre financière de manière forfaitaire selon le tableau de l’offre.</w:t>
            </w:r>
          </w:p>
          <w:p w14:paraId="6E1F6023" w14:textId="797FA6B2" w:rsidR="006B466B" w:rsidRPr="006B466B" w:rsidRDefault="006B466B" w:rsidP="005655FB">
            <w:pPr>
              <w:ind w:left="125"/>
              <w:rPr>
                <w:rFonts w:ascii="Georgia" w:eastAsia="Times New Roman" w:hAnsi="Georgia" w:cs="Times New Roman"/>
                <w:kern w:val="0"/>
                <w:sz w:val="20"/>
                <w:szCs w:val="20"/>
                <w:lang w:val="fr-FR" w:eastAsia="fr-FR"/>
                <w14:ligatures w14:val="none"/>
              </w:rPr>
            </w:pPr>
          </w:p>
        </w:tc>
        <w:tc>
          <w:tcPr>
            <w:tcW w:w="4820" w:type="dxa"/>
            <w:vAlign w:val="center"/>
          </w:tcPr>
          <w:p w14:paraId="0266572A" w14:textId="77777777" w:rsidR="007F159E" w:rsidRPr="007F159E" w:rsidRDefault="007F159E" w:rsidP="006A7574">
            <w:pPr>
              <w:rPr>
                <w:rFonts w:ascii="Georgia" w:hAnsi="Georgia"/>
                <w:sz w:val="20"/>
                <w:szCs w:val="20"/>
                <w:lang w:val="fr-BE"/>
              </w:rPr>
            </w:pPr>
            <w:r w:rsidRPr="007F159E">
              <w:rPr>
                <w:rFonts w:ascii="Georgia" w:hAnsi="Georgia"/>
                <w:sz w:val="20"/>
                <w:szCs w:val="20"/>
                <w:lang w:val="fr-BE"/>
              </w:rPr>
              <w:t>La prise en charge de ces méthodologues et professionnels est à inclure dans l’offre du soumissionnaire. Ils sont à recruter par le soumissionnaire en tenant compte  de leur mission (cf. méthodologie du prestataire)</w:t>
            </w:r>
          </w:p>
          <w:p w14:paraId="44B801B2" w14:textId="77777777" w:rsidR="006B466B" w:rsidRPr="007F159E" w:rsidRDefault="006B466B" w:rsidP="006A7574">
            <w:pPr>
              <w:rPr>
                <w:rFonts w:ascii="Georgia" w:hAnsi="Georgia"/>
                <w:sz w:val="20"/>
                <w:szCs w:val="20"/>
                <w:lang w:val="fr-BE"/>
              </w:rPr>
            </w:pPr>
          </w:p>
        </w:tc>
      </w:tr>
      <w:tr w:rsidR="006B466B" w:rsidRPr="006B466B" w14:paraId="1204F7DE" w14:textId="77777777" w:rsidTr="006A7574">
        <w:tc>
          <w:tcPr>
            <w:tcW w:w="4106" w:type="dxa"/>
          </w:tcPr>
          <w:p w14:paraId="284DA8F9" w14:textId="29DE8729" w:rsidR="006347D8" w:rsidRPr="006347D8" w:rsidRDefault="007F159E" w:rsidP="006347D8">
            <w:pPr>
              <w:rPr>
                <w:rFonts w:ascii="Georgia" w:eastAsia="Times New Roman" w:hAnsi="Georgia" w:cs="Times New Roman"/>
                <w:kern w:val="0"/>
                <w:sz w:val="20"/>
                <w:szCs w:val="20"/>
                <w:lang w:val="fr-BE" w:eastAsia="fr-FR"/>
                <w14:ligatures w14:val="none"/>
              </w:rPr>
            </w:pPr>
            <w:r>
              <w:rPr>
                <w:rFonts w:ascii="Georgia" w:eastAsia="Times New Roman" w:hAnsi="Georgia" w:cs="Times New Roman"/>
                <w:kern w:val="0"/>
                <w:sz w:val="20"/>
                <w:szCs w:val="20"/>
                <w:lang w:val="fr-FR" w:eastAsia="fr-FR"/>
                <w14:ligatures w14:val="none"/>
              </w:rPr>
              <w:t>31.</w:t>
            </w:r>
            <w:r w:rsidR="006347D8" w:rsidRPr="006347D8">
              <w:rPr>
                <w:rFonts w:ascii="Arial" w:eastAsia="Times New Roman" w:hAnsi="Arial" w:cs="Arial"/>
                <w:color w:val="002060"/>
                <w:kern w:val="0"/>
                <w:sz w:val="20"/>
                <w:szCs w:val="20"/>
                <w:lang w:val="fr-BE" w:eastAsia="fr-BE"/>
                <w14:ligatures w14:val="none"/>
              </w:rPr>
              <w:t xml:space="preserve"> </w:t>
            </w:r>
            <w:r w:rsidR="006347D8" w:rsidRPr="006347D8">
              <w:rPr>
                <w:rFonts w:ascii="Georgia" w:eastAsia="Times New Roman" w:hAnsi="Georgia" w:cs="Times New Roman"/>
                <w:kern w:val="0"/>
                <w:sz w:val="20"/>
                <w:szCs w:val="20"/>
                <w:lang w:val="fr-BE" w:eastAsia="fr-FR"/>
                <w14:ligatures w14:val="none"/>
              </w:rPr>
              <w:t>Le panel de spécialiste (La même remarque que la question précédente)</w:t>
            </w:r>
          </w:p>
          <w:p w14:paraId="4658269B" w14:textId="77777777" w:rsidR="006347D8" w:rsidRPr="006347D8" w:rsidRDefault="006347D8" w:rsidP="006347D8">
            <w:pPr>
              <w:rPr>
                <w:rFonts w:ascii="Georgia" w:eastAsia="Times New Roman" w:hAnsi="Georgia" w:cs="Times New Roman"/>
                <w:kern w:val="0"/>
                <w:sz w:val="20"/>
                <w:szCs w:val="20"/>
                <w:lang w:val="fr-BE" w:eastAsia="fr-FR"/>
                <w14:ligatures w14:val="none"/>
              </w:rPr>
            </w:pPr>
            <w:r w:rsidRPr="006347D8">
              <w:rPr>
                <w:rFonts w:ascii="Georgia" w:eastAsia="Times New Roman" w:hAnsi="Georgia" w:cs="Times New Roman"/>
                <w:kern w:val="0"/>
                <w:sz w:val="20"/>
                <w:szCs w:val="20"/>
                <w:lang w:val="fr-BE" w:eastAsia="fr-FR"/>
                <w14:ligatures w14:val="none"/>
              </w:rPr>
              <w:t>Ce panel de spécialiste étant également national peut-il dans ce cas remplir son rôle pour les besoins d’une amélioration qualitative et technique des référentiels métiers si le Burundi n’en dispose pas de personnel qualifié. La question relative à leur qualification, expérience et savoir-faire avancé pour servir de repère à ces métiers mais également à leur prise en charge financière de manière forfaitaire reste un point à clarifier, étant donné que nous ne disposons pas de leur CV. Ni de leurs références professionnelles</w:t>
            </w:r>
          </w:p>
          <w:p w14:paraId="68357B76" w14:textId="3ECDF375" w:rsidR="006B466B" w:rsidRPr="006B466B" w:rsidRDefault="006B466B" w:rsidP="005655FB">
            <w:pPr>
              <w:ind w:left="125"/>
              <w:rPr>
                <w:rFonts w:ascii="Georgia" w:eastAsia="Times New Roman" w:hAnsi="Georgia" w:cs="Times New Roman"/>
                <w:kern w:val="0"/>
                <w:sz w:val="20"/>
                <w:szCs w:val="20"/>
                <w:lang w:val="fr-FR" w:eastAsia="fr-FR"/>
                <w14:ligatures w14:val="none"/>
              </w:rPr>
            </w:pPr>
          </w:p>
        </w:tc>
        <w:tc>
          <w:tcPr>
            <w:tcW w:w="4820" w:type="dxa"/>
            <w:vAlign w:val="center"/>
          </w:tcPr>
          <w:p w14:paraId="7C637E55" w14:textId="77777777" w:rsidR="006347D8" w:rsidRPr="006347D8" w:rsidRDefault="006347D8" w:rsidP="006A7574">
            <w:pPr>
              <w:rPr>
                <w:rFonts w:ascii="Georgia" w:hAnsi="Georgia"/>
                <w:sz w:val="20"/>
                <w:szCs w:val="20"/>
                <w:lang w:val="fr-BE"/>
              </w:rPr>
            </w:pPr>
            <w:r w:rsidRPr="006347D8">
              <w:rPr>
                <w:rFonts w:ascii="Georgia" w:hAnsi="Georgia"/>
                <w:sz w:val="20"/>
                <w:szCs w:val="20"/>
                <w:lang w:val="fr-BE"/>
              </w:rPr>
              <w:t>La prise en charge de ces méthodologues et professionnels est à inclure dans l’offre du soumissionnaire. Ils sont à recruter par le soumissionnaire en tenant compte de leur mission (cf. méthodologie du prestataire)</w:t>
            </w:r>
          </w:p>
          <w:p w14:paraId="66CE439E" w14:textId="77777777" w:rsidR="006B466B" w:rsidRPr="006347D8" w:rsidRDefault="006B466B" w:rsidP="006A7574">
            <w:pPr>
              <w:rPr>
                <w:rFonts w:ascii="Georgia" w:hAnsi="Georgia"/>
                <w:sz w:val="20"/>
                <w:szCs w:val="20"/>
                <w:lang w:val="fr-BE"/>
              </w:rPr>
            </w:pPr>
          </w:p>
        </w:tc>
      </w:tr>
      <w:tr w:rsidR="006B466B" w:rsidRPr="006B466B" w14:paraId="3A22260D" w14:textId="77777777" w:rsidTr="006A7574">
        <w:tc>
          <w:tcPr>
            <w:tcW w:w="4106" w:type="dxa"/>
          </w:tcPr>
          <w:p w14:paraId="38831146" w14:textId="51C789B6" w:rsidR="006B466B" w:rsidRPr="00A00E4E" w:rsidRDefault="006347D8" w:rsidP="005655FB">
            <w:pPr>
              <w:ind w:left="125"/>
              <w:rPr>
                <w:rFonts w:ascii="Georgia" w:eastAsia="Times New Roman" w:hAnsi="Georgia" w:cs="Times New Roman"/>
                <w:kern w:val="0"/>
                <w:sz w:val="20"/>
                <w:szCs w:val="20"/>
                <w:lang w:val="fr-BE" w:eastAsia="fr-FR"/>
                <w14:ligatures w14:val="none"/>
              </w:rPr>
            </w:pPr>
            <w:r>
              <w:rPr>
                <w:rFonts w:ascii="Georgia" w:eastAsia="Times New Roman" w:hAnsi="Georgia" w:cs="Times New Roman"/>
                <w:kern w:val="0"/>
                <w:sz w:val="20"/>
                <w:szCs w:val="20"/>
                <w:lang w:val="fr-FR" w:eastAsia="fr-FR"/>
                <w14:ligatures w14:val="none"/>
              </w:rPr>
              <w:t>32.</w:t>
            </w:r>
            <w:r w:rsidR="00A00E4E" w:rsidRPr="00A00E4E">
              <w:rPr>
                <w:rFonts w:ascii="Arial" w:hAnsi="Arial" w:cs="Arial"/>
                <w:color w:val="002060"/>
                <w:sz w:val="20"/>
                <w:szCs w:val="20"/>
                <w:lang w:val="fr-BE"/>
              </w:rPr>
              <w:t xml:space="preserve"> </w:t>
            </w:r>
            <w:r w:rsidR="00A00E4E" w:rsidRPr="00A00E4E">
              <w:rPr>
                <w:rFonts w:ascii="Georgia" w:eastAsia="Times New Roman" w:hAnsi="Georgia" w:cs="Times New Roman"/>
                <w:kern w:val="0"/>
                <w:sz w:val="20"/>
                <w:szCs w:val="20"/>
                <w:lang w:val="fr-BE" w:eastAsia="fr-FR"/>
                <w14:ligatures w14:val="none"/>
              </w:rPr>
              <w:t>seront nous responsables de recruter ces deux panels de méthodologues nationaux et du panel de spécialistes. Dans l’affirmative, avons-nous des bases sur leur recrutement et ou une grille d’évaluation.</w:t>
            </w:r>
          </w:p>
        </w:tc>
        <w:tc>
          <w:tcPr>
            <w:tcW w:w="4820" w:type="dxa"/>
            <w:vAlign w:val="center"/>
          </w:tcPr>
          <w:p w14:paraId="065ADB33" w14:textId="77777777" w:rsidR="00A00E4E" w:rsidRPr="00A00E4E" w:rsidRDefault="00A00E4E" w:rsidP="006A7574">
            <w:pPr>
              <w:rPr>
                <w:rFonts w:ascii="Georgia" w:hAnsi="Georgia"/>
                <w:sz w:val="20"/>
                <w:szCs w:val="20"/>
                <w:lang w:val="fr-BE"/>
              </w:rPr>
            </w:pPr>
            <w:r w:rsidRPr="00A00E4E">
              <w:rPr>
                <w:rFonts w:ascii="Georgia" w:hAnsi="Georgia"/>
                <w:sz w:val="20"/>
                <w:szCs w:val="20"/>
                <w:lang w:val="fr-BE"/>
              </w:rPr>
              <w:t>Voir réponse ci-dessus</w:t>
            </w:r>
          </w:p>
          <w:p w14:paraId="173A7EE0" w14:textId="77777777" w:rsidR="006B466B" w:rsidRPr="006B466B" w:rsidRDefault="006B466B" w:rsidP="006A7574">
            <w:pPr>
              <w:rPr>
                <w:rFonts w:ascii="Georgia" w:hAnsi="Georgia"/>
                <w:sz w:val="20"/>
                <w:szCs w:val="20"/>
                <w:lang w:val="fr-FR"/>
              </w:rPr>
            </w:pPr>
          </w:p>
        </w:tc>
      </w:tr>
      <w:tr w:rsidR="006B466B" w:rsidRPr="006B466B" w14:paraId="16E6B153" w14:textId="77777777" w:rsidTr="006A7574">
        <w:tc>
          <w:tcPr>
            <w:tcW w:w="4106" w:type="dxa"/>
          </w:tcPr>
          <w:p w14:paraId="370C8BF3" w14:textId="77777777" w:rsidR="00A00E4E" w:rsidRPr="00A00E4E" w:rsidRDefault="00A00E4E" w:rsidP="00A00E4E">
            <w:pPr>
              <w:rPr>
                <w:rFonts w:ascii="Georgia" w:eastAsia="Times New Roman" w:hAnsi="Georgia" w:cs="Times New Roman"/>
                <w:kern w:val="0"/>
                <w:sz w:val="20"/>
                <w:szCs w:val="20"/>
                <w:lang w:val="fr-BE" w:eastAsia="fr-FR"/>
                <w14:ligatures w14:val="none"/>
              </w:rPr>
            </w:pPr>
            <w:r>
              <w:rPr>
                <w:rFonts w:ascii="Georgia" w:eastAsia="Times New Roman" w:hAnsi="Georgia" w:cs="Times New Roman"/>
                <w:kern w:val="0"/>
                <w:sz w:val="20"/>
                <w:szCs w:val="20"/>
                <w:lang w:val="fr-FR" w:eastAsia="fr-FR"/>
                <w14:ligatures w14:val="none"/>
              </w:rPr>
              <w:t xml:space="preserve">33. </w:t>
            </w:r>
            <w:r w:rsidRPr="00A00E4E">
              <w:rPr>
                <w:rFonts w:ascii="Georgia" w:eastAsia="Times New Roman" w:hAnsi="Georgia" w:cs="Times New Roman"/>
                <w:kern w:val="0"/>
                <w:sz w:val="20"/>
                <w:szCs w:val="20"/>
                <w:lang w:val="fr-BE" w:eastAsia="fr-FR"/>
                <w14:ligatures w14:val="none"/>
              </w:rPr>
              <w:t>Le formation d’un panel d’utilisateurs / (plan de renforcement des capacités / Support de formation)</w:t>
            </w:r>
          </w:p>
          <w:p w14:paraId="7761CB6E" w14:textId="77777777" w:rsidR="00A00E4E" w:rsidRPr="00A00E4E" w:rsidRDefault="00A00E4E" w:rsidP="00A00E4E">
            <w:pPr>
              <w:rPr>
                <w:rFonts w:ascii="Georgia" w:eastAsia="Times New Roman" w:hAnsi="Georgia" w:cs="Times New Roman"/>
                <w:kern w:val="0"/>
                <w:sz w:val="20"/>
                <w:szCs w:val="20"/>
                <w:lang w:val="fr-BE" w:eastAsia="fr-FR"/>
                <w14:ligatures w14:val="none"/>
              </w:rPr>
            </w:pPr>
            <w:r w:rsidRPr="00A00E4E">
              <w:rPr>
                <w:rFonts w:ascii="Georgia" w:eastAsia="Times New Roman" w:hAnsi="Georgia" w:cs="Times New Roman"/>
                <w:kern w:val="0"/>
                <w:sz w:val="20"/>
                <w:szCs w:val="20"/>
                <w:lang w:val="fr-BE" w:eastAsia="fr-FR"/>
                <w14:ligatures w14:val="none"/>
              </w:rPr>
              <w:t xml:space="preserve">La durée prévue en ressources humaines est de l’ordre de 49 H-Jours, cela couvrira la mise à niveau d’un panel d’utilisateur. Cette formation nécessitera la préparation d’un plateau de formation pouvant requérir des équipements nouveaux et de nouvelles technologies/techniques dont l’acquisition n’est pas prévue dans le dossier technique </w:t>
            </w:r>
            <w:r w:rsidRPr="00A00E4E">
              <w:rPr>
                <w:rFonts w:ascii="Georgia" w:eastAsia="Times New Roman" w:hAnsi="Georgia" w:cs="Times New Roman"/>
                <w:kern w:val="0"/>
                <w:sz w:val="20"/>
                <w:szCs w:val="20"/>
                <w:lang w:val="fr-BE" w:eastAsia="fr-FR"/>
                <w14:ligatures w14:val="none"/>
              </w:rPr>
              <w:lastRenderedPageBreak/>
              <w:t>et financier. (À acquérir par qui mais aussi la matière première). Cela est-il prévu par ENABEL ?</w:t>
            </w:r>
          </w:p>
          <w:p w14:paraId="674DBA6E" w14:textId="7DC63936" w:rsidR="006B466B" w:rsidRPr="00A00E4E" w:rsidRDefault="006B466B" w:rsidP="005655FB">
            <w:pPr>
              <w:ind w:left="125"/>
              <w:rPr>
                <w:rFonts w:ascii="Georgia" w:eastAsia="Times New Roman" w:hAnsi="Georgia" w:cs="Times New Roman"/>
                <w:kern w:val="0"/>
                <w:sz w:val="20"/>
                <w:szCs w:val="20"/>
                <w:lang w:val="fr-BE" w:eastAsia="fr-FR"/>
                <w14:ligatures w14:val="none"/>
              </w:rPr>
            </w:pPr>
          </w:p>
        </w:tc>
        <w:tc>
          <w:tcPr>
            <w:tcW w:w="4820" w:type="dxa"/>
            <w:vAlign w:val="center"/>
          </w:tcPr>
          <w:p w14:paraId="6B4171B7" w14:textId="77777777" w:rsidR="005425AA" w:rsidRPr="005425AA" w:rsidRDefault="005425AA" w:rsidP="006A7574">
            <w:pPr>
              <w:rPr>
                <w:rFonts w:ascii="Georgia" w:hAnsi="Georgia"/>
                <w:sz w:val="20"/>
                <w:szCs w:val="20"/>
                <w:lang w:val="fr-BE"/>
              </w:rPr>
            </w:pPr>
            <w:r w:rsidRPr="005425AA">
              <w:rPr>
                <w:rFonts w:ascii="Georgia" w:hAnsi="Georgia"/>
                <w:sz w:val="20"/>
                <w:szCs w:val="20"/>
                <w:lang w:val="fr-BE"/>
              </w:rPr>
              <w:lastRenderedPageBreak/>
              <w:t xml:space="preserve">Le CSC ne prévoit pas l’acquisition d’équipements techniques ou plateaux de formation par le prestataire. </w:t>
            </w:r>
            <w:proofErr w:type="spellStart"/>
            <w:r w:rsidRPr="005425AA">
              <w:rPr>
                <w:rFonts w:ascii="Georgia" w:hAnsi="Georgia"/>
                <w:sz w:val="20"/>
                <w:szCs w:val="20"/>
                <w:lang w:val="fr-BE"/>
              </w:rPr>
              <w:t>Enabel</w:t>
            </w:r>
            <w:proofErr w:type="spellEnd"/>
            <w:r w:rsidRPr="005425AA">
              <w:rPr>
                <w:rFonts w:ascii="Georgia" w:hAnsi="Georgia"/>
                <w:sz w:val="20"/>
                <w:szCs w:val="20"/>
                <w:lang w:val="fr-BE"/>
              </w:rPr>
              <w:t>, de concert avec le prestataire choisira le meilleur cadre pour ces formations.</w:t>
            </w:r>
          </w:p>
          <w:p w14:paraId="2BF5FC8F" w14:textId="77777777" w:rsidR="006B466B" w:rsidRPr="005425AA" w:rsidRDefault="006B466B" w:rsidP="006A7574">
            <w:pPr>
              <w:rPr>
                <w:rFonts w:ascii="Georgia" w:hAnsi="Georgia"/>
                <w:sz w:val="20"/>
                <w:szCs w:val="20"/>
                <w:lang w:val="fr-BE"/>
              </w:rPr>
            </w:pPr>
          </w:p>
        </w:tc>
      </w:tr>
      <w:tr w:rsidR="006B466B" w:rsidRPr="006B466B" w14:paraId="211A0D8A" w14:textId="77777777" w:rsidTr="006A7574">
        <w:tc>
          <w:tcPr>
            <w:tcW w:w="4106" w:type="dxa"/>
          </w:tcPr>
          <w:p w14:paraId="013AEF01" w14:textId="52C1B4C6" w:rsidR="006B466B" w:rsidRPr="00C95C48" w:rsidRDefault="00C95C48" w:rsidP="005655FB">
            <w:pPr>
              <w:ind w:left="125"/>
              <w:rPr>
                <w:rFonts w:ascii="Georgia" w:eastAsia="Times New Roman" w:hAnsi="Georgia" w:cs="Times New Roman"/>
                <w:kern w:val="0"/>
                <w:sz w:val="20"/>
                <w:szCs w:val="20"/>
                <w:lang w:val="fr-BE" w:eastAsia="fr-FR"/>
                <w14:ligatures w14:val="none"/>
              </w:rPr>
            </w:pPr>
            <w:r>
              <w:rPr>
                <w:rFonts w:ascii="Georgia" w:eastAsia="Times New Roman" w:hAnsi="Georgia" w:cs="Times New Roman"/>
                <w:kern w:val="0"/>
                <w:sz w:val="20"/>
                <w:szCs w:val="20"/>
                <w:lang w:val="fr-FR" w:eastAsia="fr-FR"/>
                <w14:ligatures w14:val="none"/>
              </w:rPr>
              <w:t xml:space="preserve">34. </w:t>
            </w:r>
            <w:r w:rsidRPr="00C95C48">
              <w:rPr>
                <w:rFonts w:ascii="Georgia" w:eastAsia="Times New Roman" w:hAnsi="Georgia" w:cs="Times New Roman"/>
                <w:kern w:val="0"/>
                <w:sz w:val="20"/>
                <w:szCs w:val="20"/>
                <w:lang w:val="fr-BE" w:eastAsia="fr-FR"/>
                <w14:ligatures w14:val="none"/>
              </w:rPr>
              <w:t>D’un autre côté la durée prévue de 49 jours la formation de formateurs et d’utilisateurs nous semble assez courte pour assurer un transfert des compétences nécessaires aux formateurs pour maîtriser pleinement. Cela peut présenter un risque quant aux objectifs pédagogiques et techniques qui doivent être transférer. Enfin la connaissance du panel de bénéficiaires à former selon les nouveaux référentiels n’est pas connus cela nous permettrait de bien établir notre offre technique et financière, matière première et plateau technique…)</w:t>
            </w:r>
          </w:p>
        </w:tc>
        <w:tc>
          <w:tcPr>
            <w:tcW w:w="4820" w:type="dxa"/>
            <w:vAlign w:val="center"/>
          </w:tcPr>
          <w:p w14:paraId="0FFE387D" w14:textId="606926BF" w:rsidR="00C95C48" w:rsidRPr="00C95C48" w:rsidRDefault="00C95C48" w:rsidP="006A7574">
            <w:pPr>
              <w:rPr>
                <w:rFonts w:ascii="Georgia" w:hAnsi="Georgia"/>
                <w:sz w:val="20"/>
                <w:szCs w:val="20"/>
                <w:lang w:val="fr-BE"/>
              </w:rPr>
            </w:pPr>
            <w:r w:rsidRPr="00C95C48">
              <w:rPr>
                <w:rFonts w:ascii="Georgia" w:hAnsi="Georgia"/>
                <w:sz w:val="20"/>
                <w:szCs w:val="20"/>
                <w:lang w:val="fr-BE"/>
              </w:rPr>
              <w:t>Il s’agira d’un pool d’utilisateurs, pas de tous les formateurs. Le nombre de 49 est estimé en fonction du nombre de métiers et donc de panels à former</w:t>
            </w:r>
          </w:p>
          <w:p w14:paraId="4CEFA858" w14:textId="77777777" w:rsidR="006B466B" w:rsidRPr="00C95C48" w:rsidRDefault="006B466B" w:rsidP="006A7574">
            <w:pPr>
              <w:rPr>
                <w:rFonts w:ascii="Georgia" w:hAnsi="Georgia"/>
                <w:sz w:val="20"/>
                <w:szCs w:val="20"/>
                <w:lang w:val="fr-BE"/>
              </w:rPr>
            </w:pPr>
          </w:p>
        </w:tc>
      </w:tr>
      <w:tr w:rsidR="006B466B" w:rsidRPr="006B466B" w14:paraId="7C0E421D" w14:textId="77777777" w:rsidTr="006A7574">
        <w:tc>
          <w:tcPr>
            <w:tcW w:w="4106" w:type="dxa"/>
          </w:tcPr>
          <w:p w14:paraId="5477590E" w14:textId="379BA7C2" w:rsidR="006B466B" w:rsidRPr="00D02D58" w:rsidRDefault="00C95C48" w:rsidP="005655FB">
            <w:pPr>
              <w:ind w:left="125"/>
              <w:rPr>
                <w:rFonts w:ascii="Georgia" w:eastAsia="Times New Roman" w:hAnsi="Georgia" w:cs="Times New Roman"/>
                <w:kern w:val="0"/>
                <w:sz w:val="20"/>
                <w:szCs w:val="20"/>
                <w:lang w:val="fr-BE" w:eastAsia="fr-FR"/>
                <w14:ligatures w14:val="none"/>
              </w:rPr>
            </w:pPr>
            <w:r>
              <w:rPr>
                <w:rFonts w:ascii="Georgia" w:eastAsia="Times New Roman" w:hAnsi="Georgia" w:cs="Times New Roman"/>
                <w:kern w:val="0"/>
                <w:sz w:val="20"/>
                <w:szCs w:val="20"/>
                <w:lang w:val="fr-FR" w:eastAsia="fr-FR"/>
                <w14:ligatures w14:val="none"/>
              </w:rPr>
              <w:t xml:space="preserve">35. </w:t>
            </w:r>
            <w:r w:rsidR="00D02D58" w:rsidRPr="00D02D58">
              <w:rPr>
                <w:rFonts w:ascii="Georgia" w:eastAsia="Times New Roman" w:hAnsi="Georgia" w:cs="Times New Roman"/>
                <w:kern w:val="0"/>
                <w:sz w:val="20"/>
                <w:szCs w:val="20"/>
                <w:lang w:val="fr-BE" w:eastAsia="fr-FR"/>
                <w14:ligatures w14:val="none"/>
              </w:rPr>
              <w:t>Les nouveaux référentiels établit et validés, combinés aux formations du panel d’utilisateurs (dont le nombre n’est pas encore définit) nécessite la disponibilité des locaux. Dans ce sens existe-il une convention entre ENABEL et les Centre de formation existants ? et ou devront nous intégrer cela dans notre proposition technique à travers un démarchage préalable pour soumettre un dossier intégrant ce point</w:t>
            </w:r>
          </w:p>
        </w:tc>
        <w:tc>
          <w:tcPr>
            <w:tcW w:w="4820" w:type="dxa"/>
            <w:vAlign w:val="center"/>
          </w:tcPr>
          <w:p w14:paraId="4752A4C6" w14:textId="77777777" w:rsidR="00D02D58" w:rsidRPr="00D02D58" w:rsidRDefault="00D02D58" w:rsidP="006A7574">
            <w:pPr>
              <w:rPr>
                <w:rFonts w:ascii="Georgia" w:hAnsi="Georgia"/>
                <w:sz w:val="20"/>
                <w:szCs w:val="20"/>
                <w:lang w:val="fr-BE"/>
              </w:rPr>
            </w:pPr>
            <w:r w:rsidRPr="00D02D58">
              <w:rPr>
                <w:rFonts w:ascii="Georgia" w:hAnsi="Georgia"/>
                <w:sz w:val="20"/>
                <w:szCs w:val="20"/>
                <w:lang w:val="fr-BE"/>
              </w:rPr>
              <w:t xml:space="preserve">La logistique des ateliers de validation et des formations sur les nouveaux référentiels sera assurée par </w:t>
            </w:r>
            <w:proofErr w:type="spellStart"/>
            <w:r w:rsidRPr="00D02D58">
              <w:rPr>
                <w:rFonts w:ascii="Georgia" w:hAnsi="Georgia"/>
                <w:sz w:val="20"/>
                <w:szCs w:val="20"/>
                <w:lang w:val="fr-BE"/>
              </w:rPr>
              <w:t>Enabel</w:t>
            </w:r>
            <w:proofErr w:type="spellEnd"/>
            <w:r w:rsidRPr="00D02D58">
              <w:rPr>
                <w:rFonts w:ascii="Georgia" w:hAnsi="Georgia"/>
                <w:sz w:val="20"/>
                <w:szCs w:val="20"/>
                <w:lang w:val="fr-BE"/>
              </w:rPr>
              <w:t>.</w:t>
            </w:r>
          </w:p>
          <w:p w14:paraId="01A041F0" w14:textId="77777777" w:rsidR="006B466B" w:rsidRPr="00D02D58" w:rsidRDefault="006B466B" w:rsidP="006A7574">
            <w:pPr>
              <w:rPr>
                <w:rFonts w:ascii="Georgia" w:hAnsi="Georgia"/>
                <w:sz w:val="20"/>
                <w:szCs w:val="20"/>
                <w:lang w:val="fr-BE"/>
              </w:rPr>
            </w:pPr>
          </w:p>
        </w:tc>
      </w:tr>
    </w:tbl>
    <w:p w14:paraId="604BF883" w14:textId="77777777" w:rsidR="00DA4915" w:rsidRPr="00471495" w:rsidRDefault="00DA4915" w:rsidP="00DA4915">
      <w:pPr>
        <w:pStyle w:val="Paragraphedeliste"/>
        <w:spacing w:after="0" w:line="240" w:lineRule="auto"/>
        <w:ind w:left="174"/>
        <w:rPr>
          <w:b/>
          <w:szCs w:val="20"/>
          <w:lang w:val="fr-BE"/>
        </w:rPr>
      </w:pPr>
    </w:p>
    <w:p w14:paraId="19B0DF18" w14:textId="77777777" w:rsidR="00DA4915" w:rsidRPr="005A1215" w:rsidRDefault="00DA4915" w:rsidP="005A1215">
      <w:pPr>
        <w:ind w:left="79"/>
        <w:rPr>
          <w:b/>
          <w:sz w:val="24"/>
          <w:lang w:val="fr-BE"/>
        </w:rPr>
      </w:pPr>
    </w:p>
    <w:sectPr w:rsidR="00DA4915" w:rsidRPr="005A1215" w:rsidSect="00653492">
      <w:headerReference w:type="default" r:id="rId7"/>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4354E" w14:textId="77777777" w:rsidR="0028770A" w:rsidRDefault="0028770A" w:rsidP="005A1215">
      <w:pPr>
        <w:spacing w:after="0" w:line="240" w:lineRule="auto"/>
      </w:pPr>
      <w:r>
        <w:separator/>
      </w:r>
    </w:p>
  </w:endnote>
  <w:endnote w:type="continuationSeparator" w:id="0">
    <w:p w14:paraId="6FEDEDA7" w14:textId="77777777" w:rsidR="0028770A" w:rsidRDefault="0028770A" w:rsidP="005A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8D6B" w14:textId="77777777" w:rsidR="0028770A" w:rsidRDefault="0028770A" w:rsidP="005A1215">
      <w:pPr>
        <w:spacing w:after="0" w:line="240" w:lineRule="auto"/>
      </w:pPr>
      <w:r>
        <w:separator/>
      </w:r>
    </w:p>
  </w:footnote>
  <w:footnote w:type="continuationSeparator" w:id="0">
    <w:p w14:paraId="67B33BBD" w14:textId="77777777" w:rsidR="0028770A" w:rsidRDefault="0028770A" w:rsidP="005A1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6379" w14:textId="73F9B002" w:rsidR="005A1215" w:rsidRDefault="007F3095" w:rsidP="005A1215">
    <w:pPr>
      <w:pStyle w:val="NormalWeb"/>
      <w:jc w:val="right"/>
    </w:pPr>
    <w:r>
      <w:rPr>
        <w:noProof/>
      </w:rPr>
      <w:drawing>
        <wp:inline distT="0" distB="0" distL="0" distR="0" wp14:anchorId="4CE23403" wp14:editId="1CF23786">
          <wp:extent cx="1310640" cy="655320"/>
          <wp:effectExtent l="0" t="0" r="0" b="0"/>
          <wp:docPr id="1"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el_Logo_Col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655320"/>
                  </a:xfrm>
                  <a:prstGeom prst="rect">
                    <a:avLst/>
                  </a:prstGeom>
                  <a:noFill/>
                  <a:ln>
                    <a:noFill/>
                  </a:ln>
                </pic:spPr>
              </pic:pic>
            </a:graphicData>
          </a:graphic>
        </wp:inline>
      </w:drawing>
    </w:r>
  </w:p>
  <w:p w14:paraId="4FDA83F0" w14:textId="77777777" w:rsidR="005A1215" w:rsidRDefault="005A12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4334"/>
    <w:multiLevelType w:val="multilevel"/>
    <w:tmpl w:val="B83C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B74E1"/>
    <w:multiLevelType w:val="multilevel"/>
    <w:tmpl w:val="4042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A03FE"/>
    <w:multiLevelType w:val="hybridMultilevel"/>
    <w:tmpl w:val="15E094BE"/>
    <w:lvl w:ilvl="0" w:tplc="080C000F">
      <w:start w:val="1"/>
      <w:numFmt w:val="decimal"/>
      <w:lvlText w:val="%1."/>
      <w:lvlJc w:val="left"/>
      <w:pPr>
        <w:ind w:left="928"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76373C0"/>
    <w:multiLevelType w:val="multilevel"/>
    <w:tmpl w:val="DE08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43AC9"/>
    <w:multiLevelType w:val="multilevel"/>
    <w:tmpl w:val="DCA43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86596"/>
    <w:multiLevelType w:val="hybridMultilevel"/>
    <w:tmpl w:val="92126026"/>
    <w:lvl w:ilvl="0" w:tplc="11A442EC">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27C454C5"/>
    <w:multiLevelType w:val="multilevel"/>
    <w:tmpl w:val="C81E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92085"/>
    <w:multiLevelType w:val="hybridMultilevel"/>
    <w:tmpl w:val="FFFFFFFF"/>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6D983A63"/>
    <w:multiLevelType w:val="hybridMultilevel"/>
    <w:tmpl w:val="FFFFFFFF"/>
    <w:lvl w:ilvl="0" w:tplc="2D0CA090">
      <w:start w:val="1"/>
      <w:numFmt w:val="decimal"/>
      <w:lvlText w:val="%1-"/>
      <w:lvlJc w:val="left"/>
      <w:pPr>
        <w:ind w:left="720" w:hanging="360"/>
      </w:pPr>
      <w:rPr>
        <w:rFonts w:cs="Times New Roman" w:hint="default"/>
        <w:sz w:val="20"/>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9" w15:restartNumberingAfterBreak="0">
    <w:nsid w:val="73C50CBD"/>
    <w:multiLevelType w:val="multilevel"/>
    <w:tmpl w:val="DC182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875BA0"/>
    <w:multiLevelType w:val="hybridMultilevel"/>
    <w:tmpl w:val="9EAEF0A2"/>
    <w:lvl w:ilvl="0" w:tplc="3D846908">
      <w:start w:val="1"/>
      <w:numFmt w:val="decimal"/>
      <w:lvlText w:val="%1."/>
      <w:lvlJc w:val="left"/>
      <w:pPr>
        <w:ind w:left="360" w:hanging="360"/>
      </w:pPr>
      <w:rPr>
        <w:rFonts w:hint="default"/>
        <w:i w:val="0"/>
        <w:iCs/>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1172381017">
    <w:abstractNumId w:val="2"/>
  </w:num>
  <w:num w:numId="2" w16cid:durableId="1059356667">
    <w:abstractNumId w:val="10"/>
  </w:num>
  <w:num w:numId="3" w16cid:durableId="681518702">
    <w:abstractNumId w:val="5"/>
  </w:num>
  <w:num w:numId="4" w16cid:durableId="1499879204">
    <w:abstractNumId w:val="4"/>
  </w:num>
  <w:num w:numId="5" w16cid:durableId="43873403">
    <w:abstractNumId w:val="9"/>
  </w:num>
  <w:num w:numId="6" w16cid:durableId="618032306">
    <w:abstractNumId w:val="7"/>
  </w:num>
  <w:num w:numId="7" w16cid:durableId="241915363">
    <w:abstractNumId w:val="8"/>
  </w:num>
  <w:num w:numId="8" w16cid:durableId="394083472">
    <w:abstractNumId w:val="6"/>
  </w:num>
  <w:num w:numId="9" w16cid:durableId="593830906">
    <w:abstractNumId w:val="3"/>
  </w:num>
  <w:num w:numId="10" w16cid:durableId="485752864">
    <w:abstractNumId w:val="0"/>
  </w:num>
  <w:num w:numId="11" w16cid:durableId="468791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BF"/>
    <w:rsid w:val="000616D7"/>
    <w:rsid w:val="00070D7D"/>
    <w:rsid w:val="000738A7"/>
    <w:rsid w:val="000C6FCA"/>
    <w:rsid w:val="000D10F4"/>
    <w:rsid w:val="000F281A"/>
    <w:rsid w:val="00113D1C"/>
    <w:rsid w:val="0012137F"/>
    <w:rsid w:val="00144B5E"/>
    <w:rsid w:val="00185206"/>
    <w:rsid w:val="001920DF"/>
    <w:rsid w:val="0019699E"/>
    <w:rsid w:val="001B650C"/>
    <w:rsid w:val="002109B1"/>
    <w:rsid w:val="00231F4C"/>
    <w:rsid w:val="00267DD9"/>
    <w:rsid w:val="0027045E"/>
    <w:rsid w:val="0028770A"/>
    <w:rsid w:val="002A33F4"/>
    <w:rsid w:val="002B6036"/>
    <w:rsid w:val="002C5FA1"/>
    <w:rsid w:val="002D5F13"/>
    <w:rsid w:val="002F4C76"/>
    <w:rsid w:val="00375163"/>
    <w:rsid w:val="003A07CB"/>
    <w:rsid w:val="003E7EDF"/>
    <w:rsid w:val="00467052"/>
    <w:rsid w:val="00471495"/>
    <w:rsid w:val="0047510D"/>
    <w:rsid w:val="0048181C"/>
    <w:rsid w:val="004979AC"/>
    <w:rsid w:val="004B64DC"/>
    <w:rsid w:val="004E56C4"/>
    <w:rsid w:val="004E6FC7"/>
    <w:rsid w:val="00505694"/>
    <w:rsid w:val="00514A77"/>
    <w:rsid w:val="005200D3"/>
    <w:rsid w:val="005425AA"/>
    <w:rsid w:val="00561B9C"/>
    <w:rsid w:val="00565535"/>
    <w:rsid w:val="005655FB"/>
    <w:rsid w:val="0057443B"/>
    <w:rsid w:val="00583036"/>
    <w:rsid w:val="005A1215"/>
    <w:rsid w:val="005B039F"/>
    <w:rsid w:val="005B1972"/>
    <w:rsid w:val="005D54FA"/>
    <w:rsid w:val="005F48A6"/>
    <w:rsid w:val="00611EC7"/>
    <w:rsid w:val="006347D8"/>
    <w:rsid w:val="00653492"/>
    <w:rsid w:val="00682063"/>
    <w:rsid w:val="006833D1"/>
    <w:rsid w:val="006A659B"/>
    <w:rsid w:val="006A7574"/>
    <w:rsid w:val="006B466B"/>
    <w:rsid w:val="006B65BC"/>
    <w:rsid w:val="006D2C5C"/>
    <w:rsid w:val="006D5723"/>
    <w:rsid w:val="00717A0F"/>
    <w:rsid w:val="00783849"/>
    <w:rsid w:val="007A5855"/>
    <w:rsid w:val="007E7CFB"/>
    <w:rsid w:val="007F159E"/>
    <w:rsid w:val="007F3095"/>
    <w:rsid w:val="007F79DD"/>
    <w:rsid w:val="008853F0"/>
    <w:rsid w:val="00885910"/>
    <w:rsid w:val="0089062A"/>
    <w:rsid w:val="009439EB"/>
    <w:rsid w:val="009947BF"/>
    <w:rsid w:val="009B6C1A"/>
    <w:rsid w:val="009B7274"/>
    <w:rsid w:val="009C1A89"/>
    <w:rsid w:val="009D0BDE"/>
    <w:rsid w:val="009D5B8C"/>
    <w:rsid w:val="009E0881"/>
    <w:rsid w:val="009E484B"/>
    <w:rsid w:val="00A00E4E"/>
    <w:rsid w:val="00A057F0"/>
    <w:rsid w:val="00A22F06"/>
    <w:rsid w:val="00A42722"/>
    <w:rsid w:val="00A714AB"/>
    <w:rsid w:val="00AB3783"/>
    <w:rsid w:val="00AF4F84"/>
    <w:rsid w:val="00B62F45"/>
    <w:rsid w:val="00B875EE"/>
    <w:rsid w:val="00B92F17"/>
    <w:rsid w:val="00BD28C4"/>
    <w:rsid w:val="00BE4F5B"/>
    <w:rsid w:val="00BE70BF"/>
    <w:rsid w:val="00C06082"/>
    <w:rsid w:val="00C14F07"/>
    <w:rsid w:val="00C153B1"/>
    <w:rsid w:val="00C5406A"/>
    <w:rsid w:val="00C722A1"/>
    <w:rsid w:val="00C87D3C"/>
    <w:rsid w:val="00C95C48"/>
    <w:rsid w:val="00CC6E2E"/>
    <w:rsid w:val="00CD34BF"/>
    <w:rsid w:val="00CF770C"/>
    <w:rsid w:val="00D02486"/>
    <w:rsid w:val="00D02D58"/>
    <w:rsid w:val="00DA0FA1"/>
    <w:rsid w:val="00DA3721"/>
    <w:rsid w:val="00DA4915"/>
    <w:rsid w:val="00DB0BE9"/>
    <w:rsid w:val="00DB142F"/>
    <w:rsid w:val="00DB7E4E"/>
    <w:rsid w:val="00DC3590"/>
    <w:rsid w:val="00DC6667"/>
    <w:rsid w:val="00DE2F7B"/>
    <w:rsid w:val="00DF04F5"/>
    <w:rsid w:val="00DF30F5"/>
    <w:rsid w:val="00E10C7F"/>
    <w:rsid w:val="00E31218"/>
    <w:rsid w:val="00E34F5D"/>
    <w:rsid w:val="00E6740A"/>
    <w:rsid w:val="00E71B34"/>
    <w:rsid w:val="00E8089D"/>
    <w:rsid w:val="00E95B7B"/>
    <w:rsid w:val="00EA181F"/>
    <w:rsid w:val="00EB2FE0"/>
    <w:rsid w:val="00EC55B2"/>
    <w:rsid w:val="00EE2552"/>
    <w:rsid w:val="00F037E7"/>
    <w:rsid w:val="00F15678"/>
    <w:rsid w:val="00F42ABA"/>
    <w:rsid w:val="00F4659E"/>
    <w:rsid w:val="00F75239"/>
    <w:rsid w:val="00F80B6C"/>
    <w:rsid w:val="00FA309B"/>
    <w:rsid w:val="00FD28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DFB1E"/>
  <w15:chartTrackingRefBased/>
  <w15:docId w15:val="{7301023B-76B7-45EE-B8D4-44D4BB83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9947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947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947B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947B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947B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947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947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947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947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47BF"/>
    <w:rPr>
      <w:rFonts w:asciiTheme="majorHAnsi" w:eastAsiaTheme="majorEastAsia" w:hAnsiTheme="majorHAnsi" w:cstheme="majorBidi"/>
      <w:color w:val="2F5496" w:themeColor="accent1" w:themeShade="BF"/>
      <w:sz w:val="40"/>
      <w:szCs w:val="40"/>
      <w:lang w:val="en-GB"/>
    </w:rPr>
  </w:style>
  <w:style w:type="character" w:customStyle="1" w:styleId="Titre2Car">
    <w:name w:val="Titre 2 Car"/>
    <w:basedOn w:val="Policepardfaut"/>
    <w:link w:val="Titre2"/>
    <w:uiPriority w:val="9"/>
    <w:semiHidden/>
    <w:rsid w:val="009947BF"/>
    <w:rPr>
      <w:rFonts w:asciiTheme="majorHAnsi" w:eastAsiaTheme="majorEastAsia" w:hAnsiTheme="majorHAnsi" w:cstheme="majorBidi"/>
      <w:color w:val="2F5496" w:themeColor="accent1" w:themeShade="BF"/>
      <w:sz w:val="32"/>
      <w:szCs w:val="32"/>
      <w:lang w:val="en-GB"/>
    </w:rPr>
  </w:style>
  <w:style w:type="character" w:customStyle="1" w:styleId="Titre3Car">
    <w:name w:val="Titre 3 Car"/>
    <w:basedOn w:val="Policepardfaut"/>
    <w:link w:val="Titre3"/>
    <w:uiPriority w:val="9"/>
    <w:semiHidden/>
    <w:rsid w:val="009947BF"/>
    <w:rPr>
      <w:rFonts w:eastAsiaTheme="majorEastAsia" w:cstheme="majorBidi"/>
      <w:color w:val="2F5496" w:themeColor="accent1" w:themeShade="BF"/>
      <w:sz w:val="28"/>
      <w:szCs w:val="28"/>
      <w:lang w:val="en-GB"/>
    </w:rPr>
  </w:style>
  <w:style w:type="character" w:customStyle="1" w:styleId="Titre4Car">
    <w:name w:val="Titre 4 Car"/>
    <w:basedOn w:val="Policepardfaut"/>
    <w:link w:val="Titre4"/>
    <w:uiPriority w:val="9"/>
    <w:semiHidden/>
    <w:rsid w:val="009947BF"/>
    <w:rPr>
      <w:rFonts w:eastAsiaTheme="majorEastAsia" w:cstheme="majorBidi"/>
      <w:i/>
      <w:iCs/>
      <w:color w:val="2F5496" w:themeColor="accent1" w:themeShade="BF"/>
      <w:lang w:val="en-GB"/>
    </w:rPr>
  </w:style>
  <w:style w:type="character" w:customStyle="1" w:styleId="Titre5Car">
    <w:name w:val="Titre 5 Car"/>
    <w:basedOn w:val="Policepardfaut"/>
    <w:link w:val="Titre5"/>
    <w:uiPriority w:val="9"/>
    <w:semiHidden/>
    <w:rsid w:val="009947BF"/>
    <w:rPr>
      <w:rFonts w:eastAsiaTheme="majorEastAsia" w:cstheme="majorBidi"/>
      <w:color w:val="2F5496" w:themeColor="accent1" w:themeShade="BF"/>
      <w:lang w:val="en-GB"/>
    </w:rPr>
  </w:style>
  <w:style w:type="character" w:customStyle="1" w:styleId="Titre6Car">
    <w:name w:val="Titre 6 Car"/>
    <w:basedOn w:val="Policepardfaut"/>
    <w:link w:val="Titre6"/>
    <w:uiPriority w:val="9"/>
    <w:semiHidden/>
    <w:rsid w:val="009947BF"/>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9947BF"/>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9947BF"/>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9947BF"/>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994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47BF"/>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9947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947BF"/>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9947BF"/>
    <w:pPr>
      <w:spacing w:before="160"/>
      <w:jc w:val="center"/>
    </w:pPr>
    <w:rPr>
      <w:i/>
      <w:iCs/>
      <w:color w:val="404040" w:themeColor="text1" w:themeTint="BF"/>
    </w:rPr>
  </w:style>
  <w:style w:type="character" w:customStyle="1" w:styleId="CitationCar">
    <w:name w:val="Citation Car"/>
    <w:basedOn w:val="Policepardfaut"/>
    <w:link w:val="Citation"/>
    <w:uiPriority w:val="29"/>
    <w:rsid w:val="009947BF"/>
    <w:rPr>
      <w:i/>
      <w:iCs/>
      <w:color w:val="404040" w:themeColor="text1" w:themeTint="BF"/>
      <w:lang w:val="en-GB"/>
    </w:rPr>
  </w:style>
  <w:style w:type="paragraph" w:styleId="Paragraphedeliste">
    <w:name w:val="List Paragraph"/>
    <w:basedOn w:val="Normal"/>
    <w:uiPriority w:val="34"/>
    <w:qFormat/>
    <w:rsid w:val="009947BF"/>
    <w:pPr>
      <w:ind w:left="720"/>
      <w:contextualSpacing/>
    </w:pPr>
  </w:style>
  <w:style w:type="character" w:styleId="Accentuationintense">
    <w:name w:val="Intense Emphasis"/>
    <w:basedOn w:val="Policepardfaut"/>
    <w:uiPriority w:val="21"/>
    <w:qFormat/>
    <w:rsid w:val="009947BF"/>
    <w:rPr>
      <w:i/>
      <w:iCs/>
      <w:color w:val="2F5496" w:themeColor="accent1" w:themeShade="BF"/>
    </w:rPr>
  </w:style>
  <w:style w:type="paragraph" w:styleId="Citationintense">
    <w:name w:val="Intense Quote"/>
    <w:basedOn w:val="Normal"/>
    <w:next w:val="Normal"/>
    <w:link w:val="CitationintenseCar"/>
    <w:uiPriority w:val="30"/>
    <w:qFormat/>
    <w:rsid w:val="00994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947BF"/>
    <w:rPr>
      <w:i/>
      <w:iCs/>
      <w:color w:val="2F5496" w:themeColor="accent1" w:themeShade="BF"/>
      <w:lang w:val="en-GB"/>
    </w:rPr>
  </w:style>
  <w:style w:type="character" w:styleId="Rfrenceintense">
    <w:name w:val="Intense Reference"/>
    <w:basedOn w:val="Policepardfaut"/>
    <w:uiPriority w:val="32"/>
    <w:qFormat/>
    <w:rsid w:val="009947BF"/>
    <w:rPr>
      <w:b/>
      <w:bCs/>
      <w:smallCaps/>
      <w:color w:val="2F5496" w:themeColor="accent1" w:themeShade="BF"/>
      <w:spacing w:val="5"/>
    </w:rPr>
  </w:style>
  <w:style w:type="table" w:styleId="Grilledutableau">
    <w:name w:val="Table Grid"/>
    <w:basedOn w:val="TableauNormal"/>
    <w:uiPriority w:val="39"/>
    <w:rsid w:val="00994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A1215"/>
    <w:pPr>
      <w:tabs>
        <w:tab w:val="center" w:pos="4536"/>
        <w:tab w:val="right" w:pos="9072"/>
      </w:tabs>
      <w:spacing w:after="0" w:line="240" w:lineRule="auto"/>
    </w:pPr>
  </w:style>
  <w:style w:type="character" w:customStyle="1" w:styleId="En-tteCar">
    <w:name w:val="En-tête Car"/>
    <w:basedOn w:val="Policepardfaut"/>
    <w:link w:val="En-tte"/>
    <w:uiPriority w:val="99"/>
    <w:rsid w:val="005A1215"/>
    <w:rPr>
      <w:lang w:val="en-GB"/>
    </w:rPr>
  </w:style>
  <w:style w:type="paragraph" w:styleId="Pieddepage">
    <w:name w:val="footer"/>
    <w:basedOn w:val="Normal"/>
    <w:link w:val="PieddepageCar"/>
    <w:uiPriority w:val="99"/>
    <w:unhideWhenUsed/>
    <w:rsid w:val="005A12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1215"/>
    <w:rPr>
      <w:lang w:val="en-GB"/>
    </w:rPr>
  </w:style>
  <w:style w:type="paragraph" w:styleId="NormalWeb">
    <w:name w:val="Normal (Web)"/>
    <w:basedOn w:val="Normal"/>
    <w:uiPriority w:val="99"/>
    <w:unhideWhenUsed/>
    <w:rsid w:val="005A1215"/>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paragraph" w:styleId="Corpsdetexte">
    <w:name w:val="Body Text"/>
    <w:basedOn w:val="Normal"/>
    <w:link w:val="CorpsdetexteCar"/>
    <w:uiPriority w:val="1"/>
    <w:qFormat/>
    <w:rsid w:val="005A1215"/>
    <w:pPr>
      <w:widowControl w:val="0"/>
      <w:autoSpaceDE w:val="0"/>
      <w:autoSpaceDN w:val="0"/>
      <w:spacing w:after="0" w:line="240" w:lineRule="auto"/>
    </w:pPr>
    <w:rPr>
      <w:rFonts w:ascii="Georgia" w:eastAsia="Georgia" w:hAnsi="Georgia" w:cs="Georgia"/>
      <w:kern w:val="0"/>
      <w:sz w:val="21"/>
      <w:szCs w:val="21"/>
      <w:lang w:val="fr-FR"/>
      <w14:ligatures w14:val="none"/>
    </w:rPr>
  </w:style>
  <w:style w:type="character" w:customStyle="1" w:styleId="CorpsdetexteCar">
    <w:name w:val="Corps de texte Car"/>
    <w:basedOn w:val="Policepardfaut"/>
    <w:link w:val="Corpsdetexte"/>
    <w:uiPriority w:val="1"/>
    <w:rsid w:val="005A1215"/>
    <w:rPr>
      <w:rFonts w:ascii="Georgia" w:eastAsia="Georgia" w:hAnsi="Georgia" w:cs="Georgia"/>
      <w:kern w:val="0"/>
      <w:sz w:val="21"/>
      <w:szCs w:val="21"/>
      <w:lang w:val="fr-FR"/>
      <w14:ligatures w14:val="none"/>
    </w:rPr>
  </w:style>
  <w:style w:type="paragraph" w:customStyle="1" w:styleId="xxxmsolistparagraph">
    <w:name w:val="x_x_xmsolistparagraph"/>
    <w:basedOn w:val="Normal"/>
    <w:rsid w:val="00F42ABA"/>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character" w:styleId="lev">
    <w:name w:val="Strong"/>
    <w:basedOn w:val="Policepardfaut"/>
    <w:uiPriority w:val="22"/>
    <w:qFormat/>
    <w:rsid w:val="00DA0FA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2629</Words>
  <Characters>14383</Characters>
  <Application>Microsoft Office Word</Application>
  <DocSecurity>0</DocSecurity>
  <Lines>532</Lines>
  <Paragraphs>151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Peyser</dc:creator>
  <cp:keywords/>
  <dc:description/>
  <cp:lastModifiedBy>KEITA, Abdoulaye</cp:lastModifiedBy>
  <cp:revision>51</cp:revision>
  <dcterms:created xsi:type="dcterms:W3CDTF">2025-11-25T06:26:00Z</dcterms:created>
  <dcterms:modified xsi:type="dcterms:W3CDTF">2025-12-15T07:47:00Z</dcterms:modified>
</cp:coreProperties>
</file>