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CC284" w14:textId="77777777" w:rsidR="00E27CD0" w:rsidRPr="00AF59F2" w:rsidRDefault="00E27CD0" w:rsidP="00AF59F2">
      <w:pPr>
        <w:jc w:val="both"/>
        <w:rPr>
          <w:sz w:val="21"/>
          <w:szCs w:val="21"/>
        </w:rPr>
      </w:pPr>
    </w:p>
    <w:p w14:paraId="406B4C92" w14:textId="69746784" w:rsidR="000C27F4" w:rsidRDefault="00397BD1" w:rsidP="000C27F4">
      <w:pPr>
        <w:tabs>
          <w:tab w:val="left" w:pos="1301"/>
        </w:tabs>
        <w:jc w:val="center"/>
        <w:rPr>
          <w:rFonts w:ascii="Georgia" w:hAnsi="Georgia"/>
          <w:sz w:val="24"/>
          <w:szCs w:val="24"/>
        </w:rPr>
      </w:pPr>
      <w:r w:rsidRPr="000C27F4">
        <w:rPr>
          <w:rFonts w:ascii="Georgia" w:hAnsi="Georgia"/>
          <w:sz w:val="24"/>
          <w:szCs w:val="24"/>
        </w:rPr>
        <w:t>A</w:t>
      </w:r>
      <w:r w:rsidR="000C27F4" w:rsidRPr="000C27F4">
        <w:rPr>
          <w:rFonts w:ascii="Georgia" w:hAnsi="Georgia"/>
          <w:sz w:val="24"/>
          <w:szCs w:val="24"/>
        </w:rPr>
        <w:t>perçu</w:t>
      </w:r>
      <w:r w:rsidRPr="000C27F4">
        <w:rPr>
          <w:rFonts w:ascii="Georgia" w:hAnsi="Georgia"/>
          <w:sz w:val="24"/>
          <w:szCs w:val="24"/>
        </w:rPr>
        <w:t xml:space="preserve"> Q</w:t>
      </w:r>
      <w:r w:rsidR="000C27F4" w:rsidRPr="000C27F4">
        <w:rPr>
          <w:rFonts w:ascii="Georgia" w:hAnsi="Georgia"/>
          <w:sz w:val="24"/>
          <w:szCs w:val="24"/>
        </w:rPr>
        <w:t>uestions/Réponses</w:t>
      </w:r>
    </w:p>
    <w:p w14:paraId="5DBFA842" w14:textId="77777777" w:rsidR="000C27F4" w:rsidRPr="000C27F4" w:rsidRDefault="000C27F4" w:rsidP="000C27F4">
      <w:pPr>
        <w:tabs>
          <w:tab w:val="left" w:pos="1301"/>
        </w:tabs>
        <w:jc w:val="center"/>
        <w:rPr>
          <w:rFonts w:ascii="Georgia" w:hAnsi="Georgia"/>
          <w:sz w:val="24"/>
          <w:szCs w:val="24"/>
        </w:rPr>
      </w:pPr>
    </w:p>
    <w:p w14:paraId="47331B40" w14:textId="08766E30" w:rsidR="000C27F4" w:rsidRPr="00CF5CC9" w:rsidRDefault="006606B3" w:rsidP="000C27F4">
      <w:pPr>
        <w:tabs>
          <w:tab w:val="left" w:pos="1301"/>
        </w:tabs>
        <w:jc w:val="center"/>
        <w:rPr>
          <w:rFonts w:ascii="Georgia" w:hAnsi="Georgia"/>
          <w:sz w:val="24"/>
          <w:szCs w:val="24"/>
        </w:rPr>
      </w:pPr>
      <w:r w:rsidRPr="000C27F4">
        <w:rPr>
          <w:b/>
          <w:bCs/>
          <w:sz w:val="21"/>
          <w:szCs w:val="21"/>
        </w:rPr>
        <w:t>BDI2300</w:t>
      </w:r>
      <w:r w:rsidR="000C27F4" w:rsidRPr="000C27F4">
        <w:rPr>
          <w:b/>
          <w:bCs/>
          <w:sz w:val="21"/>
          <w:szCs w:val="21"/>
        </w:rPr>
        <w:t>5</w:t>
      </w:r>
      <w:r w:rsidRPr="000C27F4">
        <w:rPr>
          <w:b/>
          <w:bCs/>
          <w:sz w:val="21"/>
          <w:szCs w:val="21"/>
        </w:rPr>
        <w:t>-</w:t>
      </w:r>
      <w:r w:rsidR="009224C6" w:rsidRPr="000C27F4">
        <w:rPr>
          <w:b/>
          <w:bCs/>
          <w:sz w:val="21"/>
          <w:szCs w:val="21"/>
        </w:rPr>
        <w:t>10</w:t>
      </w:r>
      <w:r w:rsidR="009224C6">
        <w:rPr>
          <w:b/>
          <w:bCs/>
          <w:sz w:val="21"/>
          <w:szCs w:val="21"/>
        </w:rPr>
        <w:t>292</w:t>
      </w:r>
      <w:r w:rsidR="009224C6" w:rsidRPr="00AF59F2">
        <w:rPr>
          <w:sz w:val="21"/>
          <w:szCs w:val="21"/>
        </w:rPr>
        <w:t xml:space="preserve"> </w:t>
      </w:r>
      <w:r w:rsidR="009224C6" w:rsidRPr="003519DF">
        <w:rPr>
          <w:b/>
          <w:bCs/>
          <w:sz w:val="21"/>
          <w:szCs w:val="21"/>
        </w:rPr>
        <w:t>Marché</w:t>
      </w:r>
      <w:r w:rsidR="006435E6">
        <w:rPr>
          <w:rFonts w:ascii="Aptos" w:hAnsi="Aptos"/>
          <w:b/>
          <w:bCs/>
          <w:color w:val="000000"/>
        </w:rPr>
        <w:t xml:space="preserve"> d</w:t>
      </w:r>
      <w:r w:rsidR="003519DF">
        <w:rPr>
          <w:rFonts w:ascii="Aptos" w:hAnsi="Aptos"/>
          <w:b/>
          <w:bCs/>
          <w:color w:val="000000"/>
        </w:rPr>
        <w:t>e fourniture</w:t>
      </w:r>
      <w:r w:rsidR="006435E6">
        <w:rPr>
          <w:rFonts w:ascii="Aptos" w:hAnsi="Aptos"/>
          <w:b/>
          <w:bCs/>
          <w:color w:val="000000"/>
        </w:rPr>
        <w:t xml:space="preserve"> </w:t>
      </w:r>
      <w:r w:rsidR="00CF5CC9">
        <w:rPr>
          <w:rFonts w:ascii="Aptos" w:hAnsi="Aptos"/>
          <w:b/>
          <w:bCs/>
          <w:color w:val="000000"/>
        </w:rPr>
        <w:t xml:space="preserve">et installation </w:t>
      </w:r>
      <w:r w:rsidR="006435E6">
        <w:rPr>
          <w:rFonts w:ascii="Aptos" w:hAnsi="Aptos"/>
          <w:b/>
          <w:bCs/>
          <w:color w:val="000000"/>
        </w:rPr>
        <w:t>de</w:t>
      </w:r>
      <w:r w:rsidR="00133F44">
        <w:rPr>
          <w:rFonts w:ascii="Aptos" w:hAnsi="Aptos"/>
          <w:b/>
          <w:bCs/>
          <w:color w:val="000000"/>
        </w:rPr>
        <w:t xml:space="preserve">s équipements </w:t>
      </w:r>
      <w:r w:rsidR="00A00A6E">
        <w:rPr>
          <w:rFonts w:ascii="Aptos" w:hAnsi="Aptos"/>
          <w:b/>
          <w:bCs/>
          <w:color w:val="000000"/>
        </w:rPr>
        <w:t xml:space="preserve">médicaux de l’Hôpital de District de </w:t>
      </w:r>
      <w:proofErr w:type="spellStart"/>
      <w:r w:rsidR="00A00A6E">
        <w:rPr>
          <w:rFonts w:ascii="Aptos" w:hAnsi="Aptos"/>
          <w:b/>
          <w:bCs/>
          <w:color w:val="000000"/>
        </w:rPr>
        <w:t>Cibitoke</w:t>
      </w:r>
      <w:proofErr w:type="spellEnd"/>
    </w:p>
    <w:tbl>
      <w:tblPr>
        <w:tblStyle w:val="Grilledutableau"/>
        <w:tblW w:w="0" w:type="auto"/>
        <w:tblLayout w:type="fixed"/>
        <w:tblLook w:val="04A0" w:firstRow="1" w:lastRow="0" w:firstColumn="1" w:lastColumn="0" w:noHBand="0" w:noVBand="1"/>
      </w:tblPr>
      <w:tblGrid>
        <w:gridCol w:w="7083"/>
        <w:gridCol w:w="5528"/>
      </w:tblGrid>
      <w:tr w:rsidR="00E27CD0" w:rsidRPr="00AF59F2" w14:paraId="5F0319DC" w14:textId="77777777" w:rsidTr="00482054">
        <w:tc>
          <w:tcPr>
            <w:tcW w:w="7083" w:type="dxa"/>
          </w:tcPr>
          <w:p w14:paraId="292CB3B9" w14:textId="3FF0C8BF" w:rsidR="00E27CD0" w:rsidRPr="00AF59F2" w:rsidRDefault="00E27CD0" w:rsidP="00E27CD0">
            <w:pPr>
              <w:tabs>
                <w:tab w:val="left" w:pos="1301"/>
              </w:tabs>
              <w:rPr>
                <w:b/>
                <w:bCs/>
                <w:sz w:val="21"/>
                <w:szCs w:val="21"/>
              </w:rPr>
            </w:pPr>
            <w:r w:rsidRPr="00AF59F2">
              <w:rPr>
                <w:b/>
                <w:bCs/>
                <w:sz w:val="21"/>
                <w:szCs w:val="21"/>
              </w:rPr>
              <w:t>QUESTION</w:t>
            </w:r>
          </w:p>
        </w:tc>
        <w:tc>
          <w:tcPr>
            <w:tcW w:w="5528" w:type="dxa"/>
          </w:tcPr>
          <w:p w14:paraId="32F7945A" w14:textId="52FA8A56" w:rsidR="00E27CD0" w:rsidRPr="00AF59F2" w:rsidRDefault="00E27CD0" w:rsidP="00E27CD0">
            <w:pPr>
              <w:tabs>
                <w:tab w:val="left" w:pos="1301"/>
              </w:tabs>
              <w:rPr>
                <w:b/>
                <w:bCs/>
                <w:sz w:val="21"/>
                <w:szCs w:val="21"/>
              </w:rPr>
            </w:pPr>
            <w:r w:rsidRPr="00AF59F2">
              <w:rPr>
                <w:b/>
                <w:bCs/>
                <w:sz w:val="21"/>
                <w:szCs w:val="21"/>
              </w:rPr>
              <w:t>REPONSE</w:t>
            </w:r>
          </w:p>
        </w:tc>
      </w:tr>
      <w:tr w:rsidR="00E27CD0" w:rsidRPr="000C27F4" w14:paraId="4B33F673" w14:textId="77777777" w:rsidTr="00482054">
        <w:tc>
          <w:tcPr>
            <w:tcW w:w="7083" w:type="dxa"/>
          </w:tcPr>
          <w:p w14:paraId="14E46F02" w14:textId="77777777" w:rsidR="00A8705A" w:rsidRPr="00A8705A" w:rsidRDefault="00A8705A" w:rsidP="00A8705A">
            <w:pPr>
              <w:shd w:val="clear" w:color="auto" w:fill="FFFFFF"/>
              <w:spacing w:before="100" w:beforeAutospacing="1" w:after="100" w:afterAutospacing="1"/>
              <w:rPr>
                <w:rFonts w:ascii="Georgia" w:hAnsi="Georgia"/>
                <w:sz w:val="20"/>
                <w:szCs w:val="20"/>
              </w:rPr>
            </w:pPr>
            <w:r w:rsidRPr="00A8705A">
              <w:rPr>
                <w:rFonts w:ascii="Georgia" w:hAnsi="Georgia"/>
                <w:sz w:val="20"/>
                <w:szCs w:val="20"/>
              </w:rPr>
              <w:t>Une entreprise internationale peut-elle participer directement sans partenaire local au Burundi ?    </w:t>
            </w:r>
          </w:p>
          <w:p w14:paraId="1503EC9C" w14:textId="5838C4D8" w:rsidR="00E27CD0" w:rsidRPr="006F38AE" w:rsidRDefault="00E27CD0" w:rsidP="000C27F4">
            <w:pPr>
              <w:shd w:val="clear" w:color="auto" w:fill="FFFFFF"/>
              <w:spacing w:before="100" w:beforeAutospacing="1" w:after="100" w:afterAutospacing="1"/>
              <w:rPr>
                <w:rFonts w:ascii="Georgia" w:hAnsi="Georgia"/>
                <w:sz w:val="20"/>
                <w:szCs w:val="20"/>
              </w:rPr>
            </w:pPr>
          </w:p>
        </w:tc>
        <w:tc>
          <w:tcPr>
            <w:tcW w:w="5528" w:type="dxa"/>
          </w:tcPr>
          <w:p w14:paraId="7FE42614" w14:textId="25B0BA1D" w:rsidR="00E27CD0" w:rsidRDefault="00AA5CDD" w:rsidP="00AA5CDD">
            <w:pPr>
              <w:jc w:val="both"/>
              <w:rPr>
                <w:rFonts w:ascii="Georgia" w:hAnsi="Georgia"/>
                <w:sz w:val="20"/>
                <w:szCs w:val="20"/>
              </w:rPr>
            </w:pPr>
            <w:r>
              <w:rPr>
                <w:rFonts w:ascii="Georgia" w:hAnsi="Georgia"/>
                <w:sz w:val="20"/>
                <w:szCs w:val="20"/>
              </w:rPr>
              <w:t>A</w:t>
            </w:r>
            <w:r w:rsidR="004F4591" w:rsidRPr="004F4591">
              <w:rPr>
                <w:rFonts w:ascii="Georgia" w:hAnsi="Georgia"/>
                <w:sz w:val="20"/>
                <w:szCs w:val="20"/>
              </w:rPr>
              <w:t xml:space="preserve">ucune restriction. Mais l’entreprise devrait garantir le respect du point </w:t>
            </w:r>
            <w:bookmarkStart w:id="0" w:name="x_x__Toc225777674"/>
            <w:r w:rsidRPr="004F4591">
              <w:rPr>
                <w:rFonts w:ascii="Georgia" w:hAnsi="Georgia"/>
                <w:sz w:val="20"/>
                <w:szCs w:val="20"/>
              </w:rPr>
              <w:t>6.4 Service</w:t>
            </w:r>
            <w:r w:rsidR="004F4591" w:rsidRPr="004F4591">
              <w:rPr>
                <w:rFonts w:ascii="Georgia" w:hAnsi="Georgia"/>
                <w:sz w:val="20"/>
                <w:szCs w:val="20"/>
              </w:rPr>
              <w:t xml:space="preserve"> après-vente</w:t>
            </w:r>
            <w:bookmarkEnd w:id="0"/>
            <w:r w:rsidR="004F4591" w:rsidRPr="004F4591">
              <w:rPr>
                <w:rFonts w:ascii="Georgia" w:hAnsi="Georgia"/>
                <w:sz w:val="20"/>
                <w:szCs w:val="20"/>
              </w:rPr>
              <w:t> des termes de référence du CSC : </w:t>
            </w:r>
          </w:p>
          <w:p w14:paraId="03DE6795" w14:textId="77777777" w:rsidR="004F4591" w:rsidRDefault="004F4591" w:rsidP="00AA5CDD">
            <w:pPr>
              <w:jc w:val="both"/>
              <w:rPr>
                <w:rFonts w:ascii="Georgia" w:hAnsi="Georgia"/>
                <w:sz w:val="20"/>
                <w:szCs w:val="20"/>
              </w:rPr>
            </w:pPr>
          </w:p>
          <w:p w14:paraId="29ED3104" w14:textId="77777777" w:rsidR="004F4591" w:rsidRPr="004F4591" w:rsidRDefault="004F4591" w:rsidP="00AA5CDD">
            <w:pPr>
              <w:jc w:val="both"/>
              <w:rPr>
                <w:rFonts w:ascii="Georgia" w:hAnsi="Georgia"/>
                <w:sz w:val="20"/>
                <w:szCs w:val="20"/>
              </w:rPr>
            </w:pPr>
            <w:r w:rsidRPr="004F4591">
              <w:rPr>
                <w:rFonts w:ascii="Georgia" w:hAnsi="Georgia"/>
                <w:sz w:val="20"/>
                <w:szCs w:val="20"/>
              </w:rPr>
              <w:t>Le soumissionnaire joindra à son offre une déclaration certifiant qu’il s’engage à :</w:t>
            </w:r>
          </w:p>
          <w:p w14:paraId="0B7E2F83" w14:textId="51EC2A4D" w:rsidR="004F4591" w:rsidRPr="004F4591" w:rsidRDefault="00AA5CDD" w:rsidP="00AA5CDD">
            <w:pPr>
              <w:numPr>
                <w:ilvl w:val="0"/>
                <w:numId w:val="3"/>
              </w:numPr>
              <w:jc w:val="both"/>
              <w:rPr>
                <w:rFonts w:ascii="Georgia" w:hAnsi="Georgia"/>
                <w:sz w:val="20"/>
                <w:szCs w:val="20"/>
              </w:rPr>
            </w:pPr>
            <w:r w:rsidRPr="004F4591">
              <w:rPr>
                <w:rFonts w:ascii="Georgia" w:hAnsi="Georgia"/>
                <w:sz w:val="20"/>
                <w:szCs w:val="20"/>
              </w:rPr>
              <w:t>Fournir</w:t>
            </w:r>
            <w:r w:rsidR="004F4591" w:rsidRPr="004F4591">
              <w:rPr>
                <w:rFonts w:ascii="Georgia" w:hAnsi="Georgia"/>
                <w:sz w:val="20"/>
                <w:szCs w:val="20"/>
              </w:rPr>
              <w:t xml:space="preserve"> pendant une période de X ans à compter de la date de livraison de la dernière fourniture, les pièces de rechange qui lui sont commandées ;</w:t>
            </w:r>
          </w:p>
          <w:p w14:paraId="02F16BE4" w14:textId="154E4C8E" w:rsidR="004F4591" w:rsidRPr="004F4591" w:rsidRDefault="00AA5CDD" w:rsidP="00AA5CDD">
            <w:pPr>
              <w:numPr>
                <w:ilvl w:val="0"/>
                <w:numId w:val="3"/>
              </w:numPr>
              <w:jc w:val="both"/>
              <w:rPr>
                <w:rFonts w:ascii="Georgia" w:hAnsi="Georgia"/>
                <w:sz w:val="20"/>
                <w:szCs w:val="20"/>
              </w:rPr>
            </w:pPr>
            <w:r w:rsidRPr="004F4591">
              <w:rPr>
                <w:rFonts w:ascii="Georgia" w:hAnsi="Georgia"/>
                <w:sz w:val="20"/>
                <w:szCs w:val="20"/>
              </w:rPr>
              <w:t>Assurer</w:t>
            </w:r>
            <w:r w:rsidR="004F4591" w:rsidRPr="004F4591">
              <w:rPr>
                <w:rFonts w:ascii="Georgia" w:hAnsi="Georgia"/>
                <w:sz w:val="20"/>
                <w:szCs w:val="20"/>
              </w:rPr>
              <w:t xml:space="preserve"> pendant une période de X ans, soit par ses services, soit par ceux de ses sous-traitants, l’entretien et la réparation de la fourniture moyennant contrat séparé. »</w:t>
            </w:r>
          </w:p>
          <w:p w14:paraId="5298CE6C" w14:textId="6DC4F37B" w:rsidR="004F4591" w:rsidRPr="006F38AE" w:rsidRDefault="004F4591" w:rsidP="00947FC2">
            <w:pPr>
              <w:rPr>
                <w:rFonts w:ascii="Georgia" w:hAnsi="Georgia"/>
                <w:sz w:val="20"/>
                <w:szCs w:val="20"/>
              </w:rPr>
            </w:pPr>
          </w:p>
        </w:tc>
      </w:tr>
      <w:tr w:rsidR="000C27F4" w:rsidRPr="000C27F4" w14:paraId="64AF0B92" w14:textId="77777777" w:rsidTr="00482054">
        <w:tc>
          <w:tcPr>
            <w:tcW w:w="7083" w:type="dxa"/>
          </w:tcPr>
          <w:p w14:paraId="28CE10F8" w14:textId="77777777" w:rsidR="00186D63" w:rsidRPr="00186D63" w:rsidRDefault="00186D63" w:rsidP="00186D63">
            <w:pPr>
              <w:shd w:val="clear" w:color="auto" w:fill="FFFFFF"/>
              <w:jc w:val="both"/>
              <w:textAlignment w:val="baseline"/>
              <w:rPr>
                <w:rFonts w:ascii="Georgia" w:eastAsia="Times New Roman" w:hAnsi="Georgia" w:cs="Segoe UI"/>
                <w:color w:val="242424"/>
                <w:kern w:val="0"/>
                <w:sz w:val="20"/>
                <w:szCs w:val="20"/>
                <w14:ligatures w14:val="none"/>
              </w:rPr>
            </w:pPr>
            <w:r w:rsidRPr="00186D63">
              <w:rPr>
                <w:rFonts w:ascii="Georgia" w:eastAsia="Times New Roman" w:hAnsi="Georgia" w:cs="Segoe UI"/>
                <w:color w:val="242424"/>
                <w:kern w:val="0"/>
                <w:sz w:val="20"/>
                <w:szCs w:val="20"/>
                <w14:ligatures w14:val="none"/>
              </w:rPr>
              <w:t>En cas de consortium ou de partenariat, existe-t-il des exigences ou restrictions spécifiques</w:t>
            </w:r>
          </w:p>
          <w:p w14:paraId="7417EC07" w14:textId="6F0B8A85" w:rsidR="000C27F4" w:rsidRPr="006F38AE" w:rsidRDefault="000C27F4" w:rsidP="00CC04AB">
            <w:pPr>
              <w:shd w:val="clear" w:color="auto" w:fill="FFFFFF"/>
              <w:jc w:val="both"/>
              <w:textAlignment w:val="baseline"/>
              <w:rPr>
                <w:rFonts w:ascii="Georgia" w:eastAsia="Times New Roman" w:hAnsi="Georgia" w:cs="Segoe UI"/>
                <w:color w:val="242424"/>
                <w:kern w:val="0"/>
                <w:sz w:val="20"/>
                <w:szCs w:val="20"/>
                <w14:ligatures w14:val="none"/>
              </w:rPr>
            </w:pPr>
          </w:p>
        </w:tc>
        <w:tc>
          <w:tcPr>
            <w:tcW w:w="5528" w:type="dxa"/>
          </w:tcPr>
          <w:p w14:paraId="54C6AB86" w14:textId="29F0CA0E" w:rsidR="00C3535C" w:rsidRPr="006F38AE" w:rsidRDefault="00186D63" w:rsidP="00947FC2">
            <w:pPr>
              <w:rPr>
                <w:rFonts w:ascii="Georgia" w:hAnsi="Georgia"/>
                <w:sz w:val="20"/>
                <w:szCs w:val="20"/>
              </w:rPr>
            </w:pPr>
            <w:r w:rsidRPr="00186D63">
              <w:rPr>
                <w:rFonts w:ascii="Georgia" w:hAnsi="Georgia"/>
                <w:sz w:val="20"/>
                <w:szCs w:val="20"/>
              </w:rPr>
              <w:t>Voir les conditions exigées en cas de groupement pour le dossier de sélection (7.5 et 7.6 : </w:t>
            </w:r>
            <w:bookmarkStart w:id="1" w:name="x_x__Toc51592073"/>
            <w:bookmarkStart w:id="2" w:name="x_x__Toc52268505"/>
            <w:bookmarkStart w:id="3" w:name="x_x__Toc225777685"/>
            <w:bookmarkEnd w:id="1"/>
            <w:bookmarkEnd w:id="2"/>
            <w:r w:rsidRPr="00186D63">
              <w:rPr>
                <w:rFonts w:ascii="Georgia" w:hAnsi="Georgia"/>
                <w:sz w:val="20"/>
                <w:szCs w:val="20"/>
              </w:rPr>
              <w:t> capacité économique</w:t>
            </w:r>
            <w:bookmarkEnd w:id="3"/>
            <w:r w:rsidRPr="00186D63">
              <w:rPr>
                <w:rFonts w:ascii="Georgia" w:hAnsi="Georgia"/>
                <w:sz w:val="20"/>
                <w:szCs w:val="20"/>
              </w:rPr>
              <w:t> et</w:t>
            </w:r>
            <w:bookmarkStart w:id="4" w:name="x_x__Toc51592074"/>
            <w:bookmarkStart w:id="5" w:name="x_x__Toc52268506"/>
            <w:bookmarkStart w:id="6" w:name="x_x__Toc225777686"/>
            <w:bookmarkEnd w:id="4"/>
            <w:bookmarkEnd w:id="5"/>
            <w:r w:rsidRPr="00186D63">
              <w:rPr>
                <w:rFonts w:ascii="Georgia" w:hAnsi="Georgia"/>
                <w:sz w:val="20"/>
                <w:szCs w:val="20"/>
              </w:rPr>
              <w:t> aptitude technique</w:t>
            </w:r>
            <w:bookmarkEnd w:id="6"/>
            <w:r w:rsidRPr="00186D63">
              <w:rPr>
                <w:rFonts w:ascii="Georgia" w:hAnsi="Georgia"/>
                <w:sz w:val="20"/>
                <w:szCs w:val="20"/>
              </w:rPr>
              <w:t>)</w:t>
            </w:r>
          </w:p>
        </w:tc>
      </w:tr>
      <w:tr w:rsidR="000C27F4" w:rsidRPr="000C27F4" w14:paraId="4CEC3051" w14:textId="77777777" w:rsidTr="00482054">
        <w:tc>
          <w:tcPr>
            <w:tcW w:w="7083" w:type="dxa"/>
          </w:tcPr>
          <w:p w14:paraId="7B0BD908" w14:textId="5D35923A" w:rsidR="000C27F4" w:rsidRPr="006F38AE" w:rsidRDefault="00B01536" w:rsidP="005A0138">
            <w:pPr>
              <w:shd w:val="clear" w:color="auto" w:fill="FFFFFF"/>
              <w:jc w:val="both"/>
              <w:textAlignment w:val="baseline"/>
              <w:rPr>
                <w:rFonts w:ascii="Georgia" w:eastAsia="Times New Roman" w:hAnsi="Georgia" w:cs="Segoe UI"/>
                <w:color w:val="242424"/>
                <w:kern w:val="0"/>
                <w:sz w:val="20"/>
                <w:szCs w:val="20"/>
                <w14:ligatures w14:val="none"/>
              </w:rPr>
            </w:pPr>
            <w:r>
              <w:rPr>
                <w:rFonts w:ascii="Georgia" w:eastAsia="Times New Roman" w:hAnsi="Georgia" w:cs="Segoe UI"/>
                <w:color w:val="242424"/>
                <w:kern w:val="0"/>
                <w:sz w:val="20"/>
                <w:szCs w:val="20"/>
                <w14:ligatures w14:val="none"/>
              </w:rPr>
              <w:t>P</w:t>
            </w:r>
            <w:r w:rsidRPr="00B01536">
              <w:rPr>
                <w:rFonts w:ascii="Georgia" w:eastAsia="Times New Roman" w:hAnsi="Georgia" w:cs="Segoe UI"/>
                <w:color w:val="242424"/>
                <w:kern w:val="0"/>
                <w:sz w:val="20"/>
                <w:szCs w:val="20"/>
                <w14:ligatures w14:val="none"/>
              </w:rPr>
              <w:t>ourriez-vous confirmer que l’offre doit obligatoirement couvrir l’ensemble des équipements, étant donné que le marché est constitué en un seul lot ?</w:t>
            </w:r>
          </w:p>
        </w:tc>
        <w:tc>
          <w:tcPr>
            <w:tcW w:w="5528" w:type="dxa"/>
          </w:tcPr>
          <w:p w14:paraId="55B57774" w14:textId="77777777" w:rsidR="00AA5CDD" w:rsidRPr="00AA5CDD" w:rsidRDefault="00AA5CDD" w:rsidP="00AA5CDD">
            <w:pPr>
              <w:jc w:val="both"/>
              <w:rPr>
                <w:rFonts w:ascii="Georgia" w:hAnsi="Georgia"/>
                <w:sz w:val="20"/>
                <w:szCs w:val="20"/>
              </w:rPr>
            </w:pPr>
            <w:r w:rsidRPr="00AA5CDD">
              <w:rPr>
                <w:rFonts w:ascii="Georgia" w:hAnsi="Georgia"/>
                <w:sz w:val="20"/>
                <w:szCs w:val="20"/>
              </w:rPr>
              <w:t>Voir Point 3.3 : Le marché est en un seul lot formant un tout indivisible. Une offre pour une partie d’un lot est irrecevable.</w:t>
            </w:r>
          </w:p>
          <w:p w14:paraId="10920590" w14:textId="6B37A731" w:rsidR="000C27F4" w:rsidRPr="006F38AE" w:rsidRDefault="000C27F4" w:rsidP="000C27F4">
            <w:pPr>
              <w:jc w:val="both"/>
              <w:rPr>
                <w:rFonts w:ascii="Georgia" w:hAnsi="Georgia"/>
                <w:sz w:val="20"/>
                <w:szCs w:val="20"/>
              </w:rPr>
            </w:pPr>
          </w:p>
        </w:tc>
      </w:tr>
      <w:tr w:rsidR="00182453" w:rsidRPr="000C27F4" w14:paraId="1E03FF7E" w14:textId="77777777" w:rsidTr="00482054">
        <w:tc>
          <w:tcPr>
            <w:tcW w:w="7083" w:type="dxa"/>
          </w:tcPr>
          <w:p w14:paraId="50A36463" w14:textId="45D95FAC" w:rsidR="00182453" w:rsidRDefault="001530A7" w:rsidP="005A0138">
            <w:pPr>
              <w:shd w:val="clear" w:color="auto" w:fill="FFFFFF"/>
              <w:jc w:val="both"/>
              <w:textAlignment w:val="baseline"/>
              <w:rPr>
                <w:rFonts w:ascii="Georgia" w:eastAsia="Times New Roman" w:hAnsi="Georgia" w:cs="Segoe UI"/>
                <w:color w:val="242424"/>
                <w:kern w:val="0"/>
                <w:sz w:val="20"/>
                <w:szCs w:val="20"/>
                <w14:ligatures w14:val="none"/>
              </w:rPr>
            </w:pPr>
            <w:r>
              <w:rPr>
                <w:rFonts w:ascii="Georgia" w:eastAsia="Times New Roman" w:hAnsi="Georgia" w:cs="Segoe UI"/>
                <w:color w:val="242424"/>
                <w:kern w:val="0"/>
                <w:sz w:val="20"/>
                <w:szCs w:val="20"/>
                <w14:ligatures w14:val="none"/>
              </w:rPr>
              <w:t>Dans le cadre d</w:t>
            </w:r>
            <w:r w:rsidR="00876FAE">
              <w:rPr>
                <w:rFonts w:ascii="Georgia" w:eastAsia="Times New Roman" w:hAnsi="Georgia" w:cs="Segoe UI"/>
                <w:color w:val="242424"/>
                <w:kern w:val="0"/>
                <w:sz w:val="20"/>
                <w:szCs w:val="20"/>
                <w14:ligatures w14:val="none"/>
              </w:rPr>
              <w:t>e ce</w:t>
            </w:r>
            <w:r>
              <w:rPr>
                <w:rFonts w:ascii="Georgia" w:eastAsia="Times New Roman" w:hAnsi="Georgia" w:cs="Segoe UI"/>
                <w:color w:val="242424"/>
                <w:kern w:val="0"/>
                <w:sz w:val="20"/>
                <w:szCs w:val="20"/>
                <w14:ligatures w14:val="none"/>
              </w:rPr>
              <w:t xml:space="preserve"> marché</w:t>
            </w:r>
            <w:r w:rsidR="00876FAE">
              <w:rPr>
                <w:rFonts w:ascii="Georgia" w:eastAsia="Times New Roman" w:hAnsi="Georgia" w:cs="Segoe UI"/>
                <w:color w:val="242424"/>
                <w:kern w:val="0"/>
                <w:sz w:val="20"/>
                <w:szCs w:val="20"/>
                <w14:ligatures w14:val="none"/>
              </w:rPr>
              <w:t>, je voudrais savoir si vous collaborer uniquement avec des fabricants</w:t>
            </w:r>
          </w:p>
        </w:tc>
        <w:tc>
          <w:tcPr>
            <w:tcW w:w="5528" w:type="dxa"/>
          </w:tcPr>
          <w:p w14:paraId="274F0874" w14:textId="7E505251" w:rsidR="00182453" w:rsidRPr="00C812A5" w:rsidRDefault="00C812A5" w:rsidP="00AA5CDD">
            <w:pPr>
              <w:jc w:val="both"/>
              <w:rPr>
                <w:rFonts w:ascii="Georgia" w:hAnsi="Georgia"/>
                <w:sz w:val="20"/>
                <w:szCs w:val="20"/>
              </w:rPr>
            </w:pPr>
            <w:r w:rsidRPr="00C812A5">
              <w:rPr>
                <w:rFonts w:ascii="Georgia" w:hAnsi="Georgia"/>
                <w:sz w:val="20"/>
                <w:szCs w:val="20"/>
              </w:rPr>
              <w:t>Non Enabel ne collabore pas uniquement avec des fabricants, mais l’appel d’offres est </w:t>
            </w:r>
            <w:r w:rsidRPr="00C812A5">
              <w:rPr>
                <w:rFonts w:ascii="Georgia" w:hAnsi="Georgia"/>
                <w:i/>
                <w:iCs/>
                <w:sz w:val="20"/>
                <w:szCs w:val="20"/>
              </w:rPr>
              <w:t>ouvert à tout </w:t>
            </w:r>
            <w:r w:rsidRPr="00C812A5">
              <w:rPr>
                <w:rFonts w:ascii="Georgia" w:hAnsi="Georgia"/>
                <w:i/>
                <w:iCs/>
                <w:sz w:val="20"/>
                <w:szCs w:val="20"/>
                <w:lang w:val="fr-BE"/>
              </w:rPr>
              <w:t>candidat potentiel qui peut soumettre une offre à moins qu’il ne soit frappé par les motifs d’exclusion contenue dans le point 4.5.1 « Motifs d’exclusion </w:t>
            </w:r>
          </w:p>
        </w:tc>
      </w:tr>
      <w:tr w:rsidR="004E4054" w:rsidRPr="000C27F4" w14:paraId="487FB88A" w14:textId="77777777" w:rsidTr="00482054">
        <w:tc>
          <w:tcPr>
            <w:tcW w:w="7083" w:type="dxa"/>
          </w:tcPr>
          <w:p w14:paraId="27C14C51" w14:textId="3CC0728E" w:rsidR="004E4054" w:rsidRPr="00B038AC" w:rsidRDefault="00E81A56" w:rsidP="00174060">
            <w:pPr>
              <w:shd w:val="clear" w:color="auto" w:fill="FFFFFF"/>
              <w:jc w:val="both"/>
              <w:textAlignment w:val="baseline"/>
              <w:rPr>
                <w:rFonts w:ascii="Georgia" w:eastAsia="Times New Roman" w:hAnsi="Georgia" w:cs="Segoe UI"/>
                <w:color w:val="242424"/>
                <w:kern w:val="0"/>
                <w:sz w:val="20"/>
                <w:szCs w:val="20"/>
                <w14:ligatures w14:val="none"/>
              </w:rPr>
            </w:pPr>
            <w:r w:rsidRPr="00B038AC">
              <w:rPr>
                <w:rFonts w:ascii="Georgia" w:eastAsia="Times New Roman" w:hAnsi="Georgia" w:cs="Segoe UI"/>
                <w:color w:val="242424"/>
                <w:kern w:val="0"/>
                <w:sz w:val="20"/>
                <w:szCs w:val="20"/>
                <w14:ligatures w14:val="none"/>
              </w:rPr>
              <w:t>T</w:t>
            </w:r>
            <w:r w:rsidR="006A4BF6" w:rsidRPr="00B038AC">
              <w:rPr>
                <w:rFonts w:ascii="Georgia" w:eastAsia="Times New Roman" w:hAnsi="Georgia" w:cs="Segoe UI"/>
                <w:color w:val="242424"/>
                <w:kern w:val="0"/>
                <w:sz w:val="20"/>
                <w:szCs w:val="20"/>
                <w14:ligatures w14:val="none"/>
              </w:rPr>
              <w:t>ablier de plomb</w:t>
            </w:r>
            <w:r w:rsidR="00A40ACE" w:rsidRPr="00B038AC">
              <w:rPr>
                <w:rFonts w:ascii="Georgia" w:eastAsia="Times New Roman" w:hAnsi="Georgia" w:cs="Segoe UI"/>
                <w:color w:val="242424"/>
                <w:kern w:val="0"/>
                <w:sz w:val="20"/>
                <w:szCs w:val="20"/>
                <w14:ligatures w14:val="none"/>
              </w:rPr>
              <w:t>/Le DAO ne marque</w:t>
            </w:r>
            <w:r w:rsidR="0008561F" w:rsidRPr="00B038AC">
              <w:rPr>
                <w:rFonts w:ascii="Georgia" w:eastAsia="Times New Roman" w:hAnsi="Georgia" w:cs="Segoe UI"/>
                <w:color w:val="242424"/>
                <w:kern w:val="0"/>
                <w:sz w:val="20"/>
                <w:szCs w:val="20"/>
                <w14:ligatures w14:val="none"/>
              </w:rPr>
              <w:t xml:space="preserve"> pas de quantités</w:t>
            </w:r>
            <w:r w:rsidR="00EA4E46" w:rsidRPr="00B038AC">
              <w:rPr>
                <w:rFonts w:ascii="Georgia" w:eastAsia="Times New Roman" w:hAnsi="Georgia" w:cs="Segoe UI"/>
                <w:color w:val="242424"/>
                <w:kern w:val="0"/>
                <w:sz w:val="20"/>
                <w:szCs w:val="20"/>
                <w14:ligatures w14:val="none"/>
              </w:rPr>
              <w:t>, veuille</w:t>
            </w:r>
            <w:r w:rsidR="00B038AC" w:rsidRPr="00B038AC">
              <w:rPr>
                <w:rFonts w:ascii="Georgia" w:eastAsia="Times New Roman" w:hAnsi="Georgia" w:cs="Segoe UI"/>
                <w:color w:val="242424"/>
                <w:kern w:val="0"/>
                <w:sz w:val="20"/>
                <w:szCs w:val="20"/>
                <w14:ligatures w14:val="none"/>
              </w:rPr>
              <w:t>z</w:t>
            </w:r>
            <w:r w:rsidR="00EA4E46" w:rsidRPr="00B038AC">
              <w:rPr>
                <w:rFonts w:ascii="Georgia" w:eastAsia="Times New Roman" w:hAnsi="Georgia" w:cs="Segoe UI"/>
                <w:color w:val="242424"/>
                <w:kern w:val="0"/>
                <w:sz w:val="20"/>
                <w:szCs w:val="20"/>
                <w14:ligatures w14:val="none"/>
              </w:rPr>
              <w:t xml:space="preserve"> préciser la quantité</w:t>
            </w:r>
            <w:r w:rsidR="00B038AC" w:rsidRPr="00B038AC">
              <w:rPr>
                <w:rFonts w:ascii="Georgia" w:eastAsia="Times New Roman" w:hAnsi="Georgia" w:cs="Segoe UI"/>
                <w:color w:val="242424"/>
                <w:kern w:val="0"/>
                <w:sz w:val="20"/>
                <w:szCs w:val="20"/>
                <w14:ligatures w14:val="none"/>
              </w:rPr>
              <w:t xml:space="preserve"> exigée</w:t>
            </w:r>
          </w:p>
        </w:tc>
        <w:tc>
          <w:tcPr>
            <w:tcW w:w="5528" w:type="dxa"/>
          </w:tcPr>
          <w:p w14:paraId="3D999897" w14:textId="1241843A" w:rsidR="008412A7" w:rsidRDefault="0038340E" w:rsidP="000C27F4">
            <w:pPr>
              <w:jc w:val="both"/>
              <w:rPr>
                <w:rFonts w:ascii="Georgia" w:hAnsi="Georgia"/>
              </w:rPr>
            </w:pPr>
            <w:r w:rsidRPr="0038340E">
              <w:rPr>
                <w:rFonts w:ascii="Georgia" w:hAnsi="Georgia"/>
              </w:rPr>
              <w:t>Saut de numéro d’item dans le devis quantitatif : erreur de notre part : Quantité</w:t>
            </w:r>
            <w:r>
              <w:rPr>
                <w:rFonts w:ascii="Georgia" w:hAnsi="Georgia"/>
              </w:rPr>
              <w:t> :</w:t>
            </w:r>
            <w:r w:rsidRPr="0038340E">
              <w:rPr>
                <w:rFonts w:ascii="Georgia" w:hAnsi="Georgia"/>
              </w:rPr>
              <w:t xml:space="preserve"> 2</w:t>
            </w:r>
          </w:p>
        </w:tc>
      </w:tr>
      <w:tr w:rsidR="00B038AC" w:rsidRPr="000C27F4" w14:paraId="4A150595" w14:textId="77777777" w:rsidTr="00482054">
        <w:tc>
          <w:tcPr>
            <w:tcW w:w="7083" w:type="dxa"/>
          </w:tcPr>
          <w:p w14:paraId="24193C89" w14:textId="77777777" w:rsidR="00352D06" w:rsidRPr="00352D06" w:rsidRDefault="00352D06" w:rsidP="00352D06">
            <w:pPr>
              <w:shd w:val="clear" w:color="auto" w:fill="FFFFFF"/>
              <w:jc w:val="both"/>
              <w:textAlignment w:val="baseline"/>
              <w:rPr>
                <w:rFonts w:ascii="Georgia" w:eastAsia="Times New Roman" w:hAnsi="Georgia" w:cs="Segoe UI"/>
                <w:color w:val="242424"/>
                <w:kern w:val="0"/>
                <w:sz w:val="20"/>
                <w:szCs w:val="20"/>
                <w14:ligatures w14:val="none"/>
              </w:rPr>
            </w:pPr>
            <w:r w:rsidRPr="00352D06">
              <w:rPr>
                <w:rFonts w:ascii="Georgia" w:eastAsia="Times New Roman" w:hAnsi="Georgia" w:cs="Segoe UI"/>
                <w:color w:val="242424"/>
                <w:kern w:val="0"/>
                <w:sz w:val="20"/>
                <w:szCs w:val="20"/>
                <w14:ligatures w14:val="none"/>
              </w:rPr>
              <w:t>Table à instruments, 2 plateaux, grand modèle</w:t>
            </w:r>
          </w:p>
          <w:p w14:paraId="10A0EC5A" w14:textId="5E154C16" w:rsidR="00B038AC" w:rsidRPr="00B038AC" w:rsidRDefault="00352D06" w:rsidP="00174060">
            <w:pPr>
              <w:shd w:val="clear" w:color="auto" w:fill="FFFFFF"/>
              <w:jc w:val="both"/>
              <w:textAlignment w:val="baseline"/>
              <w:rPr>
                <w:rFonts w:ascii="Georgia" w:eastAsia="Times New Roman" w:hAnsi="Georgia" w:cs="Segoe UI"/>
                <w:color w:val="242424"/>
                <w:kern w:val="0"/>
                <w:sz w:val="20"/>
                <w:szCs w:val="20"/>
                <w14:ligatures w14:val="none"/>
              </w:rPr>
            </w:pPr>
            <w:r w:rsidRPr="00B038AC">
              <w:rPr>
                <w:rFonts w:ascii="Georgia" w:eastAsia="Times New Roman" w:hAnsi="Georgia" w:cs="Segoe UI"/>
                <w:color w:val="242424"/>
                <w:kern w:val="0"/>
                <w:sz w:val="20"/>
                <w:szCs w:val="20"/>
                <w14:ligatures w14:val="none"/>
              </w:rPr>
              <w:t>Veuillez préciser la quantité exigée</w:t>
            </w:r>
          </w:p>
        </w:tc>
        <w:tc>
          <w:tcPr>
            <w:tcW w:w="5528" w:type="dxa"/>
          </w:tcPr>
          <w:p w14:paraId="7A73C510" w14:textId="77777777" w:rsidR="003F34E2" w:rsidRPr="003F34E2" w:rsidRDefault="003F34E2" w:rsidP="003F34E2">
            <w:pPr>
              <w:jc w:val="both"/>
              <w:rPr>
                <w:rFonts w:ascii="Georgia" w:hAnsi="Georgia"/>
              </w:rPr>
            </w:pPr>
            <w:r w:rsidRPr="003F34E2">
              <w:rPr>
                <w:rFonts w:ascii="Georgia" w:hAnsi="Georgia"/>
              </w:rPr>
              <w:t>Quantité 2</w:t>
            </w:r>
          </w:p>
          <w:p w14:paraId="0897FEC2" w14:textId="77777777" w:rsidR="00B038AC" w:rsidRDefault="00B038AC" w:rsidP="000C27F4">
            <w:pPr>
              <w:jc w:val="both"/>
              <w:rPr>
                <w:rFonts w:ascii="Georgia" w:hAnsi="Georgia"/>
              </w:rPr>
            </w:pPr>
          </w:p>
        </w:tc>
      </w:tr>
      <w:tr w:rsidR="00352D06" w:rsidRPr="000C27F4" w14:paraId="75285E85" w14:textId="77777777" w:rsidTr="00482054">
        <w:tc>
          <w:tcPr>
            <w:tcW w:w="7083" w:type="dxa"/>
          </w:tcPr>
          <w:p w14:paraId="3446F312" w14:textId="77777777" w:rsidR="00470036" w:rsidRPr="00470036" w:rsidRDefault="00470036" w:rsidP="00470036">
            <w:pPr>
              <w:shd w:val="clear" w:color="auto" w:fill="FFFFFF"/>
              <w:jc w:val="both"/>
              <w:textAlignment w:val="baseline"/>
              <w:rPr>
                <w:rFonts w:ascii="Georgia" w:eastAsia="Times New Roman" w:hAnsi="Georgia" w:cs="Segoe UI"/>
                <w:color w:val="242424"/>
                <w:kern w:val="0"/>
                <w:sz w:val="20"/>
                <w:szCs w:val="20"/>
                <w14:ligatures w14:val="none"/>
              </w:rPr>
            </w:pPr>
            <w:r w:rsidRPr="00470036">
              <w:rPr>
                <w:rFonts w:ascii="Georgia" w:eastAsia="Times New Roman" w:hAnsi="Georgia" w:cs="Segoe UI"/>
                <w:color w:val="242424"/>
                <w:kern w:val="0"/>
                <w:sz w:val="20"/>
                <w:szCs w:val="20"/>
                <w14:ligatures w14:val="none"/>
              </w:rPr>
              <w:lastRenderedPageBreak/>
              <w:t>Quantités des lits et des matelas</w:t>
            </w:r>
          </w:p>
          <w:p w14:paraId="71A5B903" w14:textId="77777777" w:rsidR="006B7B31" w:rsidRPr="006B7B31" w:rsidRDefault="006B7B31" w:rsidP="006B7B31">
            <w:pPr>
              <w:shd w:val="clear" w:color="auto" w:fill="FFFFFF"/>
              <w:jc w:val="both"/>
              <w:textAlignment w:val="baseline"/>
              <w:rPr>
                <w:rFonts w:ascii="Georgia" w:eastAsia="Times New Roman" w:hAnsi="Georgia" w:cs="Segoe UI"/>
                <w:color w:val="242424"/>
                <w:kern w:val="0"/>
                <w:sz w:val="20"/>
                <w:szCs w:val="20"/>
                <w14:ligatures w14:val="none"/>
              </w:rPr>
            </w:pPr>
            <w:r w:rsidRPr="006B7B31">
              <w:rPr>
                <w:rFonts w:ascii="Georgia" w:eastAsia="Times New Roman" w:hAnsi="Georgia" w:cs="Segoe UI"/>
                <w:color w:val="242424"/>
                <w:kern w:val="0"/>
                <w:sz w:val="20"/>
                <w:szCs w:val="20"/>
                <w14:ligatures w14:val="none"/>
              </w:rPr>
              <w:t>Veuillez nous indiquer pour quel type de lit les matelas seront utilisés.</w:t>
            </w:r>
          </w:p>
          <w:p w14:paraId="7DB7994E" w14:textId="77777777" w:rsidR="006B7B31" w:rsidRPr="006B7B31" w:rsidRDefault="006B7B31" w:rsidP="006B7B31">
            <w:pPr>
              <w:shd w:val="clear" w:color="auto" w:fill="FFFFFF"/>
              <w:jc w:val="both"/>
              <w:textAlignment w:val="baseline"/>
              <w:rPr>
                <w:rFonts w:ascii="Georgia" w:eastAsia="Times New Roman" w:hAnsi="Georgia" w:cs="Segoe UI"/>
                <w:color w:val="242424"/>
                <w:kern w:val="0"/>
                <w:sz w:val="20"/>
                <w:szCs w:val="20"/>
                <w14:ligatures w14:val="none"/>
              </w:rPr>
            </w:pPr>
            <w:r w:rsidRPr="006B7B31">
              <w:rPr>
                <w:rFonts w:ascii="Georgia" w:eastAsia="Times New Roman" w:hAnsi="Georgia" w:cs="Segoe UI"/>
                <w:color w:val="242424"/>
                <w:kern w:val="0"/>
                <w:sz w:val="20"/>
                <w:szCs w:val="20"/>
                <w14:ligatures w14:val="none"/>
              </w:rPr>
              <w:t>- Nous avons constaté que le montant total des matelas est 12. Nous vous demandons de vérifier si la quantité est suffisante, ou si la quantité de matelas doit être adaptée au nombre de lits.</w:t>
            </w:r>
          </w:p>
          <w:p w14:paraId="26A253F6" w14:textId="77777777" w:rsidR="00352D06" w:rsidRPr="00352D06" w:rsidRDefault="00352D06" w:rsidP="00352D06">
            <w:pPr>
              <w:shd w:val="clear" w:color="auto" w:fill="FFFFFF"/>
              <w:jc w:val="both"/>
              <w:textAlignment w:val="baseline"/>
              <w:rPr>
                <w:rFonts w:ascii="Georgia" w:eastAsia="Times New Roman" w:hAnsi="Georgia" w:cs="Segoe UI"/>
                <w:color w:val="242424"/>
                <w:kern w:val="0"/>
                <w:sz w:val="20"/>
                <w:szCs w:val="20"/>
                <w14:ligatures w14:val="none"/>
              </w:rPr>
            </w:pPr>
          </w:p>
        </w:tc>
        <w:tc>
          <w:tcPr>
            <w:tcW w:w="5528" w:type="dxa"/>
          </w:tcPr>
          <w:p w14:paraId="46594F97" w14:textId="77777777" w:rsidR="00352D06" w:rsidRDefault="004F597A" w:rsidP="000C27F4">
            <w:pPr>
              <w:jc w:val="both"/>
              <w:rPr>
                <w:rFonts w:ascii="Georgia" w:hAnsi="Georgia"/>
              </w:rPr>
            </w:pPr>
            <w:r w:rsidRPr="004F597A">
              <w:rPr>
                <w:rFonts w:ascii="Georgia" w:hAnsi="Georgia"/>
              </w:rPr>
              <w:t>Les matelas pour les lits de travail sont également mentionnés dans les ST du lit de travail “ Livré avec matelas en mousse et en trois sections, épaisseur 15cm, densité 30%. Recouvert d'une housse en similicuir facilement lavable</w:t>
            </w:r>
          </w:p>
          <w:p w14:paraId="569EC296" w14:textId="77777777" w:rsidR="00C91448" w:rsidRDefault="00C91448" w:rsidP="000C27F4">
            <w:pPr>
              <w:jc w:val="both"/>
              <w:rPr>
                <w:rFonts w:ascii="Georgia" w:hAnsi="Georgia"/>
              </w:rPr>
            </w:pPr>
          </w:p>
          <w:p w14:paraId="3C7BD1B2" w14:textId="1A333131" w:rsidR="00C91448" w:rsidRDefault="00911571" w:rsidP="000C27F4">
            <w:pPr>
              <w:jc w:val="both"/>
              <w:rPr>
                <w:rFonts w:ascii="Georgia" w:hAnsi="Georgia"/>
              </w:rPr>
            </w:pPr>
            <w:r>
              <w:rPr>
                <w:rFonts w:ascii="Georgia" w:hAnsi="Georgia"/>
              </w:rPr>
              <w:t xml:space="preserve">Le </w:t>
            </w:r>
            <w:r w:rsidRPr="00C91448">
              <w:rPr>
                <w:rFonts w:ascii="Georgia" w:hAnsi="Georgia"/>
              </w:rPr>
              <w:t>nombre des matelas 12 initialement décrit se réfère au nombre de lits d’hôpital du bloc maternité. Mais considérant que les lits d’hôpital sont au nombre de 64 (</w:t>
            </w:r>
            <w:r w:rsidRPr="00C5002A">
              <w:rPr>
                <w:rFonts w:ascii="Georgia" w:hAnsi="Georgia"/>
                <w:highlight w:val="green"/>
              </w:rPr>
              <w:t xml:space="preserve">Bloc Maternité : 12, Bloc </w:t>
            </w:r>
            <w:r w:rsidR="00482054" w:rsidRPr="00C5002A">
              <w:rPr>
                <w:rFonts w:ascii="Georgia" w:hAnsi="Georgia"/>
                <w:highlight w:val="green"/>
              </w:rPr>
              <w:t>Hospitalisation :</w:t>
            </w:r>
            <w:r w:rsidRPr="00C5002A">
              <w:rPr>
                <w:rFonts w:ascii="Georgia" w:hAnsi="Georgia"/>
                <w:highlight w:val="green"/>
              </w:rPr>
              <w:t xml:space="preserve"> </w:t>
            </w:r>
            <w:proofErr w:type="gramStart"/>
            <w:r w:rsidRPr="00C5002A">
              <w:rPr>
                <w:rFonts w:ascii="Georgia" w:hAnsi="Georgia"/>
                <w:highlight w:val="green"/>
              </w:rPr>
              <w:t>52 )</w:t>
            </w:r>
            <w:proofErr w:type="gramEnd"/>
            <w:r w:rsidRPr="00C91448">
              <w:rPr>
                <w:rFonts w:ascii="Georgia" w:hAnsi="Georgia"/>
              </w:rPr>
              <w:t> </w:t>
            </w:r>
          </w:p>
        </w:tc>
      </w:tr>
      <w:tr w:rsidR="00B728F1" w:rsidRPr="000C27F4" w14:paraId="64D4BF4C" w14:textId="77777777" w:rsidTr="00482054">
        <w:tc>
          <w:tcPr>
            <w:tcW w:w="7083" w:type="dxa"/>
          </w:tcPr>
          <w:p w14:paraId="4C32ED66" w14:textId="65BD4F1F" w:rsidR="00B728F1" w:rsidRPr="00B22EDC" w:rsidRDefault="00BC1E6A" w:rsidP="00470036">
            <w:pPr>
              <w:shd w:val="clear" w:color="auto" w:fill="FFFFFF"/>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Spécifications</w:t>
            </w:r>
            <w:r w:rsidR="00B728F1" w:rsidRPr="00B22EDC">
              <w:rPr>
                <w:rFonts w:ascii="Georgia" w:eastAsia="Times New Roman" w:hAnsi="Georgia" w:cs="Segoe UI"/>
                <w:color w:val="242424"/>
                <w:kern w:val="0"/>
                <w:sz w:val="20"/>
                <w:szCs w:val="20"/>
                <w14:ligatures w14:val="none"/>
              </w:rPr>
              <w:t xml:space="preserve"> techniques manquantes de </w:t>
            </w:r>
            <w:r w:rsidRPr="00B22EDC">
              <w:rPr>
                <w:rFonts w:ascii="Georgia" w:eastAsia="Times New Roman" w:hAnsi="Georgia" w:cs="Segoe UI"/>
                <w:color w:val="242424"/>
                <w:kern w:val="0"/>
                <w:sz w:val="20"/>
                <w:szCs w:val="20"/>
                <w14:ligatures w14:val="none"/>
              </w:rPr>
              <w:t>l’Insufflateur</w:t>
            </w:r>
            <w:r w:rsidR="00B728F1" w:rsidRPr="00B22EDC">
              <w:rPr>
                <w:rFonts w:ascii="Georgia" w:eastAsia="Times New Roman" w:hAnsi="Georgia" w:cs="Segoe UI"/>
                <w:color w:val="242424"/>
                <w:kern w:val="0"/>
                <w:sz w:val="20"/>
                <w:szCs w:val="20"/>
                <w14:ligatures w14:val="none"/>
              </w:rPr>
              <w:t xml:space="preserve"> manuel Ambu, pédiatrique</w:t>
            </w:r>
          </w:p>
          <w:p w14:paraId="5B2FADCB" w14:textId="77777777" w:rsidR="00FF6DE5" w:rsidRPr="00B22EDC" w:rsidRDefault="00FF6DE5" w:rsidP="00FF6DE5">
            <w:pPr>
              <w:shd w:val="clear" w:color="auto" w:fill="FFFFFF"/>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Veuillez préciser les spécifications techniques de l’item “Insufflateur manuel Ambu, pédiatrique” ou effacer cette position s’elle n’est pas exigée.</w:t>
            </w:r>
          </w:p>
          <w:p w14:paraId="4F2B2DCC" w14:textId="77777777" w:rsidR="00FF6DE5" w:rsidRPr="00B22EDC" w:rsidRDefault="00FF6DE5" w:rsidP="00FF6DE5">
            <w:pPr>
              <w:shd w:val="clear" w:color="auto" w:fill="FFFFFF"/>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Nous avons constaté que le document “Formulaire d’offre – Bordereau des Prix unitaires” marque trois différents insufflateurs.</w:t>
            </w:r>
          </w:p>
          <w:p w14:paraId="4688B7E9" w14:textId="77777777" w:rsidR="00FF6DE5" w:rsidRPr="00B22EDC" w:rsidRDefault="00FF6DE5" w:rsidP="00FF6DE5">
            <w:pPr>
              <w:shd w:val="clear" w:color="auto" w:fill="FFFFFF"/>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 </w:t>
            </w:r>
          </w:p>
          <w:p w14:paraId="06044675" w14:textId="77777777" w:rsidR="00FF6DE5" w:rsidRPr="00B22EDC" w:rsidRDefault="00FF6DE5" w:rsidP="00FF6DE5">
            <w:pPr>
              <w:shd w:val="clear" w:color="auto" w:fill="FFFFFF"/>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w:t>
            </w:r>
          </w:p>
          <w:tbl>
            <w:tblPr>
              <w:tblW w:w="9720" w:type="dxa"/>
              <w:tblLayout w:type="fixed"/>
              <w:tblCellMar>
                <w:left w:w="0" w:type="dxa"/>
                <w:right w:w="0" w:type="dxa"/>
              </w:tblCellMar>
              <w:tblLook w:val="04A0" w:firstRow="1" w:lastRow="0" w:firstColumn="1" w:lastColumn="0" w:noHBand="0" w:noVBand="1"/>
            </w:tblPr>
            <w:tblGrid>
              <w:gridCol w:w="445"/>
              <w:gridCol w:w="9275"/>
            </w:tblGrid>
            <w:tr w:rsidR="00FF6DE5" w:rsidRPr="00B22EDC" w14:paraId="1BC87C08" w14:textId="77777777" w:rsidTr="00D376CA">
              <w:trPr>
                <w:trHeight w:val="288"/>
              </w:trPr>
              <w:tc>
                <w:tcPr>
                  <w:tcW w:w="4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0F9DB0"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38</w:t>
                  </w:r>
                </w:p>
              </w:tc>
              <w:tc>
                <w:tcPr>
                  <w:tcW w:w="9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216912"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Insufflateur manuel Ambu, Adulte</w:t>
                  </w:r>
                </w:p>
              </w:tc>
            </w:tr>
            <w:tr w:rsidR="00FF6DE5" w:rsidRPr="00B22EDC" w14:paraId="3E606A33" w14:textId="77777777" w:rsidTr="00D376CA">
              <w:trPr>
                <w:trHeight w:val="288"/>
              </w:trPr>
              <w:tc>
                <w:tcPr>
                  <w:tcW w:w="4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54B03FD"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39</w:t>
                  </w:r>
                </w:p>
              </w:tc>
              <w:tc>
                <w:tcPr>
                  <w:tcW w:w="9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E4ECE1"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highlight w:val="yellow"/>
                      <w14:ligatures w14:val="none"/>
                    </w:rPr>
                    <w:t>Insufflateur manuel Ambu, pédiatrique</w:t>
                  </w:r>
                </w:p>
              </w:tc>
            </w:tr>
            <w:tr w:rsidR="00FF6DE5" w:rsidRPr="00B22EDC" w14:paraId="17860CF3" w14:textId="77777777" w:rsidTr="00D376CA">
              <w:trPr>
                <w:trHeight w:val="288"/>
              </w:trPr>
              <w:tc>
                <w:tcPr>
                  <w:tcW w:w="44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D7070A"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40</w:t>
                  </w:r>
                </w:p>
              </w:tc>
              <w:tc>
                <w:tcPr>
                  <w:tcW w:w="9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B35BC50"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Insufflateur manuel Ambu, pédiatrique et pour néonatal</w:t>
                  </w:r>
                </w:p>
              </w:tc>
            </w:tr>
          </w:tbl>
          <w:p w14:paraId="0CAB8F7C" w14:textId="77777777" w:rsidR="00FF6DE5" w:rsidRPr="00B22EDC" w:rsidRDefault="00FF6DE5" w:rsidP="00FF6DE5">
            <w:pPr>
              <w:shd w:val="clear" w:color="auto" w:fill="FFFFFF"/>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 </w:t>
            </w:r>
          </w:p>
          <w:p w14:paraId="2CAC4D48" w14:textId="7030F974" w:rsidR="00FF6DE5" w:rsidRPr="00B22EDC" w:rsidRDefault="00FF6DE5" w:rsidP="00FF6DE5">
            <w:pPr>
              <w:shd w:val="clear" w:color="auto" w:fill="FFFFFF"/>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 xml:space="preserve">Pourtant, il n’y a que deux différents insufflateurs spécifiés techniquement comme </w:t>
            </w:r>
            <w:r w:rsidR="00BC1E6A" w:rsidRPr="00B22EDC">
              <w:rPr>
                <w:rFonts w:ascii="Georgia" w:eastAsia="Times New Roman" w:hAnsi="Georgia" w:cs="Segoe UI"/>
                <w:color w:val="242424"/>
                <w:kern w:val="0"/>
                <w:sz w:val="20"/>
                <w:szCs w:val="20"/>
                <w14:ligatures w14:val="none"/>
              </w:rPr>
              <w:t>suivant :</w:t>
            </w:r>
          </w:p>
          <w:p w14:paraId="691D96B3" w14:textId="77777777" w:rsidR="00FF6DE5" w:rsidRPr="00FF6DE5" w:rsidRDefault="00FF6DE5" w:rsidP="00FF6DE5">
            <w:pPr>
              <w:shd w:val="clear" w:color="auto" w:fill="FFFFFF"/>
              <w:jc w:val="both"/>
              <w:textAlignment w:val="baseline"/>
              <w:rPr>
                <w:rFonts w:ascii="Georgia" w:eastAsia="Times New Roman" w:hAnsi="Georgia" w:cs="Segoe UI"/>
                <w:b/>
                <w:bCs/>
                <w:color w:val="242424"/>
                <w:kern w:val="0"/>
                <w:sz w:val="20"/>
                <w:szCs w:val="20"/>
                <w14:ligatures w14:val="none"/>
              </w:rPr>
            </w:pPr>
            <w:r w:rsidRPr="00FF6DE5">
              <w:rPr>
                <w:rFonts w:ascii="Georgia" w:eastAsia="Times New Roman" w:hAnsi="Georgia" w:cs="Segoe UI"/>
                <w:b/>
                <w:bCs/>
                <w:color w:val="242424"/>
                <w:kern w:val="0"/>
                <w:sz w:val="20"/>
                <w:szCs w:val="20"/>
                <w14:ligatures w14:val="none"/>
              </w:rPr>
              <w:t> </w:t>
            </w:r>
          </w:p>
          <w:p w14:paraId="2F2B3F2C" w14:textId="77777777" w:rsidR="00FF6DE5" w:rsidRPr="00FF6DE5" w:rsidRDefault="00FF6DE5" w:rsidP="00FF6DE5">
            <w:pPr>
              <w:shd w:val="clear" w:color="auto" w:fill="FFFFFF"/>
              <w:jc w:val="both"/>
              <w:textAlignment w:val="baseline"/>
              <w:rPr>
                <w:rFonts w:ascii="Georgia" w:eastAsia="Times New Roman" w:hAnsi="Georgia" w:cs="Segoe UI"/>
                <w:b/>
                <w:bCs/>
                <w:color w:val="242424"/>
                <w:kern w:val="0"/>
                <w:sz w:val="20"/>
                <w:szCs w:val="20"/>
                <w14:ligatures w14:val="none"/>
              </w:rPr>
            </w:pPr>
            <w:r w:rsidRPr="00FF6DE5">
              <w:rPr>
                <w:rFonts w:ascii="Georgia" w:eastAsia="Times New Roman" w:hAnsi="Georgia" w:cs="Segoe UI"/>
                <w:b/>
                <w:bCs/>
                <w:color w:val="242424"/>
                <w:kern w:val="0"/>
                <w:sz w:val="20"/>
                <w:szCs w:val="20"/>
                <w14:ligatures w14:val="none"/>
              </w:rPr>
              <w:t></w:t>
            </w:r>
          </w:p>
          <w:tbl>
            <w:tblPr>
              <w:tblW w:w="6537" w:type="dxa"/>
              <w:tblLayout w:type="fixed"/>
              <w:tblCellMar>
                <w:left w:w="0" w:type="dxa"/>
                <w:right w:w="0" w:type="dxa"/>
              </w:tblCellMar>
              <w:tblLook w:val="04A0" w:firstRow="1" w:lastRow="0" w:firstColumn="1" w:lastColumn="0" w:noHBand="0" w:noVBand="1"/>
            </w:tblPr>
            <w:tblGrid>
              <w:gridCol w:w="1296"/>
              <w:gridCol w:w="5241"/>
            </w:tblGrid>
            <w:tr w:rsidR="00FF6DE5" w:rsidRPr="00FF6DE5" w14:paraId="17E14D41" w14:textId="77777777" w:rsidTr="00482054">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235546"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proofErr w:type="spellStart"/>
                  <w:r w:rsidRPr="00B22EDC">
                    <w:rPr>
                      <w:rFonts w:ascii="Georgia" w:eastAsia="Times New Roman" w:hAnsi="Georgia" w:cs="Segoe UI"/>
                      <w:color w:val="242424"/>
                      <w:kern w:val="0"/>
                      <w:sz w:val="20"/>
                      <w:szCs w:val="20"/>
                      <w:lang w:val="nl-NL"/>
                      <w14:ligatures w14:val="none"/>
                    </w:rPr>
                    <w:t>Insufflateur</w:t>
                  </w:r>
                  <w:proofErr w:type="spellEnd"/>
                  <w:r w:rsidRPr="00B22EDC">
                    <w:rPr>
                      <w:rFonts w:ascii="Georgia" w:eastAsia="Times New Roman" w:hAnsi="Georgia" w:cs="Segoe UI"/>
                      <w:color w:val="242424"/>
                      <w:kern w:val="0"/>
                      <w:sz w:val="20"/>
                      <w:szCs w:val="20"/>
                      <w:lang w:val="nl-NL"/>
                      <w14:ligatures w14:val="none"/>
                    </w:rPr>
                    <w:t xml:space="preserve"> </w:t>
                  </w:r>
                  <w:proofErr w:type="spellStart"/>
                  <w:r w:rsidRPr="00B22EDC">
                    <w:rPr>
                      <w:rFonts w:ascii="Georgia" w:eastAsia="Times New Roman" w:hAnsi="Georgia" w:cs="Segoe UI"/>
                      <w:color w:val="242424"/>
                      <w:kern w:val="0"/>
                      <w:sz w:val="20"/>
                      <w:szCs w:val="20"/>
                      <w:lang w:val="nl-NL"/>
                      <w14:ligatures w14:val="none"/>
                    </w:rPr>
                    <w:t>manuel</w:t>
                  </w:r>
                  <w:proofErr w:type="spellEnd"/>
                  <w:r w:rsidRPr="00B22EDC">
                    <w:rPr>
                      <w:rFonts w:ascii="Georgia" w:eastAsia="Times New Roman" w:hAnsi="Georgia" w:cs="Segoe UI"/>
                      <w:color w:val="242424"/>
                      <w:kern w:val="0"/>
                      <w:sz w:val="20"/>
                      <w:szCs w:val="20"/>
                      <w:lang w:val="nl-NL"/>
                      <w14:ligatures w14:val="none"/>
                    </w:rPr>
                    <w:t xml:space="preserve"> </w:t>
                  </w:r>
                  <w:proofErr w:type="spellStart"/>
                  <w:r w:rsidRPr="00B22EDC">
                    <w:rPr>
                      <w:rFonts w:ascii="Georgia" w:eastAsia="Times New Roman" w:hAnsi="Georgia" w:cs="Segoe UI"/>
                      <w:color w:val="242424"/>
                      <w:kern w:val="0"/>
                      <w:sz w:val="20"/>
                      <w:szCs w:val="20"/>
                      <w:lang w:val="nl-NL"/>
                      <w14:ligatures w14:val="none"/>
                    </w:rPr>
                    <w:t>Ambu</w:t>
                  </w:r>
                  <w:proofErr w:type="spellEnd"/>
                  <w:r w:rsidRPr="00B22EDC">
                    <w:rPr>
                      <w:rFonts w:ascii="Georgia" w:eastAsia="Times New Roman" w:hAnsi="Georgia" w:cs="Segoe UI"/>
                      <w:color w:val="242424"/>
                      <w:kern w:val="0"/>
                      <w:sz w:val="20"/>
                      <w:szCs w:val="20"/>
                      <w:lang w:val="nl-NL"/>
                      <w14:ligatures w14:val="none"/>
                    </w:rPr>
                    <w:t>, Adulte</w:t>
                  </w:r>
                </w:p>
                <w:p w14:paraId="4B8B338C"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lang w:val="fr-BE"/>
                      <w14:ligatures w14:val="none"/>
                    </w:rPr>
                    <w:t> </w:t>
                  </w:r>
                </w:p>
              </w:tc>
              <w:tc>
                <w:tcPr>
                  <w:tcW w:w="52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64568E3" w14:textId="77777777" w:rsidR="00FF6DE5" w:rsidRPr="00B22EDC" w:rsidRDefault="00FF6DE5" w:rsidP="00FF6DE5">
                  <w:pPr>
                    <w:numPr>
                      <w:ilvl w:val="0"/>
                      <w:numId w:val="4"/>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proofErr w:type="spellStart"/>
                  <w:r w:rsidRPr="00B22EDC">
                    <w:rPr>
                      <w:rFonts w:ascii="Georgia" w:eastAsia="Times New Roman" w:hAnsi="Georgia" w:cs="Segoe UI"/>
                      <w:color w:val="242424"/>
                      <w:kern w:val="0"/>
                      <w:sz w:val="20"/>
                      <w:szCs w:val="20"/>
                      <w:lang w:val="nl-NL"/>
                      <w14:ligatures w14:val="none"/>
                    </w:rPr>
                    <w:t>Réutilisable</w:t>
                  </w:r>
                  <w:proofErr w:type="spellEnd"/>
                  <w:r w:rsidRPr="00B22EDC">
                    <w:rPr>
                      <w:rFonts w:ascii="Georgia" w:eastAsia="Times New Roman" w:hAnsi="Georgia" w:cs="Segoe UI"/>
                      <w:color w:val="242424"/>
                      <w:kern w:val="0"/>
                      <w:sz w:val="20"/>
                      <w:szCs w:val="20"/>
                      <w:lang w:val="nl-NL"/>
                      <w14:ligatures w14:val="none"/>
                    </w:rPr>
                    <w:t xml:space="preserve"> et </w:t>
                  </w:r>
                  <w:proofErr w:type="spellStart"/>
                  <w:r w:rsidRPr="00B22EDC">
                    <w:rPr>
                      <w:rFonts w:ascii="Georgia" w:eastAsia="Times New Roman" w:hAnsi="Georgia" w:cs="Segoe UI"/>
                      <w:color w:val="242424"/>
                      <w:kern w:val="0"/>
                      <w:sz w:val="20"/>
                      <w:szCs w:val="20"/>
                      <w:lang w:val="nl-NL"/>
                      <w14:ligatures w14:val="none"/>
                    </w:rPr>
                    <w:t>autoclavable</w:t>
                  </w:r>
                  <w:proofErr w:type="spellEnd"/>
                  <w:r w:rsidRPr="00B22EDC">
                    <w:rPr>
                      <w:rFonts w:ascii="Georgia" w:eastAsia="Times New Roman" w:hAnsi="Georgia" w:cs="Segoe UI"/>
                      <w:color w:val="242424"/>
                      <w:kern w:val="0"/>
                      <w:sz w:val="20"/>
                      <w:szCs w:val="20"/>
                      <w:lang w:val="nl-NL"/>
                      <w14:ligatures w14:val="none"/>
                    </w:rPr>
                    <w:t>,</w:t>
                  </w:r>
                </w:p>
                <w:p w14:paraId="1FD59CF1" w14:textId="77777777" w:rsidR="00FF6DE5" w:rsidRPr="00B22EDC" w:rsidRDefault="00FF6DE5" w:rsidP="00FF6DE5">
                  <w:pPr>
                    <w:numPr>
                      <w:ilvl w:val="0"/>
                      <w:numId w:val="4"/>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Ballon de réanimation adulte, en silicone, masque en silicone taille 5,</w:t>
                  </w:r>
                </w:p>
                <w:p w14:paraId="60F2802C" w14:textId="77777777" w:rsidR="00FF6DE5" w:rsidRPr="00B22EDC" w:rsidRDefault="00FF6DE5" w:rsidP="00FF6DE5">
                  <w:pPr>
                    <w:numPr>
                      <w:ilvl w:val="0"/>
                      <w:numId w:val="4"/>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Réservoir et tuyau à oxygène ; Volume maximum par insufflation ±1600 ml</w:t>
                  </w:r>
                </w:p>
                <w:p w14:paraId="522C01C8" w14:textId="77777777" w:rsidR="00FF6DE5" w:rsidRPr="00B22EDC" w:rsidRDefault="00FF6DE5" w:rsidP="00FF6DE5">
                  <w:pPr>
                    <w:numPr>
                      <w:ilvl w:val="0"/>
                      <w:numId w:val="4"/>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Le matériel devra être marqué CE dispositifs médicaux</w:t>
                  </w:r>
                </w:p>
                <w:p w14:paraId="7D4D41C6" w14:textId="77777777" w:rsidR="00FF6DE5" w:rsidRPr="00B22EDC" w:rsidRDefault="00FF6DE5" w:rsidP="00FF6DE5">
                  <w:pPr>
                    <w:numPr>
                      <w:ilvl w:val="0"/>
                      <w:numId w:val="4"/>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Le soumissionnaire devra présenter dans son offre le certificat qui prouve que l'équipement répond aux normes CE</w:t>
                  </w:r>
                </w:p>
              </w:tc>
            </w:tr>
            <w:tr w:rsidR="00FF6DE5" w:rsidRPr="00FF6DE5" w14:paraId="4D659709" w14:textId="77777777" w:rsidTr="00482054">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D8810"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lastRenderedPageBreak/>
                    <w:t>Insufflateur manuel Ambu, pédiatrique et pour néonatal</w:t>
                  </w:r>
                </w:p>
                <w:p w14:paraId="5439924C" w14:textId="77777777" w:rsidR="00FF6DE5" w:rsidRPr="00B22EDC" w:rsidRDefault="00FF6DE5" w:rsidP="00FF6DE5">
                  <w:p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 </w:t>
                  </w:r>
                </w:p>
              </w:tc>
              <w:tc>
                <w:tcPr>
                  <w:tcW w:w="52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AE4833"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Insufflateur Enfant/ Bébé valve 1 clapet, avec masque T0 monobloc, et réservoir O2</w:t>
                  </w:r>
                </w:p>
                <w:p w14:paraId="1C149729" w14:textId="24EAA14C"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 xml:space="preserve">Plage d’application enfants d’un poids inférieur à 30 kg Volume maximum par insufflation 450 ml, Fréquence de ventilation </w:t>
                  </w:r>
                  <w:r w:rsidR="00A17193" w:rsidRPr="00BA05B2">
                    <w:rPr>
                      <w:rFonts w:ascii="Georgia" w:eastAsia="Times New Roman" w:hAnsi="Georgia" w:cs="Segoe UI"/>
                      <w:color w:val="242424"/>
                      <w:kern w:val="0"/>
                      <w:sz w:val="20"/>
                      <w:szCs w:val="20"/>
                      <w:lang w:val="fr-BE"/>
                      <w14:ligatures w14:val="none"/>
                    </w:rPr>
                    <w:t>maximum :</w:t>
                  </w:r>
                  <w:r w:rsidRPr="00BA05B2">
                    <w:rPr>
                      <w:rFonts w:ascii="Georgia" w:eastAsia="Times New Roman" w:hAnsi="Georgia" w:cs="Segoe UI"/>
                      <w:color w:val="242424"/>
                      <w:kern w:val="0"/>
                      <w:sz w:val="20"/>
                      <w:szCs w:val="20"/>
                      <w:lang w:val="fr-BE"/>
                      <w14:ligatures w14:val="none"/>
                    </w:rPr>
                    <w:t xml:space="preserve"> dépend du volume d’insufflation utilisé. Le taux de dilatation du ballon est suffisamment rapide pour toutes les fréquences de ventilation recommandées dans la pratique Raccord patient 22 /15 mm (ISO)</w:t>
                  </w:r>
                </w:p>
                <w:p w14:paraId="5CF7B012"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proofErr w:type="spellStart"/>
                  <w:r w:rsidRPr="00B22EDC">
                    <w:rPr>
                      <w:rFonts w:ascii="Georgia" w:eastAsia="Times New Roman" w:hAnsi="Georgia" w:cs="Segoe UI"/>
                      <w:color w:val="242424"/>
                      <w:kern w:val="0"/>
                      <w:sz w:val="20"/>
                      <w:szCs w:val="20"/>
                      <w:lang w:val="nl-NL"/>
                      <w14:ligatures w14:val="none"/>
                    </w:rPr>
                    <w:t>Texture</w:t>
                  </w:r>
                  <w:proofErr w:type="spellEnd"/>
                  <w:r w:rsidRPr="00B22EDC">
                    <w:rPr>
                      <w:rFonts w:ascii="Georgia" w:eastAsia="Times New Roman" w:hAnsi="Georgia" w:cs="Segoe UI"/>
                      <w:color w:val="242424"/>
                      <w:kern w:val="0"/>
                      <w:sz w:val="20"/>
                      <w:szCs w:val="20"/>
                      <w:lang w:val="nl-NL"/>
                      <w14:ligatures w14:val="none"/>
                    </w:rPr>
                    <w:t xml:space="preserve"> non </w:t>
                  </w:r>
                  <w:proofErr w:type="spellStart"/>
                  <w:r w:rsidRPr="00B22EDC">
                    <w:rPr>
                      <w:rFonts w:ascii="Georgia" w:eastAsia="Times New Roman" w:hAnsi="Georgia" w:cs="Segoe UI"/>
                      <w:color w:val="242424"/>
                      <w:kern w:val="0"/>
                      <w:sz w:val="20"/>
                      <w:szCs w:val="20"/>
                      <w:lang w:val="nl-NL"/>
                      <w14:ligatures w14:val="none"/>
                    </w:rPr>
                    <w:t>glissante</w:t>
                  </w:r>
                  <w:proofErr w:type="spellEnd"/>
                  <w:r w:rsidRPr="00B22EDC">
                    <w:rPr>
                      <w:rFonts w:ascii="Georgia" w:eastAsia="Times New Roman" w:hAnsi="Georgia" w:cs="Segoe UI"/>
                      <w:color w:val="242424"/>
                      <w:kern w:val="0"/>
                      <w:sz w:val="20"/>
                      <w:szCs w:val="20"/>
                      <w:lang w:val="nl-NL"/>
                      <w14:ligatures w14:val="none"/>
                    </w:rPr>
                    <w:t xml:space="preserve"> </w:t>
                  </w:r>
                  <w:proofErr w:type="spellStart"/>
                  <w:r w:rsidRPr="00B22EDC">
                    <w:rPr>
                      <w:rFonts w:ascii="Georgia" w:eastAsia="Times New Roman" w:hAnsi="Georgia" w:cs="Segoe UI"/>
                      <w:color w:val="242424"/>
                      <w:kern w:val="0"/>
                      <w:sz w:val="20"/>
                      <w:szCs w:val="20"/>
                      <w:lang w:val="nl-NL"/>
                      <w14:ligatures w14:val="none"/>
                    </w:rPr>
                    <w:t>translucide</w:t>
                  </w:r>
                  <w:proofErr w:type="spellEnd"/>
                </w:p>
                <w:p w14:paraId="252A9AE0"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Poignée de préhension pour faciliter et sécuriser la ventilation</w:t>
                  </w:r>
                </w:p>
                <w:p w14:paraId="6E845246"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Valve patiente à clapet unique pour une fonctionnalité optimale</w:t>
                  </w:r>
                </w:p>
                <w:p w14:paraId="65552B88"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Garanti pour la procédure « prion »</w:t>
                  </w:r>
                </w:p>
                <w:p w14:paraId="0F73F406"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proofErr w:type="spellStart"/>
                  <w:r w:rsidRPr="00B22EDC">
                    <w:rPr>
                      <w:rFonts w:ascii="Georgia" w:eastAsia="Times New Roman" w:hAnsi="Georgia" w:cs="Segoe UI"/>
                      <w:color w:val="242424"/>
                      <w:kern w:val="0"/>
                      <w:sz w:val="20"/>
                      <w:szCs w:val="20"/>
                      <w:lang w:val="nl-NL"/>
                      <w14:ligatures w14:val="none"/>
                    </w:rPr>
                    <w:t>Tarage</w:t>
                  </w:r>
                  <w:proofErr w:type="spellEnd"/>
                  <w:r w:rsidRPr="00B22EDC">
                    <w:rPr>
                      <w:rFonts w:ascii="Georgia" w:eastAsia="Times New Roman" w:hAnsi="Georgia" w:cs="Segoe UI"/>
                      <w:color w:val="242424"/>
                      <w:kern w:val="0"/>
                      <w:sz w:val="20"/>
                      <w:szCs w:val="20"/>
                      <w:lang w:val="nl-NL"/>
                      <w14:ligatures w14:val="none"/>
                    </w:rPr>
                    <w:t xml:space="preserve"> à 40 cm H2O</w:t>
                  </w:r>
                </w:p>
                <w:p w14:paraId="6E654811"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Tous les composants doivent être démontables et remontables aisément pour une maintenance facilitée ; ils sont conçus pour supporter un passage à l’autoclave à 134°C/18 minutes.</w:t>
                  </w:r>
                </w:p>
                <w:p w14:paraId="3E8AB5BA"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Fourni avec tous ses accessoires nécessaires à son utilisation</w:t>
                  </w:r>
                </w:p>
                <w:p w14:paraId="6A6A7CA8"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Le matériel devra être marqué CE dispositifs médicaux</w:t>
                  </w:r>
                </w:p>
                <w:p w14:paraId="123D1BF1" w14:textId="77777777" w:rsidR="00FF6DE5" w:rsidRPr="00B22EDC" w:rsidRDefault="00FF6DE5" w:rsidP="00FF6DE5">
                  <w:pPr>
                    <w:numPr>
                      <w:ilvl w:val="0"/>
                      <w:numId w:val="5"/>
                    </w:numPr>
                    <w:shd w:val="clear" w:color="auto" w:fill="FFFFFF"/>
                    <w:spacing w:after="0" w:line="240" w:lineRule="auto"/>
                    <w:jc w:val="both"/>
                    <w:textAlignment w:val="baseline"/>
                    <w:rPr>
                      <w:rFonts w:ascii="Georgia" w:eastAsia="Times New Roman" w:hAnsi="Georgia" w:cs="Segoe UI"/>
                      <w:color w:val="242424"/>
                      <w:kern w:val="0"/>
                      <w:sz w:val="20"/>
                      <w:szCs w:val="20"/>
                      <w14:ligatures w14:val="none"/>
                    </w:rPr>
                  </w:pPr>
                  <w:r w:rsidRPr="00BA05B2">
                    <w:rPr>
                      <w:rFonts w:ascii="Georgia" w:eastAsia="Times New Roman" w:hAnsi="Georgia" w:cs="Segoe UI"/>
                      <w:color w:val="242424"/>
                      <w:kern w:val="0"/>
                      <w:sz w:val="20"/>
                      <w:szCs w:val="20"/>
                      <w:lang w:val="fr-BE"/>
                      <w14:ligatures w14:val="none"/>
                    </w:rPr>
                    <w:t>Le soumissionnaire devra présenter dans son offre le certificat qui prouve que l'équipement répond aux normes CE</w:t>
                  </w:r>
                </w:p>
              </w:tc>
            </w:tr>
          </w:tbl>
          <w:p w14:paraId="61968FCB" w14:textId="77777777" w:rsidR="00C17A24" w:rsidRDefault="00C17A24" w:rsidP="00470036">
            <w:pPr>
              <w:shd w:val="clear" w:color="auto" w:fill="FFFFFF"/>
              <w:jc w:val="both"/>
              <w:textAlignment w:val="baseline"/>
              <w:rPr>
                <w:rFonts w:ascii="Georgia" w:eastAsia="Times New Roman" w:hAnsi="Georgia" w:cs="Segoe UI"/>
                <w:b/>
                <w:bCs/>
                <w:color w:val="242424"/>
                <w:kern w:val="0"/>
                <w:sz w:val="20"/>
                <w:szCs w:val="20"/>
                <w14:ligatures w14:val="none"/>
              </w:rPr>
            </w:pPr>
          </w:p>
          <w:p w14:paraId="56D0DE88" w14:textId="44DE1133" w:rsidR="00C17A24" w:rsidRPr="00B728F1" w:rsidRDefault="00C17A24" w:rsidP="00470036">
            <w:pPr>
              <w:shd w:val="clear" w:color="auto" w:fill="FFFFFF"/>
              <w:jc w:val="both"/>
              <w:textAlignment w:val="baseline"/>
              <w:rPr>
                <w:rFonts w:ascii="Georgia" w:eastAsia="Times New Roman" w:hAnsi="Georgia" w:cs="Segoe UI"/>
                <w:color w:val="242424"/>
                <w:kern w:val="0"/>
                <w:sz w:val="20"/>
                <w:szCs w:val="20"/>
                <w14:ligatures w14:val="none"/>
              </w:rPr>
            </w:pPr>
          </w:p>
        </w:tc>
        <w:tc>
          <w:tcPr>
            <w:tcW w:w="5528" w:type="dxa"/>
          </w:tcPr>
          <w:p w14:paraId="25F5E166" w14:textId="470C9D44" w:rsidR="00B728F1" w:rsidRDefault="00370CA2" w:rsidP="000C27F4">
            <w:pPr>
              <w:jc w:val="both"/>
              <w:rPr>
                <w:rFonts w:ascii="Georgia" w:hAnsi="Georgia"/>
              </w:rPr>
            </w:pPr>
            <w:r w:rsidRPr="00370CA2">
              <w:rPr>
                <w:rFonts w:ascii="Georgia" w:hAnsi="Georgia"/>
              </w:rPr>
              <w:lastRenderedPageBreak/>
              <w:t>Item 39 à supprimer car décrit dans l’item 40/ Insufflateur manuel Ambu, pédiatrique et pour néonatal.</w:t>
            </w:r>
          </w:p>
        </w:tc>
      </w:tr>
      <w:tr w:rsidR="00CD11E8" w:rsidRPr="000C27F4" w14:paraId="3FB6AD63" w14:textId="77777777" w:rsidTr="00482054">
        <w:tc>
          <w:tcPr>
            <w:tcW w:w="7083" w:type="dxa"/>
          </w:tcPr>
          <w:p w14:paraId="4CB781E4" w14:textId="77777777" w:rsidR="00E17D36" w:rsidRDefault="00E17D36" w:rsidP="00B22EDC">
            <w:pPr>
              <w:shd w:val="clear" w:color="auto" w:fill="FFFFFF"/>
              <w:jc w:val="both"/>
              <w:textAlignment w:val="baseline"/>
              <w:rPr>
                <w:rFonts w:ascii="Georgia" w:eastAsia="Times New Roman" w:hAnsi="Georgia" w:cs="Segoe UI"/>
                <w:color w:val="242424"/>
                <w:kern w:val="0"/>
                <w:sz w:val="20"/>
                <w:szCs w:val="20"/>
                <w14:ligatures w14:val="none"/>
              </w:rPr>
            </w:pPr>
          </w:p>
          <w:p w14:paraId="42D620DF" w14:textId="77777777" w:rsidR="00E17D36" w:rsidRPr="00E17D36" w:rsidRDefault="00E17D36" w:rsidP="00E17D36">
            <w:pPr>
              <w:shd w:val="clear" w:color="auto" w:fill="FFFFFF"/>
              <w:jc w:val="both"/>
              <w:textAlignment w:val="baseline"/>
              <w:rPr>
                <w:rFonts w:ascii="Georgia" w:eastAsia="Times New Roman" w:hAnsi="Georgia" w:cs="Segoe UI"/>
                <w:b/>
                <w:bCs/>
                <w:color w:val="242424"/>
                <w:kern w:val="0"/>
                <w:sz w:val="20"/>
                <w:szCs w:val="20"/>
                <w14:ligatures w14:val="none"/>
              </w:rPr>
            </w:pPr>
            <w:r w:rsidRPr="00E17D36">
              <w:rPr>
                <w:rFonts w:ascii="Georgia" w:eastAsia="Times New Roman" w:hAnsi="Georgia" w:cs="Segoe UI"/>
                <w:b/>
                <w:bCs/>
                <w:color w:val="242424"/>
                <w:kern w:val="0"/>
                <w:sz w:val="20"/>
                <w:szCs w:val="20"/>
                <w14:ligatures w14:val="none"/>
              </w:rPr>
              <w:t>Lampe opératoire plafonnière</w:t>
            </w:r>
          </w:p>
          <w:p w14:paraId="6B5ACC55" w14:textId="77777777" w:rsidR="00E17D36" w:rsidRDefault="00E17D36" w:rsidP="00B22EDC">
            <w:pPr>
              <w:shd w:val="clear" w:color="auto" w:fill="FFFFFF"/>
              <w:jc w:val="both"/>
              <w:textAlignment w:val="baseline"/>
              <w:rPr>
                <w:rFonts w:ascii="Georgia" w:eastAsia="Times New Roman" w:hAnsi="Georgia" w:cs="Segoe UI"/>
                <w:color w:val="242424"/>
                <w:kern w:val="0"/>
                <w:sz w:val="20"/>
                <w:szCs w:val="20"/>
                <w14:ligatures w14:val="none"/>
              </w:rPr>
            </w:pPr>
          </w:p>
          <w:p w14:paraId="34AC3A61" w14:textId="36FEE317" w:rsidR="00B22EDC" w:rsidRPr="00B22EDC" w:rsidRDefault="005F6032" w:rsidP="00B22EDC">
            <w:pPr>
              <w:shd w:val="clear" w:color="auto" w:fill="FFFFFF"/>
              <w:jc w:val="both"/>
              <w:textAlignment w:val="baseline"/>
              <w:rPr>
                <w:rFonts w:ascii="Georgia" w:eastAsia="Times New Roman" w:hAnsi="Georgia" w:cs="Segoe UI"/>
                <w:color w:val="242424"/>
                <w:kern w:val="0"/>
                <w:sz w:val="20"/>
                <w:szCs w:val="20"/>
                <w14:ligatures w14:val="none"/>
              </w:rPr>
            </w:pPr>
            <w:r w:rsidRPr="00B22EDC">
              <w:rPr>
                <w:rFonts w:ascii="Georgia" w:eastAsia="Times New Roman" w:hAnsi="Georgia" w:cs="Segoe UI"/>
                <w:color w:val="242424"/>
                <w:kern w:val="0"/>
                <w:sz w:val="20"/>
                <w:szCs w:val="20"/>
                <w14:ligatures w14:val="none"/>
              </w:rPr>
              <w:t xml:space="preserve">Veuiller </w:t>
            </w:r>
            <w:r w:rsidR="00B22EDC" w:rsidRPr="00B22EDC">
              <w:rPr>
                <w:rFonts w:ascii="Georgia" w:eastAsia="Times New Roman" w:hAnsi="Georgia" w:cs="Segoe UI"/>
                <w:color w:val="242424"/>
                <w:kern w:val="0"/>
                <w:sz w:val="20"/>
                <w:szCs w:val="20"/>
                <w14:ligatures w14:val="none"/>
              </w:rPr>
              <w:t>préciser la hauteur des salles où les lampes seront installées.</w:t>
            </w:r>
          </w:p>
          <w:p w14:paraId="30C46B66" w14:textId="4E48645E" w:rsidR="00CD11E8" w:rsidRPr="00B728F1" w:rsidRDefault="00CD11E8" w:rsidP="00470036">
            <w:pPr>
              <w:shd w:val="clear" w:color="auto" w:fill="FFFFFF"/>
              <w:jc w:val="both"/>
              <w:textAlignment w:val="baseline"/>
              <w:rPr>
                <w:rFonts w:ascii="Georgia" w:eastAsia="Times New Roman" w:hAnsi="Georgia" w:cs="Segoe UI"/>
                <w:b/>
                <w:bCs/>
                <w:color w:val="242424"/>
                <w:kern w:val="0"/>
                <w:sz w:val="20"/>
                <w:szCs w:val="20"/>
                <w14:ligatures w14:val="none"/>
              </w:rPr>
            </w:pPr>
          </w:p>
        </w:tc>
        <w:tc>
          <w:tcPr>
            <w:tcW w:w="5528" w:type="dxa"/>
          </w:tcPr>
          <w:p w14:paraId="21A5786B" w14:textId="77777777" w:rsidR="00CD11E8" w:rsidRDefault="00CD11E8" w:rsidP="000C27F4">
            <w:pPr>
              <w:jc w:val="both"/>
              <w:rPr>
                <w:rFonts w:ascii="Georgia" w:hAnsi="Georgia"/>
              </w:rPr>
            </w:pPr>
          </w:p>
          <w:p w14:paraId="59315B3F" w14:textId="77777777" w:rsidR="00364FC7" w:rsidRDefault="00364FC7" w:rsidP="000C27F4">
            <w:pPr>
              <w:jc w:val="both"/>
              <w:rPr>
                <w:rFonts w:ascii="Georgia" w:hAnsi="Georgia"/>
              </w:rPr>
            </w:pPr>
          </w:p>
          <w:p w14:paraId="7A58E784" w14:textId="7672D86D" w:rsidR="00364FC7" w:rsidRPr="00370CA2" w:rsidRDefault="00B36FC8" w:rsidP="000C27F4">
            <w:pPr>
              <w:jc w:val="both"/>
              <w:rPr>
                <w:rFonts w:ascii="Georgia" w:hAnsi="Georgia"/>
              </w:rPr>
            </w:pPr>
            <w:r>
              <w:rPr>
                <w:rFonts w:ascii="Georgia" w:hAnsi="Georgia"/>
              </w:rPr>
              <w:t>3m</w:t>
            </w:r>
          </w:p>
        </w:tc>
      </w:tr>
      <w:tr w:rsidR="00E17D36" w:rsidRPr="000C27F4" w14:paraId="311F53B8" w14:textId="77777777" w:rsidTr="00482054">
        <w:tc>
          <w:tcPr>
            <w:tcW w:w="7083" w:type="dxa"/>
          </w:tcPr>
          <w:p w14:paraId="5B3365DB" w14:textId="77777777" w:rsidR="004241F4" w:rsidRPr="004241F4" w:rsidRDefault="004241F4" w:rsidP="004241F4">
            <w:pPr>
              <w:shd w:val="clear" w:color="auto" w:fill="FFFFFF"/>
              <w:jc w:val="both"/>
              <w:textAlignment w:val="baseline"/>
              <w:rPr>
                <w:rFonts w:ascii="Georgia" w:eastAsia="Times New Roman" w:hAnsi="Georgia" w:cs="Segoe UI"/>
                <w:color w:val="242424"/>
                <w:kern w:val="0"/>
                <w:sz w:val="20"/>
                <w:szCs w:val="20"/>
                <w14:ligatures w14:val="none"/>
              </w:rPr>
            </w:pPr>
            <w:r w:rsidRPr="004241F4">
              <w:rPr>
                <w:rFonts w:ascii="Georgia" w:eastAsia="Times New Roman" w:hAnsi="Georgia" w:cs="Segoe UI"/>
                <w:b/>
                <w:bCs/>
                <w:color w:val="242424"/>
                <w:kern w:val="0"/>
                <w:sz w:val="20"/>
                <w:szCs w:val="20"/>
                <w14:ligatures w14:val="none"/>
              </w:rPr>
              <w:t>Echographe multifonctions</w:t>
            </w:r>
          </w:p>
          <w:p w14:paraId="5DD77BB7" w14:textId="77777777" w:rsidR="004241F4" w:rsidRPr="004241F4" w:rsidRDefault="004241F4" w:rsidP="004241F4">
            <w:pPr>
              <w:shd w:val="clear" w:color="auto" w:fill="FFFFFF"/>
              <w:jc w:val="both"/>
              <w:textAlignment w:val="baseline"/>
              <w:rPr>
                <w:rFonts w:ascii="Georgia" w:eastAsia="Times New Roman" w:hAnsi="Georgia" w:cs="Segoe UI"/>
                <w:color w:val="242424"/>
                <w:kern w:val="0"/>
                <w:sz w:val="20"/>
                <w:szCs w:val="20"/>
                <w14:ligatures w14:val="none"/>
              </w:rPr>
            </w:pPr>
            <w:r w:rsidRPr="004241F4">
              <w:rPr>
                <w:rFonts w:ascii="Georgia" w:eastAsia="Times New Roman" w:hAnsi="Georgia" w:cs="Segoe UI"/>
                <w:color w:val="242424"/>
                <w:kern w:val="0"/>
                <w:sz w:val="20"/>
                <w:szCs w:val="20"/>
                <w14:ligatures w14:val="none"/>
              </w:rPr>
              <w:t>Veuillez reconfirmer la quantité des sondes convexes.</w:t>
            </w:r>
          </w:p>
          <w:p w14:paraId="2EB210AB" w14:textId="0B023097" w:rsidR="004241F4" w:rsidRPr="004241F4" w:rsidRDefault="004241F4" w:rsidP="004241F4">
            <w:pPr>
              <w:shd w:val="clear" w:color="auto" w:fill="FFFFFF"/>
              <w:jc w:val="both"/>
              <w:textAlignment w:val="baseline"/>
              <w:rPr>
                <w:rFonts w:ascii="Georgia" w:eastAsia="Times New Roman" w:hAnsi="Georgia" w:cs="Segoe UI"/>
                <w:color w:val="242424"/>
                <w:kern w:val="0"/>
                <w:sz w:val="20"/>
                <w:szCs w:val="20"/>
                <w14:ligatures w14:val="none"/>
              </w:rPr>
            </w:pPr>
            <w:r w:rsidRPr="004241F4">
              <w:rPr>
                <w:rFonts w:ascii="Georgia" w:eastAsia="Times New Roman" w:hAnsi="Georgia" w:cs="Segoe UI"/>
                <w:color w:val="242424"/>
                <w:kern w:val="0"/>
                <w:sz w:val="20"/>
                <w:szCs w:val="20"/>
                <w14:ligatures w14:val="none"/>
              </w:rPr>
              <w:t>Il est mentionné deux fois – exigez-vous donc 2 sondes convexes ?</w:t>
            </w:r>
          </w:p>
          <w:p w14:paraId="00364D43" w14:textId="77777777" w:rsidR="004241F4" w:rsidRPr="004241F4" w:rsidRDefault="004241F4" w:rsidP="004241F4">
            <w:pPr>
              <w:shd w:val="clear" w:color="auto" w:fill="FFFFFF"/>
              <w:jc w:val="both"/>
              <w:textAlignment w:val="baseline"/>
              <w:rPr>
                <w:rFonts w:ascii="Georgia" w:eastAsia="Times New Roman" w:hAnsi="Georgia" w:cs="Segoe UI"/>
                <w:color w:val="242424"/>
                <w:kern w:val="0"/>
                <w:sz w:val="20"/>
                <w:szCs w:val="20"/>
                <w14:ligatures w14:val="none"/>
              </w:rPr>
            </w:pPr>
            <w:r w:rsidRPr="004241F4">
              <w:rPr>
                <w:rFonts w:ascii="Georgia" w:eastAsia="Times New Roman" w:hAnsi="Georgia" w:cs="Segoe UI"/>
                <w:color w:val="242424"/>
                <w:kern w:val="0"/>
                <w:sz w:val="20"/>
                <w:szCs w:val="20"/>
                <w14:ligatures w14:val="none"/>
              </w:rPr>
              <w:lastRenderedPageBreak/>
              <w:t> </w:t>
            </w:r>
          </w:p>
          <w:p w14:paraId="7AEE2033" w14:textId="77777777" w:rsidR="00E17D36" w:rsidRDefault="00E17D36" w:rsidP="00B22EDC">
            <w:pPr>
              <w:shd w:val="clear" w:color="auto" w:fill="FFFFFF"/>
              <w:jc w:val="both"/>
              <w:textAlignment w:val="baseline"/>
              <w:rPr>
                <w:rFonts w:ascii="Georgia" w:eastAsia="Times New Roman" w:hAnsi="Georgia" w:cs="Segoe UI"/>
                <w:color w:val="242424"/>
                <w:kern w:val="0"/>
                <w:sz w:val="20"/>
                <w:szCs w:val="20"/>
                <w14:ligatures w14:val="none"/>
              </w:rPr>
            </w:pPr>
          </w:p>
        </w:tc>
        <w:tc>
          <w:tcPr>
            <w:tcW w:w="5528" w:type="dxa"/>
          </w:tcPr>
          <w:p w14:paraId="1C562D94" w14:textId="3E896F48" w:rsidR="00E17D36" w:rsidRPr="00370CA2" w:rsidRDefault="008D77BB" w:rsidP="000C27F4">
            <w:pPr>
              <w:jc w:val="both"/>
              <w:rPr>
                <w:rFonts w:ascii="Georgia" w:hAnsi="Georgia"/>
              </w:rPr>
            </w:pPr>
            <w:r>
              <w:rPr>
                <w:rFonts w:ascii="Georgia" w:hAnsi="Georgia"/>
              </w:rPr>
              <w:lastRenderedPageBreak/>
              <w:t>1 convexe</w:t>
            </w:r>
          </w:p>
        </w:tc>
      </w:tr>
      <w:tr w:rsidR="009670F3" w:rsidRPr="000C27F4" w14:paraId="63DC5224" w14:textId="77777777" w:rsidTr="00482054">
        <w:tc>
          <w:tcPr>
            <w:tcW w:w="7083" w:type="dxa"/>
          </w:tcPr>
          <w:p w14:paraId="6A985ABC" w14:textId="3428D32D" w:rsidR="009670F3" w:rsidRPr="009670F3" w:rsidRDefault="009670F3" w:rsidP="004241F4">
            <w:pPr>
              <w:shd w:val="clear" w:color="auto" w:fill="FFFFFF"/>
              <w:jc w:val="both"/>
              <w:textAlignment w:val="baseline"/>
              <w:rPr>
                <w:rFonts w:ascii="Georgia" w:eastAsia="Times New Roman" w:hAnsi="Georgia" w:cs="Segoe UI"/>
                <w:color w:val="242424"/>
                <w:kern w:val="0"/>
                <w:sz w:val="20"/>
                <w:szCs w:val="20"/>
                <w14:ligatures w14:val="none"/>
              </w:rPr>
            </w:pPr>
            <w:r w:rsidRPr="009670F3">
              <w:rPr>
                <w:rFonts w:ascii="Georgia" w:eastAsia="Times New Roman" w:hAnsi="Georgia" w:cs="Segoe UI"/>
                <w:color w:val="242424"/>
                <w:kern w:val="0"/>
                <w:sz w:val="20"/>
                <w:szCs w:val="20"/>
                <w:lang w:val="fr-BE"/>
                <w14:ligatures w14:val="none"/>
              </w:rPr>
              <w:t>Veuillez confirmer s’il est possible</w:t>
            </w:r>
            <w:r w:rsidRPr="009670F3">
              <w:rPr>
                <w:rFonts w:ascii="Georgia" w:eastAsia="Times New Roman" w:hAnsi="Georgia" w:cs="Segoe UI"/>
                <w:color w:val="242424"/>
                <w:kern w:val="0"/>
                <w:sz w:val="20"/>
                <w:szCs w:val="20"/>
                <w14:ligatures w14:val="none"/>
              </w:rPr>
              <w:t xml:space="preserve"> de décharger les 20 pieds et 40 </w:t>
            </w:r>
            <w:r w:rsidR="00560946" w:rsidRPr="009670F3">
              <w:rPr>
                <w:rFonts w:ascii="Georgia" w:eastAsia="Times New Roman" w:hAnsi="Georgia" w:cs="Segoe UI"/>
                <w:color w:val="242424"/>
                <w:kern w:val="0"/>
                <w:sz w:val="20"/>
                <w:szCs w:val="20"/>
                <w14:ligatures w14:val="none"/>
              </w:rPr>
              <w:t>pieds) conteneurs</w:t>
            </w:r>
            <w:r w:rsidRPr="009670F3">
              <w:rPr>
                <w:rFonts w:ascii="Georgia" w:eastAsia="Times New Roman" w:hAnsi="Georgia" w:cs="Segoe UI"/>
                <w:color w:val="242424"/>
                <w:kern w:val="0"/>
                <w:sz w:val="20"/>
                <w:szCs w:val="20"/>
                <w14:ligatures w14:val="none"/>
              </w:rPr>
              <w:t xml:space="preserve"> directement à l'hôpital.</w:t>
            </w:r>
          </w:p>
        </w:tc>
        <w:tc>
          <w:tcPr>
            <w:tcW w:w="5528" w:type="dxa"/>
          </w:tcPr>
          <w:p w14:paraId="474A1670" w14:textId="77777777" w:rsidR="00560946" w:rsidRPr="00560946" w:rsidRDefault="00560946" w:rsidP="00560946">
            <w:pPr>
              <w:jc w:val="both"/>
              <w:rPr>
                <w:rFonts w:ascii="Georgia" w:hAnsi="Georgia"/>
              </w:rPr>
            </w:pPr>
            <w:r w:rsidRPr="00560946">
              <w:rPr>
                <w:rFonts w:ascii="Georgia" w:hAnsi="Georgia"/>
              </w:rPr>
              <w:t>Les équipements doivent être approuvés à Bujumbura avant leur livraison sur site. Ils doivent être déballés pour vérification des composants, mais leur fonctionnement est testé sur site. L’Hôpital a assez de place pour le conteneur.</w:t>
            </w:r>
          </w:p>
          <w:p w14:paraId="71DDC505" w14:textId="77777777" w:rsidR="009670F3" w:rsidRDefault="009670F3" w:rsidP="000C27F4">
            <w:pPr>
              <w:jc w:val="both"/>
              <w:rPr>
                <w:rFonts w:ascii="Georgia" w:hAnsi="Georgia"/>
              </w:rPr>
            </w:pPr>
          </w:p>
        </w:tc>
      </w:tr>
      <w:tr w:rsidR="003C497F" w:rsidRPr="000C27F4" w14:paraId="4350947E" w14:textId="77777777" w:rsidTr="00482054">
        <w:tc>
          <w:tcPr>
            <w:tcW w:w="7083" w:type="dxa"/>
          </w:tcPr>
          <w:p w14:paraId="6791ECA3" w14:textId="77777777" w:rsidR="00B31106" w:rsidRPr="00B31106" w:rsidRDefault="00B31106" w:rsidP="00B31106">
            <w:pPr>
              <w:shd w:val="clear" w:color="auto" w:fill="FFFFFF"/>
              <w:jc w:val="both"/>
              <w:textAlignment w:val="baseline"/>
              <w:rPr>
                <w:rFonts w:ascii="Georgia" w:eastAsia="Times New Roman" w:hAnsi="Georgia" w:cs="Segoe UI"/>
                <w:color w:val="242424"/>
                <w:kern w:val="0"/>
                <w:sz w:val="20"/>
                <w:szCs w:val="20"/>
                <w14:ligatures w14:val="none"/>
              </w:rPr>
            </w:pPr>
            <w:r w:rsidRPr="00B31106">
              <w:rPr>
                <w:rFonts w:ascii="Georgia" w:eastAsia="Times New Roman" w:hAnsi="Georgia" w:cs="Segoe UI"/>
                <w:b/>
                <w:bCs/>
                <w:color w:val="242424"/>
                <w:kern w:val="0"/>
                <w:sz w:val="20"/>
                <w:szCs w:val="20"/>
                <w14:ligatures w14:val="none"/>
              </w:rPr>
              <w:t>Item 57 Lit de soins intensif</w:t>
            </w:r>
          </w:p>
          <w:p w14:paraId="64301A21" w14:textId="25C3014E" w:rsidR="00B31106" w:rsidRPr="00B31106" w:rsidRDefault="00B31106" w:rsidP="00B31106">
            <w:pPr>
              <w:shd w:val="clear" w:color="auto" w:fill="FFFFFF"/>
              <w:jc w:val="both"/>
              <w:textAlignment w:val="baseline"/>
              <w:rPr>
                <w:rFonts w:ascii="Georgia" w:eastAsia="Times New Roman" w:hAnsi="Georgia" w:cs="Segoe UI"/>
                <w:color w:val="242424"/>
                <w:kern w:val="0"/>
                <w:sz w:val="20"/>
                <w:szCs w:val="20"/>
                <w14:ligatures w14:val="none"/>
              </w:rPr>
            </w:pPr>
            <w:r w:rsidRPr="00B31106">
              <w:rPr>
                <w:rFonts w:ascii="Georgia" w:eastAsia="Times New Roman" w:hAnsi="Georgia" w:cs="Segoe UI"/>
                <w:color w:val="242424"/>
                <w:kern w:val="0"/>
                <w:sz w:val="20"/>
                <w:szCs w:val="20"/>
                <w14:ligatures w14:val="none"/>
              </w:rPr>
              <w:t>Nous avons constaté que vous n’avez pas spécifié des matelas pour ce type de lit. Veuillez confirmer si vous exigez des matelas pour les lits de soins intensif. Si c’est le cas, veuillez faire parvenir aux soumissionnaires les spécifications des matelas.</w:t>
            </w:r>
          </w:p>
          <w:p w14:paraId="30F27736" w14:textId="77777777" w:rsidR="003C497F" w:rsidRPr="00B31106" w:rsidRDefault="003C497F" w:rsidP="004241F4">
            <w:pPr>
              <w:shd w:val="clear" w:color="auto" w:fill="FFFFFF"/>
              <w:jc w:val="both"/>
              <w:textAlignment w:val="baseline"/>
              <w:rPr>
                <w:rFonts w:ascii="Georgia" w:eastAsia="Times New Roman" w:hAnsi="Georgia" w:cs="Segoe UI"/>
                <w:color w:val="242424"/>
                <w:kern w:val="0"/>
                <w:sz w:val="20"/>
                <w:szCs w:val="20"/>
                <w14:ligatures w14:val="none"/>
              </w:rPr>
            </w:pPr>
          </w:p>
        </w:tc>
        <w:tc>
          <w:tcPr>
            <w:tcW w:w="5528" w:type="dxa"/>
          </w:tcPr>
          <w:p w14:paraId="457FBFC7" w14:textId="1E39EA91" w:rsidR="00703DB4" w:rsidRPr="00A17193" w:rsidRDefault="00703DB4" w:rsidP="00703DB4">
            <w:pPr>
              <w:jc w:val="both"/>
              <w:rPr>
                <w:rFonts w:ascii="Georgia" w:hAnsi="Georgia"/>
              </w:rPr>
            </w:pPr>
            <w:r w:rsidRPr="00A17193">
              <w:rPr>
                <w:rFonts w:ascii="Georgia" w:hAnsi="Georgia"/>
                <w:lang w:val="fr-BE"/>
              </w:rPr>
              <w:t>Oui nous exigeons les matelas</w:t>
            </w:r>
            <w:r w:rsidR="00BA05B2" w:rsidRPr="00A17193">
              <w:rPr>
                <w:rFonts w:ascii="Georgia" w:hAnsi="Georgia"/>
                <w:lang w:val="fr-BE"/>
              </w:rPr>
              <w:t xml:space="preserve"> pour les lits de soins </w:t>
            </w:r>
            <w:r w:rsidR="00A17193" w:rsidRPr="00A17193">
              <w:rPr>
                <w:rFonts w:ascii="Georgia" w:hAnsi="Georgia"/>
                <w:lang w:val="fr-BE"/>
              </w:rPr>
              <w:t>intensifs.</w:t>
            </w:r>
            <w:r w:rsidRPr="00A17193">
              <w:rPr>
                <w:rFonts w:ascii="Georgia" w:hAnsi="Georgia"/>
                <w:lang w:val="fr-BE"/>
              </w:rPr>
              <w:t xml:space="preserve"> Ci-dessous les Spécifications techniques :</w:t>
            </w:r>
          </w:p>
          <w:p w14:paraId="50ED11E7" w14:textId="2A3C8AA3" w:rsidR="00703DB4" w:rsidRPr="00A17193" w:rsidRDefault="00703DB4" w:rsidP="00703DB4">
            <w:pPr>
              <w:jc w:val="both"/>
              <w:rPr>
                <w:rFonts w:ascii="Georgia" w:hAnsi="Georgia"/>
              </w:rPr>
            </w:pPr>
            <w:r w:rsidRPr="00A17193">
              <w:rPr>
                <w:rFonts w:ascii="Georgia" w:hAnsi="Georgia"/>
              </w:rPr>
              <w:t xml:space="preserve">Matelas </w:t>
            </w:r>
            <w:r w:rsidR="00A17193" w:rsidRPr="00A17193">
              <w:rPr>
                <w:rFonts w:ascii="Georgia" w:hAnsi="Georgia"/>
              </w:rPr>
              <w:t>anti-escarre</w:t>
            </w:r>
            <w:r w:rsidRPr="00A17193">
              <w:rPr>
                <w:rFonts w:ascii="Georgia" w:hAnsi="Georgia"/>
              </w:rPr>
              <w:t> :  Dimension : 2030mm (L) * 900mm (L) * 530mm (H).</w:t>
            </w:r>
          </w:p>
          <w:p w14:paraId="31D4B83D" w14:textId="05F515FA" w:rsidR="00703DB4" w:rsidRPr="00A17193" w:rsidRDefault="00703DB4" w:rsidP="00703DB4">
            <w:pPr>
              <w:jc w:val="both"/>
              <w:rPr>
                <w:rFonts w:ascii="Georgia" w:hAnsi="Georgia"/>
              </w:rPr>
            </w:pPr>
            <w:r w:rsidRPr="00A17193">
              <w:rPr>
                <w:rFonts w:ascii="Georgia" w:hAnsi="Georgia"/>
              </w:rPr>
              <w:t>En mousse de polyuréthane de polyéther ou tout matériau reconnu équivalent pour cette application</w:t>
            </w:r>
          </w:p>
          <w:p w14:paraId="48ACD686" w14:textId="6946CBA1" w:rsidR="00703DB4" w:rsidRPr="00A17193" w:rsidRDefault="00703DB4" w:rsidP="00703DB4">
            <w:pPr>
              <w:jc w:val="both"/>
              <w:rPr>
                <w:rFonts w:ascii="Georgia" w:hAnsi="Georgia"/>
              </w:rPr>
            </w:pPr>
            <w:r w:rsidRPr="00A17193">
              <w:rPr>
                <w:rFonts w:ascii="Georgia" w:hAnsi="Georgia"/>
              </w:rPr>
              <w:t xml:space="preserve">Livré chacun avec 10 alèses adaptées au matelas, en matériau anallergique tel le </w:t>
            </w:r>
            <w:proofErr w:type="spellStart"/>
            <w:r w:rsidRPr="00A17193">
              <w:rPr>
                <w:rFonts w:ascii="Georgia" w:hAnsi="Georgia"/>
              </w:rPr>
              <w:t>Dermalon</w:t>
            </w:r>
            <w:proofErr w:type="spellEnd"/>
            <w:r w:rsidRPr="00A17193">
              <w:rPr>
                <w:rFonts w:ascii="Georgia" w:hAnsi="Georgia"/>
              </w:rPr>
              <w:t>®, d’une épaisseur approximative de 0,1mm</w:t>
            </w:r>
          </w:p>
          <w:p w14:paraId="29AEAEC5" w14:textId="28801454" w:rsidR="00703DB4" w:rsidRPr="00A17193" w:rsidRDefault="00703DB4" w:rsidP="00703DB4">
            <w:pPr>
              <w:jc w:val="both"/>
              <w:rPr>
                <w:rFonts w:ascii="Georgia" w:hAnsi="Georgia"/>
              </w:rPr>
            </w:pPr>
            <w:r w:rsidRPr="00A17193">
              <w:rPr>
                <w:rFonts w:ascii="Georgia" w:hAnsi="Georgia"/>
              </w:rPr>
              <w:t>Compresseur :</w:t>
            </w:r>
          </w:p>
          <w:p w14:paraId="2D73781C" w14:textId="55A188D9" w:rsidR="00703DB4" w:rsidRPr="00A17193" w:rsidRDefault="00703DB4" w:rsidP="00703DB4">
            <w:pPr>
              <w:jc w:val="both"/>
              <w:rPr>
                <w:rFonts w:ascii="Georgia" w:hAnsi="Georgia"/>
              </w:rPr>
            </w:pPr>
            <w:r w:rsidRPr="00A17193">
              <w:rPr>
                <w:rFonts w:ascii="Georgia" w:hAnsi="Georgia"/>
              </w:rPr>
              <w:t>Pression </w:t>
            </w:r>
            <w:r w:rsidRPr="00A17193">
              <w:rPr>
                <w:rFonts w:ascii="Georgia" w:hAnsi="Georgia"/>
                <w:lang w:val="fr-BE"/>
              </w:rPr>
              <w:t>±</w:t>
            </w:r>
            <w:r w:rsidRPr="00A17193">
              <w:rPr>
                <w:rFonts w:ascii="Georgia" w:hAnsi="Georgia"/>
              </w:rPr>
              <w:t xml:space="preserve"> 55 - 120 </w:t>
            </w:r>
            <w:proofErr w:type="spellStart"/>
            <w:r w:rsidRPr="00A17193">
              <w:rPr>
                <w:rFonts w:ascii="Georgia" w:hAnsi="Georgia"/>
              </w:rPr>
              <w:t>mmHg</w:t>
            </w:r>
            <w:proofErr w:type="spellEnd"/>
          </w:p>
          <w:p w14:paraId="41D39B05" w14:textId="243FC4E5" w:rsidR="00703DB4" w:rsidRPr="00A17193" w:rsidRDefault="00703DB4" w:rsidP="00703DB4">
            <w:pPr>
              <w:jc w:val="both"/>
              <w:rPr>
                <w:rFonts w:ascii="Georgia" w:hAnsi="Georgia"/>
              </w:rPr>
            </w:pPr>
            <w:r w:rsidRPr="00A17193">
              <w:rPr>
                <w:rFonts w:ascii="Georgia" w:hAnsi="Georgia"/>
              </w:rPr>
              <w:t>Alimentation AC 220-240V, 50Hz</w:t>
            </w:r>
          </w:p>
          <w:p w14:paraId="6DEEE847" w14:textId="7AA5D8A7" w:rsidR="00703DB4" w:rsidRPr="00A17193" w:rsidRDefault="00703DB4" w:rsidP="00703DB4">
            <w:pPr>
              <w:jc w:val="both"/>
              <w:rPr>
                <w:rFonts w:ascii="Georgia" w:hAnsi="Georgia"/>
              </w:rPr>
            </w:pPr>
            <w:r w:rsidRPr="00A17193">
              <w:rPr>
                <w:rFonts w:ascii="Georgia" w:hAnsi="Georgia"/>
              </w:rPr>
              <w:t>Cable d’alimentation : </w:t>
            </w:r>
            <w:r w:rsidRPr="00A17193">
              <w:rPr>
                <w:rFonts w:ascii="Georgia" w:hAnsi="Georgia"/>
                <w:lang w:val="fr-BE"/>
              </w:rPr>
              <w:t>±</w:t>
            </w:r>
            <w:r w:rsidRPr="00A17193">
              <w:rPr>
                <w:rFonts w:ascii="Georgia" w:hAnsi="Georgia"/>
              </w:rPr>
              <w:t> 3 mètres</w:t>
            </w:r>
          </w:p>
          <w:p w14:paraId="0151E75B" w14:textId="2AF02C6E" w:rsidR="00703DB4" w:rsidRPr="00A17193" w:rsidRDefault="00703DB4" w:rsidP="00703DB4">
            <w:pPr>
              <w:jc w:val="both"/>
              <w:rPr>
                <w:rFonts w:ascii="Georgia" w:hAnsi="Georgia"/>
              </w:rPr>
            </w:pPr>
            <w:r w:rsidRPr="00A17193">
              <w:rPr>
                <w:rFonts w:ascii="Georgia" w:hAnsi="Georgia"/>
              </w:rPr>
              <w:t xml:space="preserve">Cycle </w:t>
            </w:r>
            <w:r w:rsidR="00F05B51" w:rsidRPr="00A17193">
              <w:rPr>
                <w:rFonts w:ascii="Georgia" w:hAnsi="Georgia"/>
              </w:rPr>
              <w:t>d’opération ±</w:t>
            </w:r>
            <w:r w:rsidRPr="00A17193">
              <w:rPr>
                <w:rFonts w:ascii="Georgia" w:hAnsi="Georgia"/>
              </w:rPr>
              <w:t> 10min (50Hz)</w:t>
            </w:r>
          </w:p>
          <w:p w14:paraId="3E252F67" w14:textId="7F0DF908" w:rsidR="00703DB4" w:rsidRPr="00A17193" w:rsidRDefault="00703DB4" w:rsidP="00703DB4">
            <w:pPr>
              <w:jc w:val="both"/>
              <w:rPr>
                <w:rFonts w:ascii="Georgia" w:hAnsi="Georgia"/>
              </w:rPr>
            </w:pPr>
            <w:r w:rsidRPr="00A17193">
              <w:rPr>
                <w:rFonts w:ascii="Georgia" w:hAnsi="Georgia"/>
              </w:rPr>
              <w:t xml:space="preserve">Débit </w:t>
            </w:r>
            <w:r w:rsidR="00F05B51" w:rsidRPr="00A17193">
              <w:rPr>
                <w:rFonts w:ascii="Georgia" w:hAnsi="Georgia"/>
              </w:rPr>
              <w:t>d’air ±</w:t>
            </w:r>
            <w:r w:rsidRPr="00A17193">
              <w:rPr>
                <w:rFonts w:ascii="Georgia" w:hAnsi="Georgia"/>
              </w:rPr>
              <w:t xml:space="preserve"> 5 </w:t>
            </w:r>
            <w:r w:rsidR="009F3B68" w:rsidRPr="00A17193">
              <w:rPr>
                <w:rFonts w:ascii="Georgia" w:hAnsi="Georgia"/>
              </w:rPr>
              <w:t>à 8</w:t>
            </w:r>
            <w:r w:rsidRPr="00A17193">
              <w:rPr>
                <w:rFonts w:ascii="Georgia" w:hAnsi="Georgia"/>
              </w:rPr>
              <w:t xml:space="preserve"> L/min</w:t>
            </w:r>
          </w:p>
          <w:p w14:paraId="339855BE" w14:textId="43A8237C" w:rsidR="00703DB4" w:rsidRPr="00703DB4" w:rsidRDefault="00703DB4" w:rsidP="00703DB4">
            <w:pPr>
              <w:jc w:val="both"/>
              <w:rPr>
                <w:rFonts w:ascii="Georgia" w:hAnsi="Georgia"/>
              </w:rPr>
            </w:pPr>
            <w:r w:rsidRPr="00A17193">
              <w:rPr>
                <w:rFonts w:ascii="Georgia" w:hAnsi="Georgia"/>
              </w:rPr>
              <w:t> Poids : </w:t>
            </w:r>
            <w:r w:rsidRPr="00A17193">
              <w:rPr>
                <w:rFonts w:ascii="Georgia" w:hAnsi="Georgia"/>
                <w:lang w:val="fr-BE"/>
              </w:rPr>
              <w:t>±</w:t>
            </w:r>
            <w:r w:rsidRPr="00A17193">
              <w:rPr>
                <w:rFonts w:ascii="Georgia" w:hAnsi="Georgia"/>
              </w:rPr>
              <w:t> 1 à 2 kg</w:t>
            </w:r>
          </w:p>
          <w:p w14:paraId="60D415AE" w14:textId="77777777" w:rsidR="003C497F" w:rsidRPr="00560946" w:rsidRDefault="003C497F" w:rsidP="00560946">
            <w:pPr>
              <w:jc w:val="both"/>
              <w:rPr>
                <w:rFonts w:ascii="Georgia" w:hAnsi="Georgia"/>
              </w:rPr>
            </w:pPr>
          </w:p>
        </w:tc>
      </w:tr>
      <w:tr w:rsidR="00F05B51" w:rsidRPr="000C27F4" w14:paraId="442198F9" w14:textId="77777777" w:rsidTr="00482054">
        <w:tc>
          <w:tcPr>
            <w:tcW w:w="7083" w:type="dxa"/>
          </w:tcPr>
          <w:p w14:paraId="21E89B1D" w14:textId="77777777" w:rsidR="00511260" w:rsidRPr="00511260" w:rsidRDefault="00511260" w:rsidP="00511260">
            <w:pPr>
              <w:shd w:val="clear" w:color="auto" w:fill="FFFFFF"/>
              <w:jc w:val="both"/>
              <w:textAlignment w:val="baseline"/>
              <w:rPr>
                <w:rFonts w:ascii="Georgia" w:eastAsia="Times New Roman" w:hAnsi="Georgia" w:cs="Segoe UI"/>
                <w:b/>
                <w:bCs/>
                <w:color w:val="242424"/>
                <w:kern w:val="0"/>
                <w:sz w:val="20"/>
                <w:szCs w:val="20"/>
                <w14:ligatures w14:val="none"/>
              </w:rPr>
            </w:pPr>
            <w:r w:rsidRPr="00511260">
              <w:rPr>
                <w:rFonts w:ascii="Georgia" w:eastAsia="Times New Roman" w:hAnsi="Georgia" w:cs="Segoe UI"/>
                <w:b/>
                <w:bCs/>
                <w:color w:val="242424"/>
                <w:kern w:val="0"/>
                <w:sz w:val="20"/>
                <w:szCs w:val="20"/>
                <w14:ligatures w14:val="none"/>
              </w:rPr>
              <w:t>Item 41 Jeu d’accessoires inox (plateaux, cuvettes, haricots, … et Item 42 Jeu de boîtes pour instruments</w:t>
            </w:r>
          </w:p>
          <w:p w14:paraId="739363DA" w14:textId="7564682D" w:rsidR="00511260" w:rsidRPr="00511260" w:rsidRDefault="00511260" w:rsidP="00511260">
            <w:pPr>
              <w:shd w:val="clear" w:color="auto" w:fill="FFFFFF"/>
              <w:jc w:val="both"/>
              <w:textAlignment w:val="baseline"/>
              <w:rPr>
                <w:rFonts w:ascii="Georgia" w:eastAsia="Times New Roman" w:hAnsi="Georgia" w:cs="Segoe UI"/>
                <w:color w:val="242424"/>
                <w:kern w:val="0"/>
                <w:sz w:val="20"/>
                <w:szCs w:val="20"/>
                <w14:ligatures w14:val="none"/>
              </w:rPr>
            </w:pPr>
            <w:r w:rsidRPr="00511260">
              <w:rPr>
                <w:rFonts w:ascii="Georgia" w:eastAsia="Times New Roman" w:hAnsi="Georgia" w:cs="Segoe UI"/>
                <w:color w:val="242424"/>
                <w:kern w:val="0"/>
                <w:sz w:val="20"/>
                <w:szCs w:val="20"/>
                <w14:ligatures w14:val="none"/>
              </w:rPr>
              <w:t xml:space="preserve">Nous avons constaté que les </w:t>
            </w:r>
            <w:r w:rsidR="00764179" w:rsidRPr="00511260">
              <w:rPr>
                <w:rFonts w:ascii="Georgia" w:eastAsia="Times New Roman" w:hAnsi="Georgia" w:cs="Segoe UI"/>
                <w:color w:val="242424"/>
                <w:kern w:val="0"/>
                <w:sz w:val="20"/>
                <w:szCs w:val="20"/>
                <w14:ligatures w14:val="none"/>
              </w:rPr>
              <w:t>spécifications</w:t>
            </w:r>
            <w:r w:rsidRPr="00511260">
              <w:rPr>
                <w:rFonts w:ascii="Georgia" w:eastAsia="Times New Roman" w:hAnsi="Georgia" w:cs="Segoe UI"/>
                <w:color w:val="242424"/>
                <w:kern w:val="0"/>
                <w:sz w:val="20"/>
                <w:szCs w:val="20"/>
                <w14:ligatures w14:val="none"/>
              </w:rPr>
              <w:t xml:space="preserve"> pour ces deux items sont presque identiques.</w:t>
            </w:r>
          </w:p>
          <w:p w14:paraId="786A8480" w14:textId="77777777" w:rsidR="00511260" w:rsidRPr="00511260" w:rsidRDefault="00511260" w:rsidP="00511260">
            <w:pPr>
              <w:shd w:val="clear" w:color="auto" w:fill="FFFFFF"/>
              <w:jc w:val="both"/>
              <w:textAlignment w:val="baseline"/>
              <w:rPr>
                <w:rFonts w:ascii="Georgia" w:eastAsia="Times New Roman" w:hAnsi="Georgia" w:cs="Segoe UI"/>
                <w:color w:val="242424"/>
                <w:kern w:val="0"/>
                <w:sz w:val="20"/>
                <w:szCs w:val="20"/>
                <w14:ligatures w14:val="none"/>
              </w:rPr>
            </w:pPr>
            <w:r w:rsidRPr="00511260">
              <w:rPr>
                <w:rFonts w:ascii="Georgia" w:eastAsia="Times New Roman" w:hAnsi="Georgia" w:cs="Segoe UI"/>
                <w:color w:val="242424"/>
                <w:kern w:val="0"/>
                <w:sz w:val="20"/>
                <w:szCs w:val="20"/>
                <w14:ligatures w14:val="none"/>
              </w:rPr>
              <w:t>La seule différence est que pour Item 41 le marquage CE et la présentation du certificat sont exigés.</w:t>
            </w:r>
          </w:p>
          <w:p w14:paraId="296A0854" w14:textId="77777777" w:rsidR="00511260" w:rsidRPr="00511260" w:rsidRDefault="00511260" w:rsidP="00511260">
            <w:pPr>
              <w:shd w:val="clear" w:color="auto" w:fill="FFFFFF"/>
              <w:jc w:val="both"/>
              <w:textAlignment w:val="baseline"/>
              <w:rPr>
                <w:rFonts w:ascii="Georgia" w:eastAsia="Times New Roman" w:hAnsi="Georgia" w:cs="Segoe UI"/>
                <w:color w:val="242424"/>
                <w:kern w:val="0"/>
                <w:sz w:val="20"/>
                <w:szCs w:val="20"/>
                <w14:ligatures w14:val="none"/>
              </w:rPr>
            </w:pPr>
            <w:r w:rsidRPr="00511260">
              <w:rPr>
                <w:rFonts w:ascii="Georgia" w:eastAsia="Times New Roman" w:hAnsi="Georgia" w:cs="Segoe UI"/>
                <w:color w:val="242424"/>
                <w:kern w:val="0"/>
                <w:sz w:val="20"/>
                <w:szCs w:val="20"/>
                <w14:ligatures w14:val="none"/>
              </w:rPr>
              <w:t>Veuillez confirmer si c’est correct ainsi.</w:t>
            </w:r>
          </w:p>
          <w:p w14:paraId="10A9C2EC" w14:textId="77777777" w:rsidR="00F05B51" w:rsidRPr="00B31106" w:rsidRDefault="00F05B51" w:rsidP="00B31106">
            <w:pPr>
              <w:shd w:val="clear" w:color="auto" w:fill="FFFFFF"/>
              <w:jc w:val="both"/>
              <w:textAlignment w:val="baseline"/>
              <w:rPr>
                <w:rFonts w:ascii="Georgia" w:eastAsia="Times New Roman" w:hAnsi="Georgia" w:cs="Segoe UI"/>
                <w:b/>
                <w:bCs/>
                <w:color w:val="242424"/>
                <w:kern w:val="0"/>
                <w:sz w:val="20"/>
                <w:szCs w:val="20"/>
                <w14:ligatures w14:val="none"/>
              </w:rPr>
            </w:pPr>
          </w:p>
        </w:tc>
        <w:tc>
          <w:tcPr>
            <w:tcW w:w="5528" w:type="dxa"/>
          </w:tcPr>
          <w:p w14:paraId="04D8D99A" w14:textId="669FF06C" w:rsidR="00A2487C" w:rsidRPr="00A2487C" w:rsidRDefault="00A2487C" w:rsidP="00A2487C">
            <w:pPr>
              <w:jc w:val="both"/>
              <w:rPr>
                <w:rFonts w:ascii="Georgia" w:hAnsi="Georgia"/>
              </w:rPr>
            </w:pPr>
            <w:r w:rsidRPr="001C50DA">
              <w:rPr>
                <w:rFonts w:ascii="Georgia" w:hAnsi="Georgia"/>
              </w:rPr>
              <w:t>Respect</w:t>
            </w:r>
            <w:r w:rsidRPr="00A2487C">
              <w:rPr>
                <w:rFonts w:ascii="Georgia" w:hAnsi="Georgia"/>
              </w:rPr>
              <w:t xml:space="preserve"> des Spécifications </w:t>
            </w:r>
            <w:r w:rsidR="009F3B68" w:rsidRPr="001C50DA">
              <w:rPr>
                <w:rFonts w:ascii="Georgia" w:hAnsi="Georgia"/>
              </w:rPr>
              <w:t>techniques formulées</w:t>
            </w:r>
          </w:p>
          <w:p w14:paraId="0E208A97" w14:textId="77777777" w:rsidR="00A2487C" w:rsidRPr="00A2487C" w:rsidRDefault="00A2487C" w:rsidP="00A2487C">
            <w:pPr>
              <w:jc w:val="both"/>
              <w:rPr>
                <w:rFonts w:ascii="Georgia" w:hAnsi="Georgia"/>
              </w:rPr>
            </w:pPr>
            <w:r w:rsidRPr="00A2487C">
              <w:rPr>
                <w:rFonts w:ascii="Georgia" w:hAnsi="Georgia"/>
              </w:rPr>
              <w:t> </w:t>
            </w:r>
          </w:p>
          <w:p w14:paraId="01DB3D0E" w14:textId="77777777" w:rsidR="00A2487C" w:rsidRPr="00A2487C" w:rsidRDefault="00A2487C" w:rsidP="00A2487C">
            <w:pPr>
              <w:jc w:val="both"/>
              <w:rPr>
                <w:rFonts w:ascii="Georgia" w:hAnsi="Georgia"/>
              </w:rPr>
            </w:pPr>
            <w:r w:rsidRPr="00A2487C">
              <w:rPr>
                <w:rFonts w:ascii="Georgia" w:hAnsi="Georgia"/>
              </w:rPr>
              <w:t> </w:t>
            </w:r>
          </w:p>
          <w:p w14:paraId="5B42AC60" w14:textId="77777777" w:rsidR="00A2487C" w:rsidRPr="00A2487C" w:rsidRDefault="00A2487C" w:rsidP="00A2487C">
            <w:pPr>
              <w:jc w:val="both"/>
              <w:rPr>
                <w:rFonts w:ascii="Georgia" w:hAnsi="Georgia"/>
              </w:rPr>
            </w:pPr>
            <w:r w:rsidRPr="00A2487C">
              <w:rPr>
                <w:rFonts w:ascii="Georgia" w:hAnsi="Georgia"/>
              </w:rPr>
              <w:t> </w:t>
            </w:r>
          </w:p>
          <w:p w14:paraId="514B995E" w14:textId="77777777" w:rsidR="00A2487C" w:rsidRPr="00A2487C" w:rsidRDefault="00A2487C" w:rsidP="00A2487C">
            <w:pPr>
              <w:jc w:val="both"/>
              <w:rPr>
                <w:rFonts w:ascii="Georgia" w:hAnsi="Georgia"/>
              </w:rPr>
            </w:pPr>
            <w:r w:rsidRPr="00A2487C">
              <w:rPr>
                <w:rFonts w:ascii="Georgia" w:hAnsi="Georgia"/>
              </w:rPr>
              <w:t> </w:t>
            </w:r>
          </w:p>
          <w:p w14:paraId="5BA7818B" w14:textId="77777777" w:rsidR="00F05B51" w:rsidRPr="00A2487C" w:rsidRDefault="00F05B51" w:rsidP="00764179">
            <w:pPr>
              <w:jc w:val="both"/>
              <w:rPr>
                <w:rFonts w:ascii="Georgia" w:hAnsi="Georgia"/>
                <w:highlight w:val="yellow"/>
              </w:rPr>
            </w:pPr>
          </w:p>
        </w:tc>
      </w:tr>
      <w:tr w:rsidR="00A2487C" w:rsidRPr="000C27F4" w14:paraId="7B8D6E1F" w14:textId="77777777" w:rsidTr="00482054">
        <w:tc>
          <w:tcPr>
            <w:tcW w:w="7083" w:type="dxa"/>
          </w:tcPr>
          <w:p w14:paraId="5869BE8A" w14:textId="77777777" w:rsidR="00A2487C" w:rsidRPr="00A2487C" w:rsidRDefault="00A2487C" w:rsidP="00A2487C">
            <w:pPr>
              <w:jc w:val="both"/>
              <w:rPr>
                <w:rFonts w:ascii="Georgia" w:hAnsi="Georgia"/>
              </w:rPr>
            </w:pPr>
            <w:r w:rsidRPr="00A2487C">
              <w:rPr>
                <w:rFonts w:ascii="Georgia" w:hAnsi="Georgia"/>
                <w:b/>
                <w:bCs/>
              </w:rPr>
              <w:t>Item 47 Jeu de tambours petits et moyens et Item 48 Jeu de tambours pour compresses</w:t>
            </w:r>
          </w:p>
          <w:p w14:paraId="6BBF8820" w14:textId="46D019A6" w:rsidR="00A2487C" w:rsidRPr="00A2487C" w:rsidRDefault="00A2487C" w:rsidP="00A2487C">
            <w:pPr>
              <w:jc w:val="both"/>
              <w:rPr>
                <w:rFonts w:ascii="Georgia" w:hAnsi="Georgia"/>
              </w:rPr>
            </w:pPr>
            <w:r w:rsidRPr="00A2487C">
              <w:rPr>
                <w:rFonts w:ascii="Georgia" w:hAnsi="Georgia"/>
              </w:rPr>
              <w:lastRenderedPageBreak/>
              <w:t xml:space="preserve">Nous avons constaté que les </w:t>
            </w:r>
            <w:r w:rsidRPr="00764179">
              <w:rPr>
                <w:rFonts w:ascii="Georgia" w:hAnsi="Georgia"/>
              </w:rPr>
              <w:t>spécifications</w:t>
            </w:r>
            <w:r w:rsidRPr="00A2487C">
              <w:rPr>
                <w:rFonts w:ascii="Georgia" w:hAnsi="Georgia"/>
              </w:rPr>
              <w:t xml:space="preserve"> pour ces deux items sont presque identiques.</w:t>
            </w:r>
          </w:p>
          <w:p w14:paraId="2DD62538" w14:textId="77777777" w:rsidR="00A2487C" w:rsidRPr="00A2487C" w:rsidRDefault="00A2487C" w:rsidP="00A2487C">
            <w:pPr>
              <w:jc w:val="both"/>
              <w:rPr>
                <w:rFonts w:ascii="Georgia" w:hAnsi="Georgia"/>
              </w:rPr>
            </w:pPr>
            <w:r w:rsidRPr="00A2487C">
              <w:rPr>
                <w:rFonts w:ascii="Georgia" w:hAnsi="Georgia"/>
              </w:rPr>
              <w:t>Veuillez confirmer si c’est correct ainsi.</w:t>
            </w:r>
          </w:p>
          <w:p w14:paraId="4542A79A" w14:textId="77777777" w:rsidR="00A2487C" w:rsidRPr="00764179" w:rsidRDefault="00A2487C" w:rsidP="00511260">
            <w:pPr>
              <w:shd w:val="clear" w:color="auto" w:fill="FFFFFF"/>
              <w:jc w:val="both"/>
              <w:textAlignment w:val="baseline"/>
              <w:rPr>
                <w:rFonts w:ascii="Georgia" w:eastAsia="Times New Roman" w:hAnsi="Georgia" w:cs="Segoe UI"/>
                <w:b/>
                <w:bCs/>
                <w:color w:val="242424"/>
                <w:kern w:val="0"/>
                <w:sz w:val="20"/>
                <w:szCs w:val="20"/>
                <w14:ligatures w14:val="none"/>
              </w:rPr>
            </w:pPr>
          </w:p>
        </w:tc>
        <w:tc>
          <w:tcPr>
            <w:tcW w:w="5528" w:type="dxa"/>
          </w:tcPr>
          <w:p w14:paraId="46A1089F" w14:textId="77777777" w:rsidR="009F3B68" w:rsidRPr="00A2487C" w:rsidRDefault="009F3B68" w:rsidP="009F3B68">
            <w:pPr>
              <w:jc w:val="both"/>
              <w:rPr>
                <w:rFonts w:ascii="Georgia" w:hAnsi="Georgia"/>
              </w:rPr>
            </w:pPr>
            <w:r w:rsidRPr="001C50DA">
              <w:rPr>
                <w:rFonts w:ascii="Georgia" w:hAnsi="Georgia"/>
              </w:rPr>
              <w:lastRenderedPageBreak/>
              <w:t>Respect</w:t>
            </w:r>
            <w:r w:rsidRPr="00A2487C">
              <w:rPr>
                <w:rFonts w:ascii="Georgia" w:hAnsi="Georgia"/>
              </w:rPr>
              <w:t xml:space="preserve"> des Spécifications techniques formulées</w:t>
            </w:r>
          </w:p>
          <w:p w14:paraId="2AD49826" w14:textId="77777777" w:rsidR="009F3B68" w:rsidRPr="00A2487C" w:rsidRDefault="009F3B68" w:rsidP="009F3B68">
            <w:pPr>
              <w:jc w:val="both"/>
              <w:rPr>
                <w:rFonts w:ascii="Georgia" w:hAnsi="Georgia"/>
              </w:rPr>
            </w:pPr>
            <w:r w:rsidRPr="00A2487C">
              <w:rPr>
                <w:rFonts w:ascii="Georgia" w:hAnsi="Georgia"/>
              </w:rPr>
              <w:t> </w:t>
            </w:r>
          </w:p>
          <w:p w14:paraId="38DDC239" w14:textId="604ED7E2" w:rsidR="009F3B68" w:rsidRPr="00A2487C" w:rsidRDefault="009F3B68" w:rsidP="009F3B68">
            <w:pPr>
              <w:jc w:val="both"/>
              <w:rPr>
                <w:rFonts w:ascii="Georgia" w:hAnsi="Georgia"/>
              </w:rPr>
            </w:pPr>
            <w:r w:rsidRPr="00A2487C">
              <w:rPr>
                <w:rFonts w:ascii="Georgia" w:hAnsi="Georgia"/>
              </w:rPr>
              <w:lastRenderedPageBreak/>
              <w:t xml:space="preserve">Nous rappelons que le </w:t>
            </w:r>
            <w:r w:rsidR="001C50DA" w:rsidRPr="001C50DA">
              <w:rPr>
                <w:rFonts w:ascii="Georgia" w:hAnsi="Georgia"/>
              </w:rPr>
              <w:t>copier-coller</w:t>
            </w:r>
            <w:r w:rsidRPr="00A2487C">
              <w:rPr>
                <w:rFonts w:ascii="Georgia" w:hAnsi="Georgia"/>
              </w:rPr>
              <w:t xml:space="preserve"> des spécifications techniques est </w:t>
            </w:r>
            <w:r w:rsidRPr="001C50DA">
              <w:rPr>
                <w:rFonts w:ascii="Georgia" w:hAnsi="Georgia"/>
              </w:rPr>
              <w:t>strictement INTERDIT</w:t>
            </w:r>
            <w:r w:rsidRPr="00A2487C">
              <w:rPr>
                <w:rFonts w:ascii="Georgia" w:hAnsi="Georgia"/>
              </w:rPr>
              <w:t xml:space="preserve">. Nous allons confronter les modèles proposés par rapport aux </w:t>
            </w:r>
            <w:r w:rsidRPr="001C50DA">
              <w:rPr>
                <w:rFonts w:ascii="Georgia" w:hAnsi="Georgia"/>
              </w:rPr>
              <w:t>spécifications</w:t>
            </w:r>
            <w:r w:rsidRPr="00A2487C">
              <w:rPr>
                <w:rFonts w:ascii="Georgia" w:hAnsi="Georgia"/>
              </w:rPr>
              <w:t xml:space="preserve"> techniques demandées via les fiches techniques (prospectus)</w:t>
            </w:r>
          </w:p>
          <w:p w14:paraId="292495A4" w14:textId="77777777" w:rsidR="00A2487C" w:rsidRPr="00A2487C" w:rsidRDefault="00A2487C" w:rsidP="00A2487C">
            <w:pPr>
              <w:jc w:val="both"/>
              <w:rPr>
                <w:rFonts w:ascii="Georgia" w:hAnsi="Georgia"/>
                <w:highlight w:val="yellow"/>
              </w:rPr>
            </w:pPr>
          </w:p>
        </w:tc>
      </w:tr>
      <w:tr w:rsidR="00764179" w:rsidRPr="000C27F4" w14:paraId="5C5912BE" w14:textId="77777777" w:rsidTr="00482054">
        <w:tc>
          <w:tcPr>
            <w:tcW w:w="7083" w:type="dxa"/>
          </w:tcPr>
          <w:p w14:paraId="75D35BA1" w14:textId="77777777" w:rsidR="00764179" w:rsidRPr="00A2487C" w:rsidRDefault="00764179" w:rsidP="00764179">
            <w:pPr>
              <w:jc w:val="both"/>
              <w:rPr>
                <w:rFonts w:ascii="Georgia" w:hAnsi="Georgia"/>
              </w:rPr>
            </w:pPr>
            <w:r w:rsidRPr="00A2487C">
              <w:rPr>
                <w:rFonts w:ascii="Georgia" w:hAnsi="Georgia"/>
                <w:b/>
                <w:bCs/>
              </w:rPr>
              <w:lastRenderedPageBreak/>
              <w:t>Prolongation de la date limite de soumission</w:t>
            </w:r>
          </w:p>
          <w:p w14:paraId="486F2F04" w14:textId="77777777" w:rsidR="00764179" w:rsidRPr="00A2487C" w:rsidRDefault="00764179" w:rsidP="00764179">
            <w:pPr>
              <w:jc w:val="both"/>
              <w:rPr>
                <w:rFonts w:ascii="Georgia" w:hAnsi="Georgia"/>
              </w:rPr>
            </w:pPr>
            <w:r w:rsidRPr="00A2487C">
              <w:rPr>
                <w:rFonts w:ascii="Georgia" w:hAnsi="Georgia"/>
              </w:rPr>
              <w:t>Compte tenu de l'ampleur et des efforts nécessaires à la préparation de l'offre, nous vous prions de bien vouloir reporter la date limite de soumission au 29 mai.</w:t>
            </w:r>
          </w:p>
          <w:p w14:paraId="1625D1A9" w14:textId="77777777" w:rsidR="00764179" w:rsidRPr="00764179" w:rsidRDefault="00764179" w:rsidP="00A2487C">
            <w:pPr>
              <w:jc w:val="both"/>
              <w:rPr>
                <w:rFonts w:ascii="Georgia" w:hAnsi="Georgia"/>
                <w:b/>
                <w:bCs/>
              </w:rPr>
            </w:pPr>
          </w:p>
        </w:tc>
        <w:tc>
          <w:tcPr>
            <w:tcW w:w="5528" w:type="dxa"/>
          </w:tcPr>
          <w:p w14:paraId="30E1431B" w14:textId="05CBF405" w:rsidR="00764179" w:rsidRPr="00A2487C" w:rsidRDefault="00764179" w:rsidP="00764179">
            <w:pPr>
              <w:jc w:val="both"/>
              <w:rPr>
                <w:rFonts w:ascii="Georgia" w:hAnsi="Georgia"/>
                <w:highlight w:val="green"/>
              </w:rPr>
            </w:pPr>
            <w:r w:rsidRPr="00A2487C">
              <w:rPr>
                <w:rFonts w:ascii="Georgia" w:hAnsi="Georgia"/>
                <w:highlight w:val="green"/>
              </w:rPr>
              <w:t xml:space="preserve">Nous accordons un délai supplémentaire de </w:t>
            </w:r>
            <w:r w:rsidR="00BA05B2" w:rsidRPr="00A2487C">
              <w:rPr>
                <w:rFonts w:ascii="Georgia" w:hAnsi="Georgia"/>
                <w:highlight w:val="green"/>
              </w:rPr>
              <w:t>1</w:t>
            </w:r>
            <w:r w:rsidR="008B4E5B">
              <w:rPr>
                <w:rFonts w:ascii="Georgia" w:hAnsi="Georgia"/>
                <w:highlight w:val="green"/>
              </w:rPr>
              <w:t>4</w:t>
            </w:r>
            <w:r w:rsidR="00BA05B2" w:rsidRPr="00A2487C">
              <w:rPr>
                <w:rFonts w:ascii="Georgia" w:hAnsi="Georgia"/>
                <w:highlight w:val="green"/>
              </w:rPr>
              <w:t xml:space="preserve"> </w:t>
            </w:r>
            <w:r w:rsidRPr="00A2487C">
              <w:rPr>
                <w:rFonts w:ascii="Georgia" w:hAnsi="Georgia"/>
                <w:highlight w:val="green"/>
              </w:rPr>
              <w:t>jours. L’Ouverture des offres est reportée au 1</w:t>
            </w:r>
            <w:r w:rsidR="009F3B68" w:rsidRPr="00227283">
              <w:rPr>
                <w:rFonts w:ascii="Georgia" w:hAnsi="Georgia"/>
                <w:highlight w:val="green"/>
              </w:rPr>
              <w:t>9</w:t>
            </w:r>
            <w:r w:rsidRPr="00A2487C">
              <w:rPr>
                <w:rFonts w:ascii="Georgia" w:hAnsi="Georgia"/>
                <w:highlight w:val="green"/>
              </w:rPr>
              <w:t>/0</w:t>
            </w:r>
            <w:r w:rsidR="009F3B68" w:rsidRPr="00227283">
              <w:rPr>
                <w:rFonts w:ascii="Georgia" w:hAnsi="Georgia"/>
                <w:highlight w:val="green"/>
              </w:rPr>
              <w:t>5</w:t>
            </w:r>
            <w:r w:rsidRPr="00A2487C">
              <w:rPr>
                <w:rFonts w:ascii="Georgia" w:hAnsi="Georgia"/>
                <w:highlight w:val="green"/>
              </w:rPr>
              <w:t>/2026</w:t>
            </w:r>
          </w:p>
          <w:p w14:paraId="43E8FDB0" w14:textId="77777777" w:rsidR="00764179" w:rsidRPr="00A2487C" w:rsidRDefault="00764179" w:rsidP="00A2487C">
            <w:pPr>
              <w:jc w:val="both"/>
              <w:rPr>
                <w:rFonts w:ascii="Georgia" w:hAnsi="Georgia"/>
                <w:highlight w:val="yellow"/>
              </w:rPr>
            </w:pPr>
          </w:p>
        </w:tc>
      </w:tr>
      <w:tr w:rsidR="000878B5" w:rsidRPr="000C27F4" w14:paraId="1F2E0A36" w14:textId="77777777" w:rsidTr="00482054">
        <w:tc>
          <w:tcPr>
            <w:tcW w:w="7083" w:type="dxa"/>
          </w:tcPr>
          <w:p w14:paraId="7A26E0B9" w14:textId="7D5EDDD7" w:rsidR="000878B5" w:rsidRPr="000878B5" w:rsidRDefault="000878B5" w:rsidP="000878B5">
            <w:pPr>
              <w:jc w:val="both"/>
              <w:rPr>
                <w:rFonts w:ascii="Georgia" w:hAnsi="Georgia"/>
                <w:b/>
                <w:bCs/>
              </w:rPr>
            </w:pPr>
            <w:r w:rsidRPr="000878B5">
              <w:rPr>
                <w:rFonts w:ascii="Georgia" w:hAnsi="Georgia"/>
                <w:b/>
                <w:bCs/>
                <w:lang w:val="fr-BE"/>
              </w:rPr>
              <w:t>Item 23 Bonbonne d’oxygène :</w:t>
            </w:r>
          </w:p>
          <w:p w14:paraId="40880807" w14:textId="77777777" w:rsidR="000878B5" w:rsidRPr="000878B5" w:rsidRDefault="000878B5" w:rsidP="000878B5">
            <w:pPr>
              <w:jc w:val="both"/>
              <w:rPr>
                <w:rFonts w:ascii="Georgia" w:hAnsi="Georgia"/>
                <w:b/>
                <w:bCs/>
              </w:rPr>
            </w:pPr>
            <w:r w:rsidRPr="000878B5">
              <w:rPr>
                <w:rFonts w:ascii="Georgia" w:hAnsi="Georgia"/>
                <w:b/>
                <w:bCs/>
              </w:rPr>
              <w:t>- Veuillez confirmer la quantité globale des bonbonnes d’oxygène</w:t>
            </w:r>
          </w:p>
          <w:p w14:paraId="3DA8C0E5" w14:textId="77777777" w:rsidR="000878B5" w:rsidRPr="000878B5" w:rsidRDefault="000878B5" w:rsidP="000878B5">
            <w:pPr>
              <w:jc w:val="both"/>
              <w:rPr>
                <w:rFonts w:ascii="Georgia" w:hAnsi="Georgia"/>
                <w:b/>
                <w:bCs/>
              </w:rPr>
            </w:pPr>
            <w:r w:rsidRPr="000878B5">
              <w:rPr>
                <w:rFonts w:ascii="Georgia" w:hAnsi="Georgia"/>
                <w:b/>
                <w:bCs/>
              </w:rPr>
              <w:t>- Veuillez reconfirmer aussi si la norme britannique est correct ou si une autre sortie est utilisé au Burundi</w:t>
            </w:r>
          </w:p>
          <w:p w14:paraId="0DFCEE8E" w14:textId="38F0E613" w:rsidR="000878B5" w:rsidRPr="000878B5" w:rsidRDefault="000878B5" w:rsidP="000878B5">
            <w:pPr>
              <w:jc w:val="both"/>
              <w:rPr>
                <w:rFonts w:ascii="Georgia" w:hAnsi="Georgia"/>
                <w:b/>
                <w:bCs/>
              </w:rPr>
            </w:pPr>
            <w:r w:rsidRPr="000878B5">
              <w:rPr>
                <w:rFonts w:ascii="Georgia" w:hAnsi="Georgia"/>
                <w:b/>
                <w:bCs/>
                <w:noProof/>
                <w:lang w:val="pt-PT"/>
              </w:rPr>
              <w:drawing>
                <wp:inline distT="0" distB="0" distL="0" distR="0" wp14:anchorId="76E2E98E" wp14:editId="4C1ABDD1">
                  <wp:extent cx="4360545" cy="1379220"/>
                  <wp:effectExtent l="0" t="0" r="1905" b="0"/>
                  <wp:docPr id="85346413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0545" cy="1379220"/>
                          </a:xfrm>
                          <a:prstGeom prst="rect">
                            <a:avLst/>
                          </a:prstGeom>
                          <a:noFill/>
                          <a:ln>
                            <a:noFill/>
                          </a:ln>
                        </pic:spPr>
                      </pic:pic>
                    </a:graphicData>
                  </a:graphic>
                </wp:inline>
              </w:drawing>
            </w:r>
          </w:p>
          <w:p w14:paraId="7E4CFFF5" w14:textId="77777777" w:rsidR="000878B5" w:rsidRPr="00A2487C" w:rsidRDefault="000878B5" w:rsidP="00764179">
            <w:pPr>
              <w:jc w:val="both"/>
              <w:rPr>
                <w:rFonts w:ascii="Georgia" w:hAnsi="Georgia"/>
                <w:b/>
                <w:bCs/>
              </w:rPr>
            </w:pPr>
          </w:p>
        </w:tc>
        <w:tc>
          <w:tcPr>
            <w:tcW w:w="5528" w:type="dxa"/>
          </w:tcPr>
          <w:p w14:paraId="6B044DEA" w14:textId="045DDC0B" w:rsidR="000878B5" w:rsidRPr="009321B0" w:rsidRDefault="009321B0" w:rsidP="00764179">
            <w:pPr>
              <w:jc w:val="both"/>
              <w:rPr>
                <w:rFonts w:ascii="Georgia" w:hAnsi="Georgia"/>
                <w:highlight w:val="green"/>
              </w:rPr>
            </w:pPr>
            <w:r w:rsidRPr="009321B0">
              <w:rPr>
                <w:rFonts w:ascii="Georgia" w:hAnsi="Georgia"/>
              </w:rPr>
              <w:t xml:space="preserve">Respect du contenu du </w:t>
            </w:r>
            <w:r w:rsidR="004041F4" w:rsidRPr="009321B0">
              <w:rPr>
                <w:rFonts w:ascii="Georgia" w:hAnsi="Georgia"/>
              </w:rPr>
              <w:t>descriptif</w:t>
            </w:r>
          </w:p>
        </w:tc>
      </w:tr>
    </w:tbl>
    <w:p w14:paraId="46D17735" w14:textId="112B70F0" w:rsidR="00E27CD0" w:rsidRPr="000C27F4" w:rsidRDefault="00E27CD0" w:rsidP="00E27CD0">
      <w:pPr>
        <w:tabs>
          <w:tab w:val="left" w:pos="1301"/>
        </w:tabs>
        <w:rPr>
          <w:rFonts w:ascii="Georgia" w:hAnsi="Georgia"/>
        </w:rPr>
      </w:pPr>
    </w:p>
    <w:sectPr w:rsidR="00E27CD0" w:rsidRPr="000C27F4" w:rsidSect="00212FE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0597"/>
    <w:multiLevelType w:val="multilevel"/>
    <w:tmpl w:val="373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61481"/>
    <w:multiLevelType w:val="multilevel"/>
    <w:tmpl w:val="B89C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531BF2"/>
    <w:multiLevelType w:val="multilevel"/>
    <w:tmpl w:val="A686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295C50"/>
    <w:multiLevelType w:val="multilevel"/>
    <w:tmpl w:val="6B02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2100BE"/>
    <w:multiLevelType w:val="multilevel"/>
    <w:tmpl w:val="490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97241">
    <w:abstractNumId w:val="3"/>
  </w:num>
  <w:num w:numId="2" w16cid:durableId="1811089003">
    <w:abstractNumId w:val="4"/>
  </w:num>
  <w:num w:numId="3" w16cid:durableId="205409152">
    <w:abstractNumId w:val="0"/>
  </w:num>
  <w:num w:numId="4" w16cid:durableId="2056922682">
    <w:abstractNumId w:val="2"/>
  </w:num>
  <w:num w:numId="5" w16cid:durableId="1725761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23"/>
    <w:rsid w:val="0008561F"/>
    <w:rsid w:val="000878B5"/>
    <w:rsid w:val="000C27F4"/>
    <w:rsid w:val="0011239F"/>
    <w:rsid w:val="00130F23"/>
    <w:rsid w:val="00133F44"/>
    <w:rsid w:val="001530A7"/>
    <w:rsid w:val="00174060"/>
    <w:rsid w:val="00182453"/>
    <w:rsid w:val="00186D63"/>
    <w:rsid w:val="001C50DA"/>
    <w:rsid w:val="001F3EAE"/>
    <w:rsid w:val="002037BD"/>
    <w:rsid w:val="00212FE6"/>
    <w:rsid w:val="00227283"/>
    <w:rsid w:val="00256F10"/>
    <w:rsid w:val="00294F01"/>
    <w:rsid w:val="002A5BAB"/>
    <w:rsid w:val="002B4F1A"/>
    <w:rsid w:val="003007B1"/>
    <w:rsid w:val="003519DF"/>
    <w:rsid w:val="00352D06"/>
    <w:rsid w:val="00364FC7"/>
    <w:rsid w:val="00370CA2"/>
    <w:rsid w:val="00373293"/>
    <w:rsid w:val="0038340E"/>
    <w:rsid w:val="00397BD1"/>
    <w:rsid w:val="003C497F"/>
    <w:rsid w:val="003F34E2"/>
    <w:rsid w:val="0040171F"/>
    <w:rsid w:val="004041F4"/>
    <w:rsid w:val="004065F3"/>
    <w:rsid w:val="00422479"/>
    <w:rsid w:val="004241F4"/>
    <w:rsid w:val="004244BD"/>
    <w:rsid w:val="0046692A"/>
    <w:rsid w:val="00470036"/>
    <w:rsid w:val="00482054"/>
    <w:rsid w:val="004D5C7A"/>
    <w:rsid w:val="004E4054"/>
    <w:rsid w:val="004F4591"/>
    <w:rsid w:val="004F597A"/>
    <w:rsid w:val="00502282"/>
    <w:rsid w:val="00502F78"/>
    <w:rsid w:val="00511260"/>
    <w:rsid w:val="00560946"/>
    <w:rsid w:val="005A0138"/>
    <w:rsid w:val="005D4ABE"/>
    <w:rsid w:val="005F6032"/>
    <w:rsid w:val="00611AD0"/>
    <w:rsid w:val="00635D02"/>
    <w:rsid w:val="00642EFE"/>
    <w:rsid w:val="006435E6"/>
    <w:rsid w:val="006606B3"/>
    <w:rsid w:val="006670F4"/>
    <w:rsid w:val="00671226"/>
    <w:rsid w:val="006A4BF6"/>
    <w:rsid w:val="006B7B31"/>
    <w:rsid w:val="006C0C0B"/>
    <w:rsid w:val="006C4AA8"/>
    <w:rsid w:val="006D558A"/>
    <w:rsid w:val="006F38AE"/>
    <w:rsid w:val="00703DB4"/>
    <w:rsid w:val="007427E8"/>
    <w:rsid w:val="00764179"/>
    <w:rsid w:val="0076665C"/>
    <w:rsid w:val="008412A7"/>
    <w:rsid w:val="00857946"/>
    <w:rsid w:val="008712B3"/>
    <w:rsid w:val="00876FAE"/>
    <w:rsid w:val="008B4E5B"/>
    <w:rsid w:val="008C6A16"/>
    <w:rsid w:val="008D77BB"/>
    <w:rsid w:val="008E386F"/>
    <w:rsid w:val="008F5D74"/>
    <w:rsid w:val="00911571"/>
    <w:rsid w:val="009224C6"/>
    <w:rsid w:val="009321B0"/>
    <w:rsid w:val="00947FC2"/>
    <w:rsid w:val="009670F3"/>
    <w:rsid w:val="009F3B68"/>
    <w:rsid w:val="00A00A6E"/>
    <w:rsid w:val="00A17193"/>
    <w:rsid w:val="00A2487C"/>
    <w:rsid w:val="00A34310"/>
    <w:rsid w:val="00A40ACE"/>
    <w:rsid w:val="00A45B39"/>
    <w:rsid w:val="00A8705A"/>
    <w:rsid w:val="00AA5CDD"/>
    <w:rsid w:val="00AB3BEE"/>
    <w:rsid w:val="00AB57B7"/>
    <w:rsid w:val="00AD166B"/>
    <w:rsid w:val="00AE0027"/>
    <w:rsid w:val="00AF59F2"/>
    <w:rsid w:val="00B01536"/>
    <w:rsid w:val="00B038AC"/>
    <w:rsid w:val="00B135FD"/>
    <w:rsid w:val="00B22EDC"/>
    <w:rsid w:val="00B31106"/>
    <w:rsid w:val="00B36FC8"/>
    <w:rsid w:val="00B728F1"/>
    <w:rsid w:val="00B824F9"/>
    <w:rsid w:val="00BA05B2"/>
    <w:rsid w:val="00BC1E6A"/>
    <w:rsid w:val="00BF6C11"/>
    <w:rsid w:val="00C17A24"/>
    <w:rsid w:val="00C3535C"/>
    <w:rsid w:val="00C5002A"/>
    <w:rsid w:val="00C5174D"/>
    <w:rsid w:val="00C60F40"/>
    <w:rsid w:val="00C75120"/>
    <w:rsid w:val="00C812A5"/>
    <w:rsid w:val="00C91448"/>
    <w:rsid w:val="00CA48A0"/>
    <w:rsid w:val="00CB6591"/>
    <w:rsid w:val="00CC04AB"/>
    <w:rsid w:val="00CD11E8"/>
    <w:rsid w:val="00CF5320"/>
    <w:rsid w:val="00CF5CC9"/>
    <w:rsid w:val="00D161FB"/>
    <w:rsid w:val="00D376CA"/>
    <w:rsid w:val="00D83DEC"/>
    <w:rsid w:val="00DC4475"/>
    <w:rsid w:val="00E045C8"/>
    <w:rsid w:val="00E17D36"/>
    <w:rsid w:val="00E27CD0"/>
    <w:rsid w:val="00E51160"/>
    <w:rsid w:val="00E57093"/>
    <w:rsid w:val="00E77FBD"/>
    <w:rsid w:val="00E81A56"/>
    <w:rsid w:val="00EA4E46"/>
    <w:rsid w:val="00EB2236"/>
    <w:rsid w:val="00EE2486"/>
    <w:rsid w:val="00EE77C3"/>
    <w:rsid w:val="00F025A0"/>
    <w:rsid w:val="00F05B51"/>
    <w:rsid w:val="00F060DB"/>
    <w:rsid w:val="00F26114"/>
    <w:rsid w:val="00F2672B"/>
    <w:rsid w:val="00F30A55"/>
    <w:rsid w:val="00F35A55"/>
    <w:rsid w:val="00F53BA3"/>
    <w:rsid w:val="00F556E0"/>
    <w:rsid w:val="00F820D9"/>
    <w:rsid w:val="00FD6A2F"/>
    <w:rsid w:val="00FF3B53"/>
    <w:rsid w:val="00FF6D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8623"/>
  <w15:chartTrackingRefBased/>
  <w15:docId w15:val="{748FCA30-FE87-4259-87B8-2BDCF183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C2"/>
  </w:style>
  <w:style w:type="paragraph" w:styleId="Titre1">
    <w:name w:val="heading 1"/>
    <w:basedOn w:val="Normal"/>
    <w:next w:val="Normal"/>
    <w:link w:val="Titre1Car"/>
    <w:uiPriority w:val="9"/>
    <w:qFormat/>
    <w:rsid w:val="00130F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0F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0F2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0F2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0F2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0F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0F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0F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0F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F2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0F2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0F2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0F2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0F2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0F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0F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0F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0F23"/>
    <w:rPr>
      <w:rFonts w:eastAsiaTheme="majorEastAsia" w:cstheme="majorBidi"/>
      <w:color w:val="272727" w:themeColor="text1" w:themeTint="D8"/>
    </w:rPr>
  </w:style>
  <w:style w:type="paragraph" w:styleId="Titre">
    <w:name w:val="Title"/>
    <w:basedOn w:val="Normal"/>
    <w:next w:val="Normal"/>
    <w:link w:val="TitreCar"/>
    <w:uiPriority w:val="10"/>
    <w:qFormat/>
    <w:rsid w:val="00130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0F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F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F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0F23"/>
    <w:pPr>
      <w:spacing w:before="160"/>
      <w:jc w:val="center"/>
    </w:pPr>
    <w:rPr>
      <w:i/>
      <w:iCs/>
      <w:color w:val="404040" w:themeColor="text1" w:themeTint="BF"/>
    </w:rPr>
  </w:style>
  <w:style w:type="character" w:customStyle="1" w:styleId="CitationCar">
    <w:name w:val="Citation Car"/>
    <w:basedOn w:val="Policepardfaut"/>
    <w:link w:val="Citation"/>
    <w:uiPriority w:val="29"/>
    <w:rsid w:val="00130F23"/>
    <w:rPr>
      <w:i/>
      <w:iCs/>
      <w:color w:val="404040" w:themeColor="text1" w:themeTint="BF"/>
    </w:rPr>
  </w:style>
  <w:style w:type="paragraph" w:styleId="Paragraphedeliste">
    <w:name w:val="List Paragraph"/>
    <w:basedOn w:val="Normal"/>
    <w:uiPriority w:val="34"/>
    <w:qFormat/>
    <w:rsid w:val="00130F23"/>
    <w:pPr>
      <w:ind w:left="720"/>
      <w:contextualSpacing/>
    </w:pPr>
  </w:style>
  <w:style w:type="character" w:styleId="Accentuationintense">
    <w:name w:val="Intense Emphasis"/>
    <w:basedOn w:val="Policepardfaut"/>
    <w:uiPriority w:val="21"/>
    <w:qFormat/>
    <w:rsid w:val="00130F23"/>
    <w:rPr>
      <w:i/>
      <w:iCs/>
      <w:color w:val="0F4761" w:themeColor="accent1" w:themeShade="BF"/>
    </w:rPr>
  </w:style>
  <w:style w:type="paragraph" w:styleId="Citationintense">
    <w:name w:val="Intense Quote"/>
    <w:basedOn w:val="Normal"/>
    <w:next w:val="Normal"/>
    <w:link w:val="CitationintenseCar"/>
    <w:uiPriority w:val="30"/>
    <w:qFormat/>
    <w:rsid w:val="00130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0F23"/>
    <w:rPr>
      <w:i/>
      <w:iCs/>
      <w:color w:val="0F4761" w:themeColor="accent1" w:themeShade="BF"/>
    </w:rPr>
  </w:style>
  <w:style w:type="character" w:styleId="Rfrenceintense">
    <w:name w:val="Intense Reference"/>
    <w:basedOn w:val="Policepardfaut"/>
    <w:uiPriority w:val="32"/>
    <w:qFormat/>
    <w:rsid w:val="00130F23"/>
    <w:rPr>
      <w:b/>
      <w:bCs/>
      <w:smallCaps/>
      <w:color w:val="0F4761" w:themeColor="accent1" w:themeShade="BF"/>
      <w:spacing w:val="5"/>
    </w:rPr>
  </w:style>
  <w:style w:type="table" w:styleId="Grilledutableau">
    <w:name w:val="Table Grid"/>
    <w:basedOn w:val="TableauNormal"/>
    <w:uiPriority w:val="39"/>
    <w:rsid w:val="00E2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A0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1723">
      <w:bodyDiv w:val="1"/>
      <w:marLeft w:val="0"/>
      <w:marRight w:val="0"/>
      <w:marTop w:val="0"/>
      <w:marBottom w:val="0"/>
      <w:divBdr>
        <w:top w:val="none" w:sz="0" w:space="0" w:color="auto"/>
        <w:left w:val="none" w:sz="0" w:space="0" w:color="auto"/>
        <w:bottom w:val="none" w:sz="0" w:space="0" w:color="auto"/>
        <w:right w:val="none" w:sz="0" w:space="0" w:color="auto"/>
      </w:divBdr>
    </w:div>
    <w:div w:id="352417998">
      <w:bodyDiv w:val="1"/>
      <w:marLeft w:val="0"/>
      <w:marRight w:val="0"/>
      <w:marTop w:val="0"/>
      <w:marBottom w:val="0"/>
      <w:divBdr>
        <w:top w:val="none" w:sz="0" w:space="0" w:color="auto"/>
        <w:left w:val="none" w:sz="0" w:space="0" w:color="auto"/>
        <w:bottom w:val="none" w:sz="0" w:space="0" w:color="auto"/>
        <w:right w:val="none" w:sz="0" w:space="0" w:color="auto"/>
      </w:divBdr>
      <w:divsChild>
        <w:div w:id="404499248">
          <w:marLeft w:val="0"/>
          <w:marRight w:val="0"/>
          <w:marTop w:val="0"/>
          <w:marBottom w:val="0"/>
          <w:divBdr>
            <w:top w:val="none" w:sz="0" w:space="0" w:color="auto"/>
            <w:left w:val="none" w:sz="0" w:space="0" w:color="auto"/>
            <w:bottom w:val="none" w:sz="0" w:space="0" w:color="auto"/>
            <w:right w:val="none" w:sz="0" w:space="0" w:color="auto"/>
          </w:divBdr>
        </w:div>
        <w:div w:id="1530072515">
          <w:marLeft w:val="0"/>
          <w:marRight w:val="0"/>
          <w:marTop w:val="0"/>
          <w:marBottom w:val="0"/>
          <w:divBdr>
            <w:top w:val="none" w:sz="0" w:space="0" w:color="auto"/>
            <w:left w:val="none" w:sz="0" w:space="0" w:color="auto"/>
            <w:bottom w:val="none" w:sz="0" w:space="0" w:color="auto"/>
            <w:right w:val="none" w:sz="0" w:space="0" w:color="auto"/>
          </w:divBdr>
        </w:div>
        <w:div w:id="245651995">
          <w:marLeft w:val="0"/>
          <w:marRight w:val="0"/>
          <w:marTop w:val="0"/>
          <w:marBottom w:val="0"/>
          <w:divBdr>
            <w:top w:val="none" w:sz="0" w:space="0" w:color="auto"/>
            <w:left w:val="none" w:sz="0" w:space="0" w:color="auto"/>
            <w:bottom w:val="none" w:sz="0" w:space="0" w:color="auto"/>
            <w:right w:val="none" w:sz="0" w:space="0" w:color="auto"/>
          </w:divBdr>
        </w:div>
        <w:div w:id="1507355920">
          <w:marLeft w:val="0"/>
          <w:marRight w:val="0"/>
          <w:marTop w:val="0"/>
          <w:marBottom w:val="0"/>
          <w:divBdr>
            <w:top w:val="none" w:sz="0" w:space="0" w:color="auto"/>
            <w:left w:val="none" w:sz="0" w:space="0" w:color="auto"/>
            <w:bottom w:val="none" w:sz="0" w:space="0" w:color="auto"/>
            <w:right w:val="none" w:sz="0" w:space="0" w:color="auto"/>
          </w:divBdr>
        </w:div>
        <w:div w:id="860506296">
          <w:marLeft w:val="0"/>
          <w:marRight w:val="0"/>
          <w:marTop w:val="0"/>
          <w:marBottom w:val="0"/>
          <w:divBdr>
            <w:top w:val="none" w:sz="0" w:space="0" w:color="auto"/>
            <w:left w:val="none" w:sz="0" w:space="0" w:color="auto"/>
            <w:bottom w:val="none" w:sz="0" w:space="0" w:color="auto"/>
            <w:right w:val="none" w:sz="0" w:space="0" w:color="auto"/>
          </w:divBdr>
        </w:div>
        <w:div w:id="1778713013">
          <w:marLeft w:val="0"/>
          <w:marRight w:val="0"/>
          <w:marTop w:val="0"/>
          <w:marBottom w:val="0"/>
          <w:divBdr>
            <w:top w:val="none" w:sz="0" w:space="0" w:color="auto"/>
            <w:left w:val="none" w:sz="0" w:space="0" w:color="auto"/>
            <w:bottom w:val="none" w:sz="0" w:space="0" w:color="auto"/>
            <w:right w:val="none" w:sz="0" w:space="0" w:color="auto"/>
          </w:divBdr>
        </w:div>
        <w:div w:id="1844274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1202</Words>
  <Characters>6611</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NTAMAGARA, Willy</dc:creator>
  <cp:keywords/>
  <dc:description/>
  <cp:lastModifiedBy>NININAHAZWE, Francine</cp:lastModifiedBy>
  <cp:revision>2</cp:revision>
  <dcterms:created xsi:type="dcterms:W3CDTF">2026-04-28T08:11:00Z</dcterms:created>
  <dcterms:modified xsi:type="dcterms:W3CDTF">2026-04-28T08:11:00Z</dcterms:modified>
</cp:coreProperties>
</file>