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1F6F" w14:textId="77777777" w:rsidR="00E61F7C" w:rsidRPr="00783749" w:rsidRDefault="00E61F7C" w:rsidP="00E61F7C">
      <w:pPr>
        <w:rPr>
          <w:rFonts w:ascii="Arial" w:hAnsi="Arial" w:cs="Arial"/>
          <w:b/>
          <w:color w:val="404040"/>
          <w:lang w:val="fr-BE"/>
        </w:rPr>
      </w:pPr>
    </w:p>
    <w:p w14:paraId="4C2ABF03" w14:textId="0C8BC2F6" w:rsidR="00A956F0" w:rsidRPr="00783749" w:rsidRDefault="00745152" w:rsidP="39EDE104">
      <w:pPr>
        <w:jc w:val="center"/>
        <w:rPr>
          <w:rFonts w:ascii="Arial" w:hAnsi="Arial" w:cs="Arial"/>
          <w:b/>
          <w:bCs/>
          <w:color w:val="404040"/>
          <w:lang w:val="fr-BE"/>
        </w:rPr>
      </w:pP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Annexe </w:t>
      </w:r>
      <w:r w:rsidR="0052AA92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F1a</w:t>
      </w: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 des lignes directrices pour les appels à pro</w:t>
      </w:r>
      <w:r w:rsidR="00C34FCB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positions</w:t>
      </w:r>
    </w:p>
    <w:p w14:paraId="1EEEC031" w14:textId="77777777" w:rsidR="004F16F6" w:rsidRPr="00783749" w:rsidRDefault="004F16F6" w:rsidP="00937851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84FD312" w14:textId="77777777" w:rsidR="00C45CAA" w:rsidRPr="00783749" w:rsidRDefault="00C45CAA" w:rsidP="00C45CAA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="00312F2B" w:rsidRPr="00783749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="00233081" w:rsidRPr="00783749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14:paraId="39612704" w14:textId="77777777" w:rsidR="004F16F6" w:rsidRPr="00783749" w:rsidRDefault="004F16F6" w:rsidP="004F16F6">
      <w:pPr>
        <w:jc w:val="center"/>
        <w:rPr>
          <w:rFonts w:ascii="Arial" w:hAnsi="Arial" w:cs="Arial"/>
          <w:color w:val="404040"/>
          <w:lang w:val="fr-FR"/>
        </w:rPr>
      </w:pPr>
    </w:p>
    <w:p w14:paraId="5F22973F" w14:textId="77777777" w:rsidR="004F16F6" w:rsidRPr="00783749" w:rsidRDefault="00C45CAA" w:rsidP="001723BB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14:paraId="4D114113" w14:textId="77777777" w:rsidR="004F16F6" w:rsidRPr="00783749" w:rsidRDefault="004F16F6" w:rsidP="004F16F6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29FA530A" w14:textId="77777777" w:rsidR="000D1C03" w:rsidRPr="00783749" w:rsidRDefault="000D1C03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="00C45CAA" w:rsidRPr="00783749" w14:paraId="6629F60D" w14:textId="77777777">
        <w:tc>
          <w:tcPr>
            <w:tcW w:w="4264" w:type="dxa"/>
          </w:tcPr>
          <w:p w14:paraId="03507802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4118A23E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6915033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52C375A5" w14:textId="77777777">
        <w:tc>
          <w:tcPr>
            <w:tcW w:w="4264" w:type="dxa"/>
          </w:tcPr>
          <w:p w14:paraId="72D14815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61C73507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24A40D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14:paraId="65A7004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5A89B554" w14:textId="77777777">
        <w:tc>
          <w:tcPr>
            <w:tcW w:w="4264" w:type="dxa"/>
          </w:tcPr>
          <w:p w14:paraId="2F851575" w14:textId="77777777" w:rsidR="00702309" w:rsidRPr="00783749" w:rsidRDefault="00702309" w:rsidP="0070230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14:paraId="1F94ED2B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2F5B3EEC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60D48DFD" w14:textId="77777777">
        <w:tc>
          <w:tcPr>
            <w:tcW w:w="4264" w:type="dxa"/>
          </w:tcPr>
          <w:p w14:paraId="6FFE504C" w14:textId="77777777" w:rsidR="00C45CAA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14:paraId="0A5B6C5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7057513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22CE2B6D" w14:textId="77777777">
        <w:tc>
          <w:tcPr>
            <w:tcW w:w="4264" w:type="dxa"/>
          </w:tcPr>
          <w:p w14:paraId="5558146D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14:paraId="2F147A8E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FAE751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14:paraId="5A64C00D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66288930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3C23E7CE" w14:textId="77777777" w:rsidR="00A4349F" w:rsidRPr="00783749" w:rsidRDefault="00A4349F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="00F50C32" w:rsidRPr="00783749" w14:paraId="18061388" w14:textId="77777777" w:rsidTr="6A615C53">
        <w:tc>
          <w:tcPr>
            <w:tcW w:w="6345" w:type="dxa"/>
          </w:tcPr>
          <w:p w14:paraId="48809C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</w:tcPr>
          <w:p w14:paraId="090E614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</w:tcPr>
          <w:p w14:paraId="07B724A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="00144295" w:rsidRPr="00783749" w14:paraId="5BED8598" w14:textId="77777777" w:rsidTr="6A615C53">
        <w:tc>
          <w:tcPr>
            <w:tcW w:w="6345" w:type="dxa"/>
          </w:tcPr>
          <w:p w14:paraId="3C27FB5C" w14:textId="77777777" w:rsidR="00144295" w:rsidRPr="00783749" w:rsidRDefault="00383AA2" w:rsidP="007438FA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="00144295"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</w:tcPr>
          <w:p w14:paraId="64E2BFAD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69E04615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900F59" w14:paraId="3584DA7C" w14:textId="77777777" w:rsidTr="6A615C53">
        <w:tc>
          <w:tcPr>
            <w:tcW w:w="6345" w:type="dxa"/>
          </w:tcPr>
          <w:p w14:paraId="422AFC9F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</w:tcPr>
          <w:p w14:paraId="062A48E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1F3B003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900F59" w14:paraId="4E4AE7CB" w14:textId="77777777" w:rsidTr="6A615C53">
        <w:tc>
          <w:tcPr>
            <w:tcW w:w="6345" w:type="dxa"/>
          </w:tcPr>
          <w:p w14:paraId="44BE94F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</w:tcPr>
          <w:p w14:paraId="5E65EAB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06E9B17E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900F59" w14:paraId="7EFD0640" w14:textId="77777777" w:rsidTr="6A615C53">
        <w:tc>
          <w:tcPr>
            <w:tcW w:w="6345" w:type="dxa"/>
          </w:tcPr>
          <w:p w14:paraId="2AAB395A" w14:textId="77777777" w:rsidR="00F50C32" w:rsidRPr="00783749" w:rsidRDefault="00F50C32" w:rsidP="0086709F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="0086709F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="007226CC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</w:tcPr>
          <w:p w14:paraId="05C40D0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4D34D5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900F59" w14:paraId="4D237BB7" w14:textId="77777777" w:rsidTr="6A615C53">
        <w:tc>
          <w:tcPr>
            <w:tcW w:w="6345" w:type="dxa"/>
          </w:tcPr>
          <w:p w14:paraId="4BE5C155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</w:tcPr>
          <w:p w14:paraId="4836ABE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746E78F6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900F59" w14:paraId="2CA6556E" w14:textId="77777777" w:rsidTr="6A615C53">
        <w:tc>
          <w:tcPr>
            <w:tcW w:w="6345" w:type="dxa"/>
          </w:tcPr>
          <w:p w14:paraId="654DE92E" w14:textId="77777777" w:rsidR="007226CC" w:rsidRPr="00783749" w:rsidRDefault="007226CC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</w:tcPr>
          <w:p w14:paraId="78F77169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47C6B1F8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900F59" w14:paraId="09BF04F6" w14:textId="77777777" w:rsidTr="6A615C53">
        <w:tc>
          <w:tcPr>
            <w:tcW w:w="6345" w:type="dxa"/>
          </w:tcPr>
          <w:p w14:paraId="04282ABE" w14:textId="63CCD5D2" w:rsidR="00F50C32" w:rsidRPr="00783749" w:rsidRDefault="00F50C32" w:rsidP="6A615C53">
            <w:pPr>
              <w:numPr>
                <w:ilvl w:val="0"/>
                <w:numId w:val="2"/>
              </w:numPr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6A615C5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Une version électronique de la note </w:t>
            </w:r>
            <w:r w:rsidR="001F6C23" w:rsidRPr="6A615C5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conceptuelle</w:t>
            </w:r>
            <w:r w:rsidRPr="6A615C5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(CD-Rom</w:t>
            </w:r>
            <w:r w:rsidR="767AC1DA" w:rsidRPr="6A615C5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ou USB</w:t>
            </w:r>
            <w:r w:rsidRPr="6A615C5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 est jointe.</w:t>
            </w:r>
          </w:p>
        </w:tc>
        <w:tc>
          <w:tcPr>
            <w:tcW w:w="964" w:type="dxa"/>
          </w:tcPr>
          <w:p w14:paraId="13FC5CF8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5387546F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144295" w:rsidRPr="00783749" w14:paraId="20CA3CFB" w14:textId="77777777" w:rsidTr="6A615C53">
        <w:tc>
          <w:tcPr>
            <w:tcW w:w="6345" w:type="dxa"/>
          </w:tcPr>
          <w:p w14:paraId="002E14A8" w14:textId="77777777" w:rsidR="00144295" w:rsidRPr="00783749" w:rsidRDefault="00383AA2" w:rsidP="00200AD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</w:tcPr>
          <w:p w14:paraId="02DB28DB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2CBB1967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783749" w14:paraId="66D38990" w14:textId="77777777" w:rsidTr="6A615C53">
        <w:tc>
          <w:tcPr>
            <w:tcW w:w="6345" w:type="dxa"/>
          </w:tcPr>
          <w:p w14:paraId="09922218" w14:textId="33F58DE5" w:rsidR="007226CC" w:rsidRPr="00783749" w:rsidRDefault="007226CC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="00200AD7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="640F6868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</w:tcPr>
          <w:p w14:paraId="4632B7B1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22BDCFA4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D4975" w:rsidRPr="00900F59" w14:paraId="0F17AB7A" w14:textId="77777777" w:rsidTr="6A615C53">
        <w:tc>
          <w:tcPr>
            <w:tcW w:w="6345" w:type="dxa"/>
          </w:tcPr>
          <w:p w14:paraId="5C9CEBEC" w14:textId="187D70FC" w:rsidR="00CD4975" w:rsidRPr="00783749" w:rsidRDefault="00CD4975" w:rsidP="006D4ACE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="00535E34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="006D4ACE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</w:tcPr>
          <w:p w14:paraId="0B13AC6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0CC8D17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24A32" w:rsidRPr="00900F59" w14:paraId="1DE4BB83" w14:textId="77777777" w:rsidTr="6A615C53">
        <w:tc>
          <w:tcPr>
            <w:tcW w:w="6345" w:type="dxa"/>
          </w:tcPr>
          <w:p w14:paraId="5C5141FC" w14:textId="77777777" w:rsidR="00E61F7C" w:rsidRPr="00783749" w:rsidRDefault="00C24A32" w:rsidP="00E61F7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</w:tcPr>
          <w:p w14:paraId="345D573C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7BE867D8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900F59" w14:paraId="62A08786" w14:textId="77777777" w:rsidTr="6A615C53">
        <w:tc>
          <w:tcPr>
            <w:tcW w:w="6345" w:type="dxa"/>
          </w:tcPr>
          <w:p w14:paraId="6AFA55BF" w14:textId="77777777" w:rsidR="00F50C32" w:rsidRPr="00783749" w:rsidRDefault="00F50C32" w:rsidP="003954D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sera mise en œuvre </w:t>
            </w:r>
            <w:r w:rsidR="003954D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</w:tcPr>
          <w:p w14:paraId="20B8735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5F2D2991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3954D0" w:rsidRPr="00900F59" w14:paraId="6038F177" w14:textId="77777777" w:rsidTr="6A615C53">
        <w:tc>
          <w:tcPr>
            <w:tcW w:w="6345" w:type="dxa"/>
          </w:tcPr>
          <w:p w14:paraId="437C1671" w14:textId="77777777" w:rsidR="003954D0" w:rsidRPr="00783749" w:rsidRDefault="003954D0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="00FC291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</w:tcPr>
          <w:p w14:paraId="0A75C312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62C95118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900F59" w14:paraId="623E6CA2" w14:textId="77777777" w:rsidTr="6A615C53">
        <w:tc>
          <w:tcPr>
            <w:tcW w:w="6345" w:type="dxa"/>
          </w:tcPr>
          <w:p w14:paraId="039443B7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durée de l’action est comprise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entre  &lt;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</w:tcPr>
          <w:p w14:paraId="69F6830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310D31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900F59" w14:paraId="36E18F0A" w14:textId="77777777" w:rsidTr="6A615C53">
        <w:tc>
          <w:tcPr>
            <w:tcW w:w="6345" w:type="dxa"/>
          </w:tcPr>
          <w:p w14:paraId="0FDA670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contribution demandée se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situe  entre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le minimum et le maximum autorisés</w:t>
            </w:r>
          </w:p>
        </w:tc>
        <w:tc>
          <w:tcPr>
            <w:tcW w:w="964" w:type="dxa"/>
          </w:tcPr>
          <w:p w14:paraId="48AF7220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0DBA15C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5E1770" w:rsidRPr="00783749" w14:paraId="6C361420" w14:textId="77777777" w:rsidTr="6A615C53">
        <w:tc>
          <w:tcPr>
            <w:tcW w:w="8372" w:type="dxa"/>
            <w:gridSpan w:val="3"/>
          </w:tcPr>
          <w:p w14:paraId="06394B21" w14:textId="77777777" w:rsidR="005E1770" w:rsidRPr="00783749" w:rsidRDefault="005E1770" w:rsidP="00FA793C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proofErr w:type="gramStart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Conclusion:</w:t>
            </w:r>
            <w:proofErr w:type="gramEnd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14:paraId="5F03D1F5" w14:textId="77777777" w:rsidR="00FA793C" w:rsidRPr="00783749" w:rsidRDefault="00FA793C" w:rsidP="00FA793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14:paraId="309A7AD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1679E51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F3147D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09DE8B5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4F54D48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1A2A1B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722CC2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4CFF2333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72F6415A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14:paraId="71AF0855" w14:textId="77777777" w:rsidR="00F50C32" w:rsidRPr="00783749" w:rsidRDefault="00F50C32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62DF96B1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36A50135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732C2039" w14:textId="77777777" w:rsidR="00047A0F" w:rsidRPr="00783749" w:rsidRDefault="004E0721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14:paraId="7EDD1FF7" w14:textId="77777777" w:rsidR="00130696" w:rsidRPr="00783749" w:rsidRDefault="00130696" w:rsidP="00047A0F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14:paraId="04205147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14:paraId="66DABEB9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70D3A64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</w:t>
      </w:r>
      <w:proofErr w:type="gramStart"/>
      <w:r w:rsidRPr="00783749">
        <w:rPr>
          <w:rFonts w:ascii="Arial" w:hAnsi="Arial" w:cs="Arial"/>
          <w:color w:val="404040"/>
          <w:sz w:val="22"/>
          <w:szCs w:val="22"/>
          <w:lang w:val="fr-FR"/>
        </w:rPr>
        <w:t>dessous:</w:t>
      </w:r>
      <w:proofErr w:type="gramEnd"/>
    </w:p>
    <w:p w14:paraId="029FFC25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C45CAA" w:rsidRPr="00783749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14:paraId="4E98CA0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14:paraId="568AEC99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="00C45CAA" w:rsidRPr="00783749" w14:paraId="7C476FEF" w14:textId="77777777">
        <w:trPr>
          <w:trHeight w:val="249"/>
          <w:jc w:val="center"/>
        </w:trPr>
        <w:tc>
          <w:tcPr>
            <w:tcW w:w="993" w:type="dxa"/>
          </w:tcPr>
          <w:p w14:paraId="5D40800D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14:paraId="0E7D6990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="00C45CAA" w:rsidRPr="00783749" w14:paraId="3D935410" w14:textId="77777777">
        <w:trPr>
          <w:trHeight w:val="249"/>
          <w:jc w:val="center"/>
        </w:trPr>
        <w:tc>
          <w:tcPr>
            <w:tcW w:w="993" w:type="dxa"/>
          </w:tcPr>
          <w:p w14:paraId="5B9E0D9F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14:paraId="597D78E2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="00C45CAA" w:rsidRPr="00783749" w14:paraId="058A4E77" w14:textId="77777777">
        <w:trPr>
          <w:trHeight w:val="249"/>
          <w:jc w:val="center"/>
        </w:trPr>
        <w:tc>
          <w:tcPr>
            <w:tcW w:w="993" w:type="dxa"/>
          </w:tcPr>
          <w:p w14:paraId="580CBB1C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14:paraId="7B72FE1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="00C45CAA" w:rsidRPr="00783749" w14:paraId="541A592A" w14:textId="77777777">
        <w:trPr>
          <w:trHeight w:val="249"/>
          <w:jc w:val="center"/>
        </w:trPr>
        <w:tc>
          <w:tcPr>
            <w:tcW w:w="993" w:type="dxa"/>
          </w:tcPr>
          <w:p w14:paraId="25F0CED3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14:paraId="223B32D8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="00C45CAA" w:rsidRPr="00783749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11DB9227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2993E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14:paraId="1825B72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79F1198D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="009B55D0"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14:paraId="316E3F1E" w14:textId="77777777" w:rsidR="003D7F29" w:rsidRPr="00783749" w:rsidRDefault="003D7F29" w:rsidP="003D7F29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="003D7F29" w:rsidRPr="00783749" w14:paraId="13883F70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6D783657" w14:textId="77777777" w:rsidR="003D7F29" w:rsidRPr="00783749" w:rsidRDefault="003D7F29" w:rsidP="007438FA">
            <w:pPr>
              <w:pStyle w:val="Titre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37C99CA5" w14:textId="77777777" w:rsidR="003D7F29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8B354A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="003D7F29" w:rsidRPr="00783749" w14:paraId="07204A43" w14:textId="77777777" w:rsidTr="00FA03BC">
        <w:trPr>
          <w:trHeight w:val="5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66036" w14:textId="77777777" w:rsidR="001F504E" w:rsidRPr="00783749" w:rsidRDefault="00AB4D98" w:rsidP="00B3305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="00B3305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propositions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D5DE1F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</w:t>
            </w:r>
            <w:proofErr w:type="gramStart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2)*</w:t>
            </w:r>
            <w:proofErr w:type="gramEnd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71152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="00816B34" w:rsidRPr="00783749" w:rsidDel="00AB4D98" w14:paraId="55F97EE1" w14:textId="77777777" w:rsidTr="00FA03BC">
        <w:tc>
          <w:tcPr>
            <w:tcW w:w="8046" w:type="dxa"/>
            <w:tcBorders>
              <w:bottom w:val="single" w:sz="4" w:space="0" w:color="auto"/>
            </w:tcBorders>
          </w:tcPr>
          <w:p w14:paraId="7CCDAD26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besoins  particuliers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contraintes du(es) pays ou de la(des) région(s) cible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</w:t>
            </w:r>
            <w:proofErr w:type="gramStart"/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y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inclus la synergie avec d'autres initiatives de l</w:t>
            </w:r>
            <w:r w:rsidR="0070230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="004A755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79788F93" w14:textId="77777777" w:rsidR="00816B34" w:rsidRPr="00783749" w:rsidRDefault="00DE5EF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  <w:p w14:paraId="2128F583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3B5F66DA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816B34" w:rsidRPr="00783749" w:rsidDel="00AB4D98" w14:paraId="01DBA9CA" w14:textId="77777777" w:rsidTr="00FA03BC">
        <w:tc>
          <w:tcPr>
            <w:tcW w:w="8046" w:type="dxa"/>
            <w:tcBorders>
              <w:bottom w:val="single" w:sz="4" w:space="0" w:color="auto"/>
            </w:tcBorders>
          </w:tcPr>
          <w:p w14:paraId="5F8554BA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stratégique?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Leurs besoins ont-ils été clairement définis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abordés dans la </w:t>
            </w:r>
            <w:proofErr w:type="gramStart"/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9105F5B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2426DC3C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AF49E5" w:rsidRPr="00783749" w:rsidDel="00AB4D98" w14:paraId="3305D5C4" w14:textId="77777777" w:rsidTr="00FA03BC">
        <w:tc>
          <w:tcPr>
            <w:tcW w:w="8046" w:type="dxa"/>
            <w:tcBorders>
              <w:bottom w:val="single" w:sz="4" w:space="0" w:color="auto"/>
            </w:tcBorders>
          </w:tcPr>
          <w:p w14:paraId="630D6281" w14:textId="77777777" w:rsidR="00AF49E5" w:rsidRPr="00783749" w:rsidRDefault="00AF49E5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]?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388CA95" w14:textId="77777777" w:rsidR="00AF49E5" w:rsidRPr="00783749" w:rsidRDefault="00AF49E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01D066D6" w14:textId="77777777" w:rsidR="00AF49E5" w:rsidRPr="00783749" w:rsidDel="00AB4D98" w:rsidRDefault="00AF49E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5E1770" w:rsidRPr="00783749" w14:paraId="02DEF565" w14:textId="77777777" w:rsidTr="00FA03BC"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01E698A0" w14:textId="77777777" w:rsidR="005E1770" w:rsidRPr="00783749" w:rsidRDefault="005E1770" w:rsidP="00DE5EF5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0679E322" w14:textId="77777777" w:rsidR="005E1770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0D0B3AE4" w14:textId="77777777" w:rsidR="005E1770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111C5EE6" w14:textId="77777777" w:rsidTr="00436480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3E78CD3B" w14:textId="77777777" w:rsidR="003D7F29" w:rsidRPr="00783749" w:rsidRDefault="009609D5" w:rsidP="007438FA">
            <w:pPr>
              <w:pStyle w:val="Titre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="009C6CB8" w:rsidRPr="00783749">
              <w:rPr>
                <w:color w:val="404040"/>
                <w:sz w:val="24"/>
                <w:szCs w:val="24"/>
                <w:lang w:val="fr-BE"/>
              </w:rPr>
              <w:t>de l'</w:t>
            </w:r>
            <w:r w:rsidR="003D7F29" w:rsidRPr="0078374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662373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86AB7DC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="003D7F29" w:rsidRPr="00783749" w14:paraId="013D0659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4738" w14:textId="77777777" w:rsidR="003D7F29" w:rsidRPr="00783749" w:rsidRDefault="009D6108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mesure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</w:t>
            </w:r>
            <w:proofErr w:type="gramEnd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conception générale de l'action</w:t>
            </w:r>
            <w:r w:rsidR="00A956F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</w:t>
            </w:r>
            <w:proofErr w:type="gramStart"/>
            <w:r w:rsidR="00A956F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cohérente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En particulier, reflète-t-elle l'analyse des problèmes, tient-elle compte des facteurs externes ainsi que des 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proofErr w:type="gramStart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concerné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5E284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(x</w:t>
            </w:r>
            <w:proofErr w:type="gramStart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FE47A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836973" w:rsidRPr="00783749" w14:paraId="7532B8FB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938A2" w14:textId="77777777" w:rsidR="00836973" w:rsidRPr="00783749" w:rsidRDefault="00836973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proofErr w:type="gramStart"/>
            <w:r w:rsidR="004D6FB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E7073" w14:textId="77777777" w:rsidR="00836973" w:rsidRPr="00783749" w:rsidRDefault="00836973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CC9B4" w14:textId="77777777" w:rsidR="00836973" w:rsidRPr="00783749" w:rsidRDefault="00836973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DE5EF5" w:rsidRPr="00783749" w14:paraId="12FE2CE3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vAlign w:val="center"/>
          </w:tcPr>
          <w:p w14:paraId="35EF7709" w14:textId="77777777" w:rsidR="00DE5EF5" w:rsidRPr="00783749" w:rsidRDefault="00DE5EF5" w:rsidP="00FA03BC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14:paraId="3EB665DE" w14:textId="77777777" w:rsidR="00DE5EF5" w:rsidRPr="00783749" w:rsidRDefault="00DE5EF5" w:rsidP="00FA03BC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</w:tcPr>
          <w:p w14:paraId="766EC811" w14:textId="77777777" w:rsidR="00DE5EF5" w:rsidRPr="00783749" w:rsidRDefault="00DE5EF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2A084832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</w:tcPr>
          <w:p w14:paraId="3C0CCBEB" w14:textId="77777777" w:rsidR="003D7F29" w:rsidRPr="00783749" w:rsidRDefault="009C6CB8" w:rsidP="00DE5EF5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="00124F0E"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14:paraId="51F7CCD6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</w:tcPr>
          <w:p w14:paraId="2A7A1F1C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14:paraId="1AC66388" w14:textId="77777777" w:rsidR="00836973" w:rsidRPr="00783749" w:rsidRDefault="00836973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7E5292E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="00836973"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="009C6CB8" w:rsidRPr="00783749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14:paraId="3D699C35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179A7692" w14:textId="77777777" w:rsidR="003D7F29" w:rsidRPr="00783749" w:rsidRDefault="009464AF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="009D6108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="00DB4651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1BC3864C" w14:textId="77777777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3703E17C" w14:textId="64919E5B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="003954D0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2AEE1DA7" w14:textId="77777777" w:rsidR="00DE5EF5" w:rsidRPr="00783749" w:rsidRDefault="00DE5EF5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0BF44DB6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14:paraId="365601E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209F4F90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1ABC12B1" w14:textId="77777777" w:rsidR="003954D0" w:rsidRPr="00783749" w:rsidRDefault="003954D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="003954D0" w:rsidRPr="00783749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0383" w14:textId="77777777" w:rsidR="00D56760" w:rsidRDefault="00D56760">
      <w:r>
        <w:separator/>
      </w:r>
    </w:p>
  </w:endnote>
  <w:endnote w:type="continuationSeparator" w:id="0">
    <w:p w14:paraId="61F55CCE" w14:textId="77777777" w:rsidR="00D56760" w:rsidRDefault="00D5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AD27" w14:textId="77777777" w:rsidR="0063072A" w:rsidRDefault="006307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ADBA" w14:textId="55C88423" w:rsidR="00DC35EC" w:rsidRPr="00783749" w:rsidRDefault="002832F8" w:rsidP="00DC35EC">
    <w:pPr>
      <w:tabs>
        <w:tab w:val="center" w:pos="4513"/>
        <w:tab w:val="right" w:pos="9026"/>
      </w:tabs>
      <w:spacing w:after="200" w:line="276" w:lineRule="auto"/>
      <w:rPr>
        <w:rFonts w:ascii="Georgia" w:eastAsia="Calibri" w:hAnsi="Georgia"/>
        <w:color w:val="404040"/>
        <w:sz w:val="16"/>
        <w:szCs w:val="16"/>
        <w:lang w:val="fr-BE" w:eastAsia="en-US"/>
      </w:rPr>
    </w:pPr>
    <w:proofErr w:type="gramStart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Enabel 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–</w:t>
    </w:r>
    <w:proofErr w:type="gramEnd"/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Conventions de subsides 12-2020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eastAsia="Calibri" w:hAnsi="Georgia"/>
        <w:color w:val="404040"/>
        <w:sz w:val="18"/>
        <w:szCs w:val="18"/>
        <w:lang w:val="fr-BE" w:eastAsia="en-US"/>
      </w:rPr>
      <w:t>conceptuelle</w:t>
    </w:r>
    <w:r w:rsidR="00664EC1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23718E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ab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Page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of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0C1B" w14:textId="77777777" w:rsidR="0015172B" w:rsidRPr="00537EBC" w:rsidRDefault="0015172B" w:rsidP="00537EBC">
    <w:pPr>
      <w:pStyle w:val="Pieddepage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PAGE </w:instrText>
    </w:r>
    <w:r w:rsidRPr="00537EBC">
      <w:rPr>
        <w:rStyle w:val="Numrodepage"/>
        <w:b/>
        <w:sz w:val="18"/>
        <w:szCs w:val="18"/>
      </w:rPr>
      <w:fldChar w:fldCharType="separate"/>
    </w:r>
    <w:r>
      <w:rPr>
        <w:rStyle w:val="Numrodepage"/>
        <w:b/>
        <w:noProof/>
        <w:sz w:val="18"/>
        <w:szCs w:val="18"/>
      </w:rPr>
      <w:t>1</w:t>
    </w:r>
    <w:r w:rsidRPr="00537EBC">
      <w:rPr>
        <w:rStyle w:val="Numrodepage"/>
        <w:b/>
        <w:sz w:val="18"/>
        <w:szCs w:val="18"/>
      </w:rPr>
      <w:fldChar w:fldCharType="end"/>
    </w:r>
    <w:r w:rsidRPr="00537EBC">
      <w:rPr>
        <w:rStyle w:val="Numrodepage"/>
        <w:b/>
        <w:sz w:val="18"/>
        <w:szCs w:val="18"/>
      </w:rPr>
      <w:t>/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NUMPAGES </w:instrText>
    </w:r>
    <w:r w:rsidRPr="00537EBC">
      <w:rPr>
        <w:rStyle w:val="Numrodepage"/>
        <w:b/>
        <w:sz w:val="18"/>
        <w:szCs w:val="18"/>
      </w:rPr>
      <w:fldChar w:fldCharType="separate"/>
    </w:r>
    <w:r w:rsidR="00F40E9F">
      <w:rPr>
        <w:rStyle w:val="Numrodepage"/>
        <w:b/>
        <w:noProof/>
        <w:sz w:val="18"/>
        <w:szCs w:val="18"/>
      </w:rPr>
      <w:t>3</w:t>
    </w:r>
    <w:r w:rsidRPr="00537EBC">
      <w:rPr>
        <w:rStyle w:val="Numrodepage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4ED8" w14:textId="77777777" w:rsidR="00D56760" w:rsidRDefault="00D56760">
      <w:r>
        <w:separator/>
      </w:r>
    </w:p>
  </w:footnote>
  <w:footnote w:type="continuationSeparator" w:id="0">
    <w:p w14:paraId="14C2E329" w14:textId="77777777" w:rsidR="00D56760" w:rsidRDefault="00D5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9033" w14:textId="77777777" w:rsidR="0063072A" w:rsidRDefault="006307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648" w14:textId="77777777" w:rsidR="00E61F7C" w:rsidRDefault="39EDE104">
    <w:pPr>
      <w:pStyle w:val="En-tte"/>
    </w:pPr>
    <w:r>
      <w:rPr>
        <w:noProof/>
      </w:rPr>
      <w:drawing>
        <wp:inline distT="0" distB="0" distL="0" distR="0" wp14:anchorId="0DAACDC0" wp14:editId="0052AA92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094D" w14:textId="77777777" w:rsidR="0063072A" w:rsidRDefault="00630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7F85"/>
    <w:multiLevelType w:val="multilevel"/>
    <w:tmpl w:val="F0B285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49007">
    <w:abstractNumId w:val="3"/>
  </w:num>
  <w:num w:numId="2" w16cid:durableId="628362404">
    <w:abstractNumId w:val="5"/>
  </w:num>
  <w:num w:numId="3" w16cid:durableId="7875714">
    <w:abstractNumId w:val="4"/>
  </w:num>
  <w:num w:numId="4" w16cid:durableId="588654968">
    <w:abstractNumId w:val="1"/>
  </w:num>
  <w:num w:numId="5" w16cid:durableId="98305575">
    <w:abstractNumId w:val="1"/>
  </w:num>
  <w:num w:numId="6" w16cid:durableId="304161714">
    <w:abstractNumId w:val="0"/>
  </w:num>
  <w:num w:numId="7" w16cid:durableId="1338465192">
    <w:abstractNumId w:val="6"/>
  </w:num>
  <w:num w:numId="8" w16cid:durableId="65609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0F59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00D3F"/>
    <w:rsid w:val="00D104A5"/>
    <w:rsid w:val="00D30FE8"/>
    <w:rsid w:val="00D32ABF"/>
    <w:rsid w:val="00D35926"/>
    <w:rsid w:val="00D4049C"/>
    <w:rsid w:val="00D41C63"/>
    <w:rsid w:val="00D448D9"/>
    <w:rsid w:val="00D472F3"/>
    <w:rsid w:val="00D56760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4A4D5D2"/>
    <w:rsid w:val="1518345F"/>
    <w:rsid w:val="39EDE104"/>
    <w:rsid w:val="55C05873"/>
    <w:rsid w:val="640F6868"/>
    <w:rsid w:val="650CDE1C"/>
    <w:rsid w:val="6A615C53"/>
    <w:rsid w:val="767AC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A6F18"/>
  <w15:docId w15:val="{8EF86C69-464A-461F-AB8C-F7BA0A48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lication1">
    <w:name w:val="Application1"/>
    <w:basedOn w:val="Titre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r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Appelnotedebasdep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Notedebasdepage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Grilledutableau">
    <w:name w:val="Table Grid"/>
    <w:basedOn w:val="Tableau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Pieddepage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40A5"/>
  </w:style>
  <w:style w:type="paragraph" w:styleId="Textedebulles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Titre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Marquedecommentaire">
    <w:name w:val="annotation reference"/>
    <w:semiHidden/>
    <w:rsid w:val="003D7F29"/>
    <w:rPr>
      <w:sz w:val="16"/>
      <w:szCs w:val="16"/>
    </w:rPr>
  </w:style>
  <w:style w:type="paragraph" w:styleId="Commentaire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En-tteCar">
    <w:name w:val="En-tête Car"/>
    <w:link w:val="En-tte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Titre2Car">
    <w:name w:val="Titre 2 Car"/>
    <w:link w:val="Titre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FIN:Contractfin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51</Value>
      <Value>19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08.02.01. Call for Proposals_Appel à Propositions</TermName>
          <TermId xmlns="http://schemas.microsoft.com/office/infopath/2007/PartnerControls">0d6a6f64-ec9a-43d2-956b-27c513f4fced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823b5c3cd96da2fd273f4f85565d19e8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32bcc75129e92361641d7df05ef6ec28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C02D4-651A-45B5-840C-D4FF4197C3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5.xml><?xml version="1.0" encoding="utf-8"?>
<ds:datastoreItem xmlns:ds="http://schemas.openxmlformats.org/officeDocument/2006/customXml" ds:itemID="{74390AEF-BB63-49BF-8AD1-1C3A973C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3526</Characters>
  <Application>Microsoft Office Word</Application>
  <DocSecurity>0</DocSecurity>
  <Lines>103</Lines>
  <Paragraphs>47</Paragraphs>
  <ScaleCrop>false</ScaleCrop>
  <Company>EC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DIANDA, Adama</cp:lastModifiedBy>
  <cp:revision>2</cp:revision>
  <cp:lastPrinted>2015-02-25T14:22:00Z</cp:lastPrinted>
  <dcterms:created xsi:type="dcterms:W3CDTF">2026-06-17T12:37:00Z</dcterms:created>
  <dcterms:modified xsi:type="dcterms:W3CDTF">2026-06-17T12:37:00Z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19;#FIN:Contractfin ＆ Legal|f02f01d1-a4cc-4ad5-947e-c890f37974f2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  <property fmtid="{D5CDD505-2E9C-101B-9397-08002B2CF9AE}" pid="14" name="ENABEL_Service">
    <vt:lpwstr>51;#08.02.01. Call for Proposals_Appel à Propositions|0d6a6f64-ec9a-43d2-956b-27c513f4fced</vt:lpwstr>
  </property>
  <property fmtid="{D5CDD505-2E9C-101B-9397-08002B2CF9AE}" pid="15" name="docLang">
    <vt:lpwstr>fr</vt:lpwstr>
  </property>
</Properties>
</file>